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</w:tblPr>
      <w:tr>
        <w:tc>
          <w:p>
            <w:r>
              <w:rPr>
                <w:rFonts w:ascii="Arial"/>
                <w:sz w:val="28"/>
              </w:rPr>
              <w:t>Big Arial</w:t>
            </w:r>
          </w:p>
        </w:tc>
        <w:tc>
          <w:p>
            <w:r>
              <w:rPr>
                <w:i/>
                <w:rFonts w:ascii="Times New Roman"/>
              </w:rPr>
              <w:t>Italic Times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