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World-Office Visual Gate</w:t>
      </w:r>
    </w:p>
    <w:p>
      <w:r>
        <w:t>A representative document for the honest visual parity gate: text flow, styling, and structure.</w:t>
      </w:r>
    </w:p>
    <w:p>
      <w:r>
        <w:rPr>
          <w:b/>
        </w:rPr>
        <w:t xml:space="preserve">Paragraph 1 with </w:t>
      </w:r>
      <w:r>
        <w:rPr>
          <w:i/>
        </w:rPr>
        <w:t xml:space="preserve">mixed </w:t>
      </w:r>
      <w:r>
        <w:t>inline styling and a sentence long enough to force real line wrapping across the page width, testing both engines identically.</w:t>
      </w:r>
    </w:p>
    <w:p>
      <w:r>
        <w:rPr>
          <w:b/>
        </w:rPr>
        <w:t xml:space="preserve">Paragraph 2 with </w:t>
      </w:r>
      <w:r>
        <w:rPr>
          <w:i/>
        </w:rPr>
        <w:t xml:space="preserve">mixed </w:t>
      </w:r>
      <w:r>
        <w:t>inline styling and a sentence long enough to force real line wrapping across the page width, testing both engines identically.</w:t>
      </w:r>
    </w:p>
    <w:p>
      <w:r>
        <w:rPr>
          <w:b/>
        </w:rPr>
        <w:t xml:space="preserve">Paragraph 3 with </w:t>
      </w:r>
      <w:r>
        <w:rPr>
          <w:i/>
        </w:rPr>
        <w:t xml:space="preserve">mixed </w:t>
      </w:r>
      <w:r>
        <w:t>inline styling and a sentence long enough to force real line wrapping across the page width, testing both engines identically.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0,0</w:t>
            </w:r>
          </w:p>
        </w:tc>
        <w:tc>
          <w:tcPr>
            <w:tcW w:type="dxa" w:w="2880"/>
          </w:tcPr>
          <w:p>
            <w:r>
              <w:t>0,1</w:t>
            </w:r>
          </w:p>
        </w:tc>
        <w:tc>
          <w:tcPr>
            <w:tcW w:type="dxa" w:w="2880"/>
          </w:tcPr>
          <w:p>
            <w:r>
              <w:t>0,2</w:t>
            </w:r>
          </w:p>
        </w:tc>
      </w:tr>
      <w:tr>
        <w:tc>
          <w:tcPr>
            <w:tcW w:type="dxa" w:w="2880"/>
          </w:tcPr>
          <w:p>
            <w:r>
              <w:t>1,0</w:t>
            </w:r>
          </w:p>
        </w:tc>
        <w:tc>
          <w:tcPr>
            <w:tcW w:type="dxa" w:w="2880"/>
          </w:tcPr>
          <w:p>
            <w:r>
              <w:t>1,1</w:t>
            </w:r>
          </w:p>
        </w:tc>
        <w:tc>
          <w:tcPr>
            <w:tcW w:type="dxa" w:w="2880"/>
          </w:tcPr>
          <w:p>
            <w:r>
              <w:t>1,2</w:t>
            </w:r>
          </w:p>
        </w:tc>
      </w:tr>
      <w:tr>
        <w:tc>
          <w:tcPr>
            <w:tcW w:type="dxa" w:w="2880"/>
          </w:tcPr>
          <w:p>
            <w:r>
              <w:t>2,0</w:t>
            </w:r>
          </w:p>
        </w:tc>
        <w:tc>
          <w:tcPr>
            <w:tcW w:type="dxa" w:w="2880"/>
          </w:tcPr>
          <w:p>
            <w:r>
              <w:t>2,1</w:t>
            </w:r>
          </w:p>
        </w:tc>
        <w:tc>
          <w:tcPr>
            <w:tcW w:type="dxa" w:w="2880"/>
          </w:tcPr>
          <w:p>
            <w:r>
              <w:t>2,2</w:t>
            </w:r>
          </w:p>
        </w:tc>
      </w:tr>
    </w:tbl>
    <w:p>
      <w:pPr>
        <w:pStyle w:val="Heading1"/>
      </w:pPr>
      <w:r>
        <w:t>Section Two</w:t>
      </w:r>
    </w:p>
    <w:p>
      <w:r>
        <w:t>Trailing paragraph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