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0000"/>
          <w:sz w:val="32"/>
        </w:rPr>
        <w:t>Cover letter</w:t>
      </w:r>
    </w:p>
    <w:p>
      <w:r>
        <w:t>25 October 2026</w:t>
      </w:r>
    </w:p>
    <w:p>
      <w:r>
        <w:t>Dear Editors of Patterns,</w:t>
      </w:r>
    </w:p>
    <w:p>
      <w:r>
        <w:t>Please consider “Auditing label dependence and sibling-unit inflation in group-structured representations” as a Research Article.</w:t>
      </w:r>
    </w:p>
    <w:p>
      <w:r>
        <w:t>The study addresses evaluation of representations learned from repeated observations within people, specimens and measurement batches. Its relevance to Patterns lies in a shared data-science problem: unit-level association, performance on unseen groups, direct identity structure and retained task utility can disagree. We report those quantities separately using spatial transcriptomic controls and exploratory wearable-activity and gas-sensor audits.</w:t>
      </w:r>
    </w:p>
    <w:p>
      <w:r>
        <w:t>The main contribution is an auditable comparison of these measurements and their failure modes. A controlled simulation shows high unit-level association despite deterioration in group-level transfer. A fixed-scale interval calculation exposes a conflict in demanding both low association and retention of the same association; it is not a guarantee of an attainable intervention. The repair operator is established, suppression is partial, and no consistent downstream benefit is demonstrated. We make no claim of clinical utility, privacy protection or superiority over untested deconfounding families.</w:t>
      </w:r>
    </w:p>
    <w:p>
      <w:r>
        <w:t>Additional analyses report nominal-label metrics, recoding sensitivity, within-group permutation scales, grouping assumptions and an exploratory encoder-refit comparison. They do not resolve all patient identifiers, establish fully nested validation for every cohort, or turn the association threshold into a group-level significance test. These limits are stated alongside the results.</w:t>
      </w:r>
    </w:p>
    <w:p>
      <w:r>
        <w:t>Related manuscript. We disclose a related manuscript by the same group that also develops label-dependence indexing and uses overlapping public cervical accessions. It is not relied on as evidence in the present paper. A copy and its actual editorial status should accompany submission; independently recomputing a value does not by itself establish that results or text do not overlap.</w:t>
      </w:r>
    </w:p>
    <w:p>
      <w:r>
        <w:t>Archive. A public manuscript and associated earlier code snapshot are available at https://doi.org/10.5281/zenodo.23640979 and https://github.com/WorldBMW/pathway-anchored-risk-benchmark. The frozen repository version does not contain the complete audit and reanalysis scripts used here. The corresponding current-revision code, result records and checksum manifest are prepared as a separate reproducibility package; the existing DOI is cited as a historical snapshot, not as a claim that the present analysis is fully reproduced by that deposit.</w:t>
      </w:r>
    </w:p>
    <w:p>
      <w:r>
        <w:t>AI-assisted language editing and code review, including assistance with drafting analysis scripts, are disclosed in the manuscript. The authors remain responsible for the submitted content. Author approval, exclusive-submission status and related-manuscript status require confirmation before upload.</w:t>
      </w:r>
    </w:p>
    <w:p>
      <w:r>
        <w:t>Sincerely,</w:t>
      </w:r>
    </w:p>
    <w:p>
      <w:r>
        <w:t>Lang Guo, on behalf of the authors</w:t>
      </w:r>
    </w:p>
    <w:p>
      <w:r>
        <w:t>School of Pharmacy, Shenyang Medical College, Shenyang 110034, China</w:t>
      </w:r>
    </w:p>
    <w:p>
      <w:r>
        <w:t>guolang1016@symc.edu.cn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