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2"/>
        </w:rPr>
        <w:t>Auditing label dependence and sibling-unit inflation in group-structured representations</w:t>
      </w:r>
    </w:p>
    <w:p>
      <w:r>
        <w:rPr>
          <w:b/>
        </w:rPr>
        <w:t>Authors:</w:t>
      </w:r>
      <w:r>
        <w:t xml:space="preserve"> Mingwei Bai¹, Zhengmin Gu², Ye Zhang², Zhiping Ni¹, Lang Guo³</w:t>
      </w:r>
    </w:p>
    <w:p>
      <w:r>
        <w:rPr>
          <w:b/>
        </w:rPr>
        <w:t>Affiliations:</w:t>
      </w:r>
      <w:r>
        <w:t xml:space="preserve"> ¹JiMei Technology Group Co., Ltd., Shenyang 110002, China; ²Medical Record Management Center, The First Hospital of China Medical University, Shenyang 110002, China; ³School of Pharmacy, Shenyang Medical College, Shenyang 110034, China</w:t>
      </w:r>
    </w:p>
    <w:p>
      <w:r>
        <w:rPr>
          <w:b/>
        </w:rPr>
        <w:t>Correspondence:</w:t>
      </w:r>
      <w:r>
        <w:t xml:space="preserve"> Lang Guo, School of Pharmacy, Shenyang Medical College, 146 Huanghe North Avenue, Shenyang 110034, China. Tel: +86 13555707001; E-mail: guolang1016@symc.edu.cn</w:t>
      </w:r>
    </w:p>
    <w:p>
      <w:r>
        <w:rPr>
          <w:b/>
        </w:rPr>
        <w:t>Author e-mails:</w:t>
      </w:r>
      <w:r>
        <w:t xml:space="preserve"> Mingwei Bai, baimingwei@jm360.cn; Zhengmin Gu, guzm@cmulh.com; Ye Zhang, 13332457636@163.com; Zhiping Ni, nizhiping@jm360.cn; Lang Guo, guolang1016@symc.edu.cn</w:t>
      </w:r>
    </w:p>
    <w:p>
      <w:r>
        <w:rPr>
          <w:b/>
        </w:rPr>
        <w:t>Manuscript type:</w:t>
      </w:r>
      <w:r>
        <w:t xml:space="preserve"> Original research article. Lang Guo is the corresponding author.</w:t>
      </w:r>
    </w:p>
    <w:p>
      <w:pPr>
        <w:pStyle w:val="Heading1"/>
      </w:pPr>
      <w:r>
        <w:rPr>
          <w:rFonts w:ascii="Times New Roman" w:hAnsi="Times New Roman"/>
          <w:color w:val="000000"/>
        </w:rPr>
        <w:t>HIGHLIGHTS</w:t>
      </w:r>
    </w:p>
    <w:p>
      <w:pPr>
        <w:ind w:left="432" w:hanging="432"/>
      </w:pPr>
      <w:r>
        <w:t>1. Paired unit and group holdouts reveal sibling-unit inflation</w:t>
      </w:r>
    </w:p>
    <w:p>
      <w:pPr>
        <w:ind w:left="432" w:hanging="432"/>
      </w:pPr>
      <w:r>
        <w:t>2. Refit permutation audits measure label association after intervention</w:t>
      </w:r>
    </w:p>
    <w:p>
      <w:pPr>
        <w:ind w:left="432" w:hanging="432"/>
      </w:pPr>
      <w:r>
        <w:t>3. A fixed-scale bound exposes conflict in a remove-and-preserve gate</w:t>
      </w:r>
    </w:p>
    <w:p>
      <w:pPr>
        <w:ind w:left="432" w:hanging="432"/>
      </w:pPr>
      <w:r>
        <w:t>4. Repair reduces identity decoding without demonstrated endpoint benefit</w:t>
      </w:r>
    </w:p>
    <w:p>
      <w:pPr>
        <w:pStyle w:val="Heading1"/>
      </w:pPr>
      <w:r>
        <w:rPr>
          <w:rFonts w:ascii="Times New Roman" w:hAnsi="Times New Roman"/>
          <w:color w:val="000000"/>
        </w:rPr>
        <w:t>IN BRIEF</w:t>
      </w:r>
    </w:p>
    <w:p>
      <w:r>
        <w:t>Bai and colleagues audit label dependence in grouped representations using refit permutation inference and paired unit and group holdouts. Spatial transcriptomic controls and two non-biological datasets reveal evaluation inflation and limits of adversarial repair. Reduced label association alone does not establish removal of identity leakage or improved prediction.</w:t>
      </w:r>
    </w:p>
    <w:p>
      <w:pPr>
        <w:pStyle w:val="Heading1"/>
      </w:pPr>
      <w:r>
        <w:rPr>
          <w:rFonts w:ascii="Times New Roman" w:hAnsi="Times New Roman"/>
          <w:color w:val="000000"/>
        </w:rPr>
        <w:t>SUMMARY</w:t>
      </w:r>
    </w:p>
    <w:p>
      <w:r>
        <w:t>Repeated observations from the same patient, subject, or batch can inflate evaluation when related units cross validation folds. We examine this problem through paired unit-level and group-level holdouts, a label-dependence index calibrated by refitting a ridge probe under label permutation, and adversarial interventions on learned representations. Spatial transcriptomic simulations and public cohorts reveal that unit-level evaluation can remain optimistic after group-level transfer deteriorates. Two non-biological datasets show smaller but consistent sibling-unit inflation. A fixed-null-scale inequality identifies when low label dependence and retention of the same association are incompatible; it does not guarantee a reachable repair dose. Identity decoding decreases only partially, and no accepted intervention demonstrates improved downstream prediction. The resulting workflow separates label association, sibling-unit inflation, identity decoding, and retained utility, with explicit limits on causal interpretation and cross-domain transfer.</w:t>
      </w:r>
    </w:p>
    <w:p>
      <w:r>
        <w:rPr>
          <w:b/>
        </w:rPr>
        <w:t>Keywords:</w:t>
      </w:r>
      <w:r>
        <w:t xml:space="preserve"> grouped data; evaluation leakage; permutation inference; representation auditing; adversarial training; spatial transcriptomics</w:t>
      </w:r>
    </w:p>
    <w:p>
      <w:pPr>
        <w:pStyle w:val="Heading1"/>
      </w:pPr>
      <w:r>
        <w:rPr>
          <w:rFonts w:ascii="Times New Roman" w:hAnsi="Times New Roman"/>
          <w:color w:val="000000"/>
        </w:rPr>
        <w:t>GRAPHICAL ABSTRACT</w:t>
      </w:r>
    </w:p>
    <w:p>
      <w:r>
        <w:rPr>
          <w:b/>
        </w:rPr>
        <w:t>Graphical abstract.</w:t>
      </w:r>
      <w:r>
        <w:t xml:space="preserve"> The audit reports four separate objects: label association under unit holdout, association under group holdout, direct group-identity decoding, and retained utility. LDI uses the archived unit-permutation reference and must not be labeled a group-level leakage certificate. The fixed-scale compatibility bound concerns the same association on both axes. Spatial transcriptomics supplies controls and biological readouts; HAR and gas drift supply exploratory audits only. No downstream benefit was demonstrated.</w:t>
      </w:r>
    </w:p>
    <w:p>
      <w:pPr>
        <w:pStyle w:val="Heading1"/>
      </w:pPr>
      <w:r>
        <w:rPr>
          <w:rFonts w:ascii="Times New Roman" w:hAnsi="Times New Roman"/>
          <w:color w:val="000000"/>
        </w:rPr>
        <w:t>BIGGER PICTURE</w:t>
      </w:r>
    </w:p>
    <w:p>
      <w:r>
        <w:t>Many datasets contain repeated measurements from the same person, institution, or instrument. Randomly splitting these measurements can place related observations in both training and evaluation sets. Performance on such a split may say little about performance on a new person or site.</w:t>
      </w:r>
    </w:p>
    <w:p>
      <w:r>
        <w:t>This study examines how to audit representations in that setting. We compare predictions when one observation is held out with predictions when its entire group is held out, and express label association relative to a refitted permutation reference. We then examine what changes when an adversarial training objective discourages recognition of group identity. These measurements answer different questions: label association is not itself evidence of leakage, and weak association is not evidence that identity has been erased.</w:t>
      </w:r>
    </w:p>
    <w:p>
      <w:r>
        <w:t>The experiments include spatial transcriptomic controls and public biological cohorts, plus exploratory audits of wearable activity and chemical sensor data. Repair reduced some measures of identity decoding but did not demonstrate improved downstream prediction. An algebraic bound also shows that requiring both a low value of an association statistic and preservation of that same statistic can be contradictory. The practical contribution is an evidence-traceable workflow for reporting these trade-offs, rather than a universally effective repair or a guarantee of deployment performance.</w:t>
      </w:r>
    </w:p>
    <w:p>
      <w:pPr>
        <w:pStyle w:val="Heading1"/>
      </w:pPr>
      <w:r>
        <w:rPr>
          <w:rFonts w:ascii="Times New Roman" w:hAnsi="Times New Roman"/>
          <w:color w:val="000000"/>
        </w:rPr>
        <w:t>INTRODUCTION</w:t>
      </w:r>
    </w:p>
    <w:p>
      <w:r>
        <w:t>Patients contribute multiple tissue measurements, subjects contribute many sensor windows, and instruments generate repeated readings. These observations are dependent. If related units appear on both sides of an evaluation split, models can exploit information shared within a group. Group-disjoint evaluation is therefore established practice when the intended use is prediction on previously unseen groups.[7,39,40] Leakage is a recognized source of irreproducibility across machine-learning applications,[1,22] and shortcut learning can preserve benchmark performance without solving the intended task.[4–6] Repeated units create an opportunity for leakage; they do not guarantee that a model will exploit it or that every random split will be optimistic.</w:t>
      </w:r>
    </w:p>
    <w:p>
      <w:r>
        <w:t>An existing representation can be examined without retraining its encoder by fitting probes under explicitly declared holdouts. Such an analysis is conditional on the representation: if the encoder was fitted using all observations, holding groups out only from a probe does not make the complete pipeline externally validated. Moreover, a probe's association with a target label is distinct from its ability to decode group identity. Strong label association may reflect a shared biological program, a nuisance shortcut, or both. A low association may reflect successful nuisance reduction or destruction of useful information. These alternatives require separate measurements and controls.</w:t>
      </w:r>
    </w:p>
    <w:p>
      <w:r>
        <w:t>We study an audit workflow combining a ridge-probe label-dependence index (LDI), paired leave-one-unit-out and leave-one-group-out associations, group-identity decoding, and retained signal or downstream endpoints. LDI expresses the unit-level cross-validated label association relative to its refit permutation scale. It is not a direct estimate of the fraction of predictive performance caused by identity. Where one unit corresponds to one group, unit and group holdouts coincide; where groups contribute siblings, we report both rather than treating them as interchangeable. The unit-versus-group difference is the statistic that directly describes sibling-unit inflation in this study.</w:t>
      </w:r>
    </w:p>
    <w:p>
      <w:r>
        <w:t>Adversarial representation learning is an established approach to domain invariance and sensitive-attribute suppression.[2,3,26–28,35,36] We use a standard gradient-reversal group classifier as an intervention, not as a novel operator. Group-DRO[9] and invariant risk minimization[10] provide additional comparisons on the recorded configurations. Batch-integration methods address related but different objectives,[11,12,32–34] and linear projection is a relevant inexpensive alternative.[31] We make no claim that this intervention outperforms the wider family of deconfounding methods.</w:t>
      </w:r>
    </w:p>
    <w:p>
      <w:r>
        <w:t>The study asks three questions. First, can unit-level association remain high while group-level transfer deteriorates? We examine a controlled multi-unit simulation and two public non-biological datasets. Second, can a label-association gate conflict with retention of the same association? We derive a fixed-scale interval condition and distinguish that algebraic condition from existence of a reachable repair dose. Third, what does the intervention preserve or damage in spatial transcriptomics? Planted controls assess signal retention and detector behavior, while three public cohorts provide dose responses and downstream readouts. Cross-cohort contrasts are descriptive, because label semantics, cohort composition, and signal strength change together.</w:t>
      </w:r>
    </w:p>
    <w:p>
      <w:r>
        <w:t>The scope is deliberately limited. Spatial transcriptomics supplies the planted controls and biological readouts. Wearable activity recognition and gas-sensor drift supply exploratory audits of sibling-unit inflation and partial identity suppression, without evidence of downstream benefit. The other domains mapped in Table 4 are untested. No accepted repair improved a measured downstream endpoint. The contribution is the explicit separation and traceability of these measurements, together with the failure modes revealed by their disagreement.</w:t>
      </w:r>
    </w:p>
    <w:p>
      <w:r>
        <w:t>Earlier examples include slice-versus-subject evaluation in brain MRI,[41] while language-model contamination concerns a different route by which evaluation information can enter training.[8] Previous adversarial studies also show why suppressing a classifier need not erase encoded attributes.[29,30] Spatial-transcriptomic representation learning provides a relevant application context,[19] but the present experiments do not establish patient-level deployment benefit. Fairness outcomes require their own definitions and measurements,[20,37] and versioned public artifacts are required for FAIR reuse.[21]</w:t>
      </w:r>
    </w:p>
    <w:p>
      <w:pPr>
        <w:pStyle w:val="Heading1"/>
      </w:pPr>
      <w:r>
        <w:rPr>
          <w:rFonts w:ascii="Times New Roman" w:hAnsi="Times New Roman"/>
          <w:color w:val="000000"/>
        </w:rPr>
        <w:t>RESULTS</w:t>
      </w:r>
    </w:p>
    <w:p>
      <w:r>
        <w:rPr>
          <w:b/>
        </w:rPr>
        <w:t>Interpretation of archived results.</w:t>
      </w:r>
      <w:r>
        <w:t xml:space="preserve"> The numerical results below retain the original experimental configurations. LDI is calibrated on unit-level τ_LOO, whereas sibling inflation is the separate difference τ_LOO − τ_LGO. The two coincide only for a one-to-one unit/group map. In the multi-unit audits, the published dual gate uses τ_LOO for both the dependence and retention axes; it is not a group-level acceptance certificate. The fixed-scale feasibility calculation describes interval overlap, not existence of a reachable dose. Nominal-label rank coding, non-group-preserving permutations, and representation fitting before probe holdouts limit inferential claims. These restrictions apply to every result, figure and table below; details are in Experimental Procedures and Discussion.</w:t>
      </w:r>
    </w:p>
    <w:p>
      <w:pPr>
        <w:pStyle w:val="Heading2"/>
      </w:pPr>
      <w:r>
        <w:rPr>
          <w:rFonts w:ascii="Times New Roman" w:hAnsi="Times New Roman"/>
          <w:color w:val="000000"/>
        </w:rPr>
        <w:t>Projection outcomes in the tested representations</w:t>
      </w:r>
    </w:p>
    <w:p>
      <w:r>
        <w:t>Groups g = 1 … G contribute repeated analysis units. A representation may retain group-specific features, which a probe can exploit when sibling units remain in its training set. We therefore distinguish τ_in, τ_LOO and τ_LGO as defined in Experimental Procedures. LDI = (τ_LOO − 0.001)/σ̂ and R = τ_LOO/τ_in use the archived unit-level probe; neither alone measures identity removal. Δ = τ_LOO − τ_LGO reports the observed difference between unit and group holdouts.</w:t>
      </w:r>
    </w:p>
    <w:p>
      <w:r>
        <w:t>In the main transcriptomic experiments the encoder acts on spots and the audit generally consumes section means. The head-and-neck data have 16 sections and 16 recorded groups. The cervical archive reports 35 section units and 34 donor groups; its τ_LOO and τ_LGO are therefore not interchangeable. The separate resolution ladder groups by 35 section identifiers. The actual grouping map, not the term “donor” in a label, determines the evaluation target.</w:t>
      </w:r>
    </w:p>
    <w:p>
      <w:r>
        <w:t>The cheapest repair for an already-trained model is a post-hoc projection removing the group-mean subspace from the embedding (identity residualization). We tested this first because it requires no retraining, on a real cohort and on simulation arms, and it fails mechanistically. On the cervical cohort, projecting out a single group-mean direction (k = 1) left the in-sample label association intact (τ_in unchanged at 0.46) while the leave-one-out association (the part that transfers across groups) was destroyed (mean τ_LOO 0.46 → −0.08; per-seed −0.38 to +0.19); pushing to k = 2 collapsed both together (τ_LOO −0.44, τ_in 0.05). On the shared-program simulation (whose target program is a shared, group-transferable signal of known amplitude) the collapse was immediate and total (τ_LOO 0.71 → −0.71, τ_in → 0.02 at k = 1). In other words, the projection deleted both the group-specific nuisance fingerprints and the generalisable target information, because after training they occupy the same subspace (Figure 1B–1C): the encoder has already folded group identity and target signal into joint directions that a post-hoc linear filter cannot disentangle. The in-sample metric, which only measures memorization capacity, stays high while the transferable signal is already gone and gives no warning.</w:t>
      </w:r>
    </w:p>
    <w:p>
      <w:r>
        <w:t>This negative result is specific to the tested projection and representations. It motivates separate retained-signal measurements; it does not rule out every post-hoc intervention or establish that retraining is necessary in general.</w:t>
      </w:r>
    </w:p>
    <w:p>
      <w:pPr>
        <w:pStyle w:val="Heading2"/>
      </w:pPr>
      <w:r>
        <w:rPr>
          <w:rFonts w:ascii="Times New Roman" w:hAnsi="Times New Roman"/>
          <w:color w:val="000000"/>
        </w:rPr>
        <w:t>An auditable repair framework: operator, acceptance protocol, and operating characteristics</w:t>
      </w:r>
    </w:p>
    <w:p>
      <w:r>
        <w:rPr>
          <w:b/>
        </w:rPr>
        <w:t>Repair operator.</w:t>
      </w:r>
      <w:r>
        <w:t xml:space="preserve"> We train a graph-attention encoder[13] on the unit-level spatial graph (k-nearest-neighbour, k = 6, with a large coordinate offset that prevents cross-slide edges) with a linear decoder reconstructing expression, and attach a group-identity classifier through a gradient-reversal layer[2,3] with ramped reversal strength α = min(1, 2·epoch/T) (a stability-hardened variant ramps only after a 50-epoch adversary warm-up, with α = 0 before it). The adversary maximizes group-identity accuracy; the encoder, through the reversal, minimizes it. A single hyperparameter λ scales the adversarial term: λ = 0 recovers the un-repaired baseline, and increasing λ doses the repair. In our validation domain the grouping variable is the donor, the units are tissue spots, and the local software instantiation is MRP-ST-Repair.</w:t>
      </w:r>
    </w:p>
    <w:p>
      <w:r>
        <w:rPr>
          <w:b/>
        </w:rPr>
        <w:t>Safety: a strong shared program survives every dose.</w:t>
      </w:r>
      <w:r>
        <w:t xml:space="preserve"> A method that claims to remove leakage must first prove that it does not remove everything. We ran a safety panel on the shared-program positive-control cohort across program amplitudes {0.5, 1.0, 1.5, 2.5}, adversarial doses λ ∈ {0, 0.5, 1, 2, 5}, and three seeds with the GAT encoder (60 runs), plus a graph-convolutional encoder[14] at the reference amplitude (15 runs). In 75 of 75 runs the post-repair leave-one-out association stayed at the analytic ceiling for the cohort's class sizes (τ = 0.707 for 50-versus-40 groups; R ≥ 0.989 in every run), and the LDI stayed at its high baseline (≈ 5.8 at the reference amplitude; 5.6–6.1 across all amplitudes) at every dose (Figure 2A). The safety panel and the matched simulation cohorts of Table 3 are two different parameterisations of the same generator and should not be read as one cohort: the panel uses 50-versus-40 label classes and sits at LDI 5.6–6.1, whereas the matched cohorts of Table 3 use 32 donors in 18-versus-14 classes (800 units each) and sit at +3.54 on the safety arm; the difference in level is a difference of configuration. This is the correct outcome, not a failure: a shared, group-transferable program should survive de-identification, and the detector should keep flagging it as genuine label dependence. In these positive-control configurations the intervention preserved the planted signal; identity suppression must be assessed separately.</w:t>
      </w:r>
    </w:p>
    <w:p>
      <w:r>
        <w:rPr>
          <w:b/>
        </w:rPr>
        <w:t>Non-blindness: the auditor still separates true from spurious after repair.</w:t>
      </w:r>
      <w:r>
        <w:t xml:space="preserve"> Auditability requires more than a working repair: the acceptance instrument must survive the repair it is grading. On the identity-confounding control cohort (where every group, regardless of class, carries a group-specific fingerprint of identical amplitude, so labels can only be fit by memorizing identity) repaired models were correctly graded unsupported in 45 of 45 runs (three configurations × three seeds × five doses; 36 of them carry λ &gt; 0, and the nine undosed baselines are graded unsupported on the same criterion). The largest LDI seen in any configuration, including λ = 0, is 1.554, so the result does not depend on counting baselines: restricting to dosed cells leaves 36 of 36 (Table S2; Figure 2B). The instrument's false-alarm behaviour is therefore preserved under repair. On a weak-signal-plus-heterogeneity cohort, where only one of three seeds was detectable at baseline, moderate repair (λ = 0.5) raised the association in all three seeds (mean τ 0.05 → 0.145, the two previously undetectable seeds moving from −0.03 to +0.13) though none crossed the calibrated gate (per-seed LDI 1.08–1.39; Table S1). This is a small but consistent de-identification-as-preconditioning effect; we report its magnitude honestly and build no claims on it.</w:t>
      </w:r>
    </w:p>
    <w:p>
      <w:r>
        <w:rPr>
          <w:b/>
        </w:rPr>
        <w:t>Backbone generality: the verdict is not an artifact of spatial message passing.</w:t>
      </w:r>
      <w:r>
        <w:t xml:space="preserve"> Two replications ask whether any of this depends on the encoder. Replacing the graph-attention encoder with a graph-convolutional one reproduced the safety panel (15/15 at ceiling), the non-blindness result (15/15 no false alarms) and the external-cohort dose–response shape (Table S5). The stronger test replaces it with a two-layer perceptron of the same widths that performs no message passing at all: the encoder family used in the cross-domain audit below, which is what makes this replication load-bearing rather than decorative. Holding decoder, adversary, gradient-reversal schedule, dose grid, seeds and audit instrument fixed and changing only the encoder, the two backbones agreed both on the quantity Proposition 1 keys on and on the outcome it predicts, in both simulated arms and in opposite directions. On the strong-signal arm, τ_base/σ̂ was 3.54 under graph attention and 3.60 under the perceptron (three seeds each; LDI 3.54 ± 0.06 and 3.60 ± 0.06 at λ = 0): both above the 2.35 threshold, so both predicted an empty dual gate and both produced one (0/12 and 0/12 dosed seed × dose cells accepted), with τ_LDO identical to four decimals (0.7128) at every dose under both. On the spurious arm, where the label carries no transferable program, τ_base/σ̂ was 0.35 and 0.52 (both below the threshold) and both produced accepted cells (2/12 and 2/12). Two readings matter. The accepted cells on the spurious arm are not evidence that repair helped: they occur where the baseline association is itself near zero, so the relative fidelity gate (τ_LDO ≥ 0.7 · τ_base) is satisfied almost automatically. Proposition 1 is a statement about the existence of a feasible operating point, not about whether that point is worth using, and this is precisely the regime where the difference bites: a useful caution for anyone deploying the gate. And the backbone-to-backbone difference (0.06 LDI on the strong-signal arm, 0.18 on the spurious arm, at λ = 0) is smaller than the seed-to-seed spread within a backbone on the same arm (SD 0.02–0.07 and 0.11–1.25 respectively), which is the honest scale at which to read the comparison. What the replication licenses is narrow but important: the perceptron used in the cross-domain audit gives the same verdict as the graph encoder on the validation domain's own data, so that audit's change of encoder is a replication rather than an untested confound (Table S12).</w:t>
      </w:r>
    </w:p>
    <w:p>
      <w:r>
        <w:rPr>
          <w:b/>
        </w:rPr>
        <w:t>The three-axis acceptance protocol.</w:t>
      </w:r>
      <w:r>
        <w:t xml:space="preserve"> Because repair changes the very statistic used to grade it, acceptance cannot be a single threshold. We use three axes: (i) </w:t>
      </w:r>
      <w:r>
        <w:rPr>
          <w:i/>
        </w:rPr>
        <w:t>safety</w:t>
      </w:r>
      <w:r>
        <w:t xml:space="preserve">: the transferable association is preserved relative to baseline on positive controls; (ii) </w:t>
      </w:r>
      <w:r>
        <w:rPr>
          <w:i/>
        </w:rPr>
        <w:t>leakage reduction</w:t>
      </w:r>
      <w:r>
        <w:t xml:space="preserve">: the in-sample memorization gap (τ_in − τ_LOO) shrinks, and on identity-confounding controls the planted fingerprint contribution is reduced; (iii) </w:t>
      </w:r>
      <w:r>
        <w:rPr>
          <w:i/>
        </w:rPr>
        <w:t>non-blindness</w:t>
      </w:r>
      <w:r>
        <w:t xml:space="preserve">: the instrument still grades known controls correctly after repair (true program: supported; identity-confounding: unsupported). Acceptance is then a statement about </w:t>
      </w:r>
      <w:r>
        <w:rPr>
          <w:i/>
        </w:rPr>
        <w:t>which kind</w:t>
      </w:r>
      <w:r>
        <w:t xml:space="preserve"> of label dependence remains, not a demand that all label dependence vanish. This is also the sense in which the word "repaired" is used throughout: passing the gate means the measured group dependence has been brought below a calibrated threshold, not that group identity has been erased. On the audited cohorts repair lowered group-identity lift from 10.0x to 5.4x chance (wearable) and from 9.2x to 7.2x (gas sensor), and it cleared only about 12% of the planted in-sample fingerprint on the identity-confounding control, so a downstream consumer must not assume the group is unrecoverable from the representation. Stated in the form used everywhere in this paper: passing the audit gate means group-dependent leakage has been reduced below a calibrated threshold; it does not mean group identity is fully unrecoverable, and in our own experiments group-identity lift remains several-fold above chance after accepted repair. The next section shows why the second formulation is necessary and not merely preferable.</w:t>
      </w:r>
    </w:p>
    <w:p>
      <w:r>
        <w:t>One quantitative honesty note belongs here. On the identity-confounding control, in-sample fingerprint clearance under repair was partial (≈ 12% reduction at the strongest dose, stable across seeds and across the stability-hardened variant; Table S2): memorized identity rides not only on the fingerprint we planted but also on unplanned group-specific components (batch offsets, spatial-field phase). In-sample τ is therefore a memorization-capacity bound rather than a calibrated leakage measure, which is why the group-level LDI, not τ_in, is the referee.</w:t>
      </w:r>
    </w:p>
    <w:p>
      <w:pPr>
        <w:pStyle w:val="Heading2"/>
      </w:pPr>
      <w:r>
        <w:rPr>
          <w:rFonts w:ascii="Times New Roman" w:hAnsi="Times New Roman"/>
          <w:color w:val="000000"/>
        </w:rPr>
        <w:t>The sibling-unit trap: unit-level evaluation can be optimistic when groups contribute sibling units</w:t>
      </w:r>
    </w:p>
    <w:p>
      <w:r>
        <w:t>We place this result immediately after the instrument because it is the most transferable finding in the paper and it does not depend on the repair. We generated a second phase grid that differs from the group-count grid of Decision boundary II in one respect: units per group k ∈ {2, 4, 8} at 16 groups, with the shared group fingerprint as the sole leakage channel and dose λ on the third axis, three seeds per cell, and we evaluated two statistics side by side: the unit-level leave-one-out τ used so far, and the group-level τ_LDO in which every unit of a held-out group is removed jointly. At λ = 0 the two coincide at the ceiling (0.713 for the 18-versus-14 unit classes): the shared program transfers across groups, as it should. After repair they separate dramatically (Figure 3C): unit-level leave-one-out stayed pinned at the ceiling in all 45 runs across k ∈ {2, 4, 8} (each k at its own class-size ceiling), while τ_LDO collapsed (at k = 2: 0.713 → 0.585 at λ = 2 and → 0.230 at λ = 5). The unit-level split is silently rescued by sibling units: the held-out unit's group remains in training through its siblings, so "generalization" is partly a re-identification match. Here the same effect is produced and controlled with a single knob.</w:t>
      </w:r>
    </w:p>
    <w:p>
      <w:r>
        <w:t>The effect is not confined to simulation. On the two real cross-domain cohorts audited below, a subject contributes about 343 windows and a measurement batch about 1,391 measurements, and τ_LOO − τ_LGO is positive in all 15 seed × dose cells of each cohort, with per-cell ranges that do not overlap between cohorts (HAR +0.0010 to +0.0095; gas drift +0.0209 to +0.0697; Table 5, Table S13). The trap therefore rests on two independent supports: 45 of 45 simulated runs and 30 of 30 real cross-domain cells. Neither of them is one of the two small cohorts that carry the repair result, which is why we separate this claim from the question of how far the positive repair evidence extends.</w:t>
      </w:r>
    </w:p>
    <w:p>
      <w:r>
        <w:t xml:space="preserve">Our main repairability calculations use section-level embeddings; unit and group holdouts coincide only when the recorded section-to-group map is one-to-one, and we state the resulting recommendation as a protocol rule: </w:t>
      </w:r>
      <w:r>
        <w:rPr>
          <w:b/>
        </w:rPr>
        <w:t>whenever a group contributes more than one unit, model acceptance must be measured at the group level, never the unit level.</w:t>
      </w:r>
      <w:r>
        <w:t xml:space="preserve"> The grid probes k ∈ {1, 2, 4, 8}, which is three orders of magnitude below the representation-level group size of our validation cohorts (about 3,617 spots per donor) and is not intended to match it: what decides whether the trap binds is the number of units a group contributes </w:t>
      </w:r>
      <w:r>
        <w:rPr>
          <w:i/>
        </w:rPr>
        <w:t>at the resolution at which the model is consumed</w:t>
      </w:r>
      <w:r>
        <w:t>. In the head-and-neck configuration there is one section per group. The cervical archive instead reports 35 sections and 34 donor groups, so equality cannot be assumed there; in the cross-domain cohorts it is about 343 windows per subject and 1,391 measurements per batch, so the trap is live there (Figure 5B). A reader who compares the grid's k against a spot count is comparing the wrong pair of numbers. The rule is a contribution about evaluation hygiene rather than about our operator: it applies to any model on any group-structured dataset, and it costs nothing to adopt.</w:t>
      </w:r>
    </w:p>
    <w:p>
      <w:pPr>
        <w:pStyle w:val="Heading2"/>
      </w:pPr>
      <w:r>
        <w:rPr>
          <w:rFonts w:ascii="Times New Roman" w:hAnsi="Times New Roman"/>
          <w:color w:val="000000"/>
        </w:rPr>
        <w:t>A fixed-scale compatibility check for the dual gate</w:t>
      </w:r>
    </w:p>
    <w:p>
      <w:r>
        <w:t>For the same post-intervention statistic τ and a fixed σ̂ &gt; 0, the two requirements LDI &lt; 1.645 and τ ≥ cτ_base overlap if and only if cτ_base &lt; 0.001 + 1.645σ̂ (Proposition 1). At c = 0.7 and a negligible null floor, the corresponding ratio threshold is approximately 2.35. This is a necessary compatibility condition for the two numerical requirements, not proof that a particular model or dose reaches the overlap. The result concerns label association rather than group-identity independence.</w:t>
      </w:r>
    </w:p>
    <w:p>
      <w:r>
        <w:t>Table 1 reports baseline ratios and their associated approximate critical retention. Shared-program simulation, cervical, head-and-neck and prostate ratios are approximately 5.8, 2.4, 2.18 and 2.0; HAR and gas drift are 13.8 and 11.0. Because σ̂ is refitted after intervention, a baseline-only exclusion requires a fixed-scale convention or a prespecified upper bound on its drift. The archived external-cohort fixed-versus-refitted comparison changes no dependence-gate decision (Table S14), which is an empirical sensitivity analysis, not a general invariance theorem.</w:t>
      </w:r>
    </w:p>
    <w:p>
      <w:r>
        <w:t>When τ_LOO grades dependence and τ_LGO grades fidelity, the gates involve different statistics and this one-dimensional equivalence does not apply. The archived multi-unit runners use τ_LOO for both gate axes and report group-level retention separately. An empty dual gate can therefore arise from retaining a genuinely strong label program, and should not be interpreted as inability to remove a nuisance identity. Conversely a near-null baseline makes a relative retention requirement uninformative. The spurious simulation arm illustrates this degeneracy (Table S12).</w:t>
      </w:r>
    </w:p>
    <w:p>
      <w:pPr>
        <w:pStyle w:val="Heading2"/>
      </w:pPr>
      <w:r>
        <w:rPr>
          <w:rFonts w:ascii="Times New Roman" w:hAnsi="Times New Roman"/>
          <w:color w:val="000000"/>
        </w:rPr>
        <w:t>Decision boundary I: label–identity coupling and observed repairability</w:t>
      </w:r>
    </w:p>
    <w:p>
      <w:r>
        <w:t>Two real cohorts, two label types, one method, opposite outcomes.</w:t>
      </w:r>
    </w:p>
    <w:p>
      <w:r>
        <w:rPr>
          <w:b/>
        </w:rPr>
        <w:t>Cervical neoplasia (ordinal severity; 35 Visium slides).</w:t>
      </w:r>
      <w:r>
        <w:t xml:space="preserve"> With unbounded identity information, the baseline model's leave-one-out association is large relative to the null scale (τ_LOO ≈ 0.42; LDI ≈ 2.4–2.5 at λ = 0; Table S3). Dosing the repair produced a bistable response that survived stability hardening (adversary warm-up, gradient clipping, spectral-normalized adversary heads): low doses (λ ≤ 1) left LDI above the gate (2.00–2.52), while at high doses (λ ∈ {2, 5}) every seed produced below-gate runs (LDI 0.62–1.15) that retained only 27–50% of the transferable association, and the response was erratic rather than monotone: the same seed sat above the gate at one high dose and below it at the other (LDI 2.41 at λ = 2 but 0.80 at λ = 5 in one seed; 1.15 at λ = 2 but 2.42 at λ = 5 in another). There is no stable intermediate operating point. The mechanistic reading is direct: an ordinal severity label (normal, high-grade intraepithelial lesion, carcinoma) encodes each patient's individual pathological history; severity and identity are nearly the same variable in a small cohort, so any dose strong enough to strip identity also strips the label. What is large on this cohort is the level of the held-out association relative to the permutation null (about 0.17), not the drop away from the in-sample fit: the in-sample association is almost entirely retained under donor holdout (τ_in = 0.462 against a τ_LOO of about 0.42, a retention of 0.92; Table S3). The mechanistic reading above rests on the dose response and on the random-label control of the next paragraph.</w:t>
      </w:r>
    </w:p>
    <w:p>
      <w:r>
        <w:rPr>
          <w:b/>
        </w:rPr>
        <w:t>A random-label control tests the observed assignment.</w:t>
      </w:r>
      <w:r>
        <w:t xml:space="preserve"> Shuffling the 35 section-level labels while keeping class counts (31, 1, 3) gives a negative baseline LDI (mean −0.82) and negative values across the recorded doses (range −0.65 to −1.15). This checks sensitivity to label assignment. It breaks associations with both useful signal and nuisance structure and does not isolate a causal identity channel; with unique unit identifiers, a deterministic label-to-unit assignment still exists.</w:t>
      </w:r>
    </w:p>
    <w:p>
      <w:r>
        <w:rPr>
          <w:b/>
        </w:rPr>
        <w:t>Head and neck squamous cell carcinoma, external validation (etiological binary label; 16 patients, GSE268014).</w:t>
      </w:r>
      <w:r>
        <w:t xml:space="preserve"> We downloaded a public Visium cohort of HPV-positive and HPV-negative head-and-neck tumours and trained the same repair stack. The dose–response was qualitatively different and, for the first time in a real cohort, complete and non-monotonic in both statistics (Table 2; Figure 2C): LDI fell with dose to a minimum near λ = 0.5 (1.13–1.37, three of three seeds under the gate), then partially rebounded; R fell and then recovered, with one seed at the maximal dose regaining R = 0.90 (τ_LOO = 0.64); in an independent non-hardened replication the same seed and dose reached the analytic ceiling for 8-versus-8 patients (τ_LOO = τ_in = 0.7303: the theoretical maximum), a point of perfect group-transferable generalization (Table S4). Operating points below the LDI gate existed across λ ∈ {0.5, 1, 2}: seven of nine seed × dose cells, with all three seeds passing at λ = 0.5, and the transferable fraction at those cells spanned R = 0.38–0.60. One of those nine also clears the fidelity axis (τ_LDO ≥ 0.7 · τ_base), at λ = 2 with τ_LDO = 0.434, i.e. 0.73 of the baseline association, and that single cell is what the dual gate admits; the distance between seven and one is the conflict Proposition 1 describes, now measured rather than derived (the non-hardened replication reproduced the same shape, per-seed R 0.34–0.75 at λ = 2). Permutation-depth sensitivity was nil: recomputing the null at B = 10,000 instead of 2,000 permutations flipped no gate decision in the 15 external-cohort runs and moved σ̂ by ≤ 4.4%, and the leave-one-out statistic recomputed bit-identically.</w:t>
      </w:r>
    </w:p>
    <w:p>
      <w:r>
        <w:rPr>
          <w:b/>
        </w:rPr>
        <w:t>Prostate adenocarcinoma, second external validation (binary benign-versus-tumour label; 52 patients, GSE278936).</w:t>
      </w:r>
      <w:r>
        <w:t xml:space="preserve"> We used a 52-patient subset of GSE278936 (a 120-patient prostate cancer Visium cohort) comprising 4 benign prostatic hyperplasia and 48 tumour sections spanning treatment-naive, neoadjuvant-treated, castration-resistant, and metastatic disease, and ran the same repair stack (Table 2; Table S10). The baseline had label association above the reference (mean LDI = 2.04); repair at λ = 1.0 brought the mean LDI below the gate (1.51) while retaining R = 0.60 (per-seed 0.56–0.67), and an independent three-seed re-run reproduced the same accepted cell (mean LDI = 1.46) with the same seed remaining the highest-LDI seed. One caveat on the statistic: τ_in is pinned at 0.3805 in this cohort, the analytic tau-b ceiling for a 4-versus-48 label split, so R here is a rescaling of τ_LDO rather than an independent quantity and the acceptance claim rests on LDI against the calibrated gate. Compared with the head-and-neck cohort, clearance was less complete (LDI did not cross below zero), consistent with a tighter label–identity coupling: benign-versus-tumour is collinear with specimen provenance (hyperplasia specimens versus tumour specimens), leaving less label-independent variation for the adversary to preserve. The acceptance verdict was still positive at λ = 1.0.</w:t>
      </w:r>
    </w:p>
    <w:p>
      <w:r>
        <w:rPr>
          <w:b/>
        </w:rPr>
        <w:t>Descriptive contrast across cohorts.</w:t>
      </w:r>
      <w:r>
        <w:t xml:space="preserve"> The cohorts differ in label semantics, class balance, source and sample size, so their dose responses cannot isolate a causal effect of label–identity coupling. The archived contrasts motivate matched controls rather than establish a general repairability boundary. The section-level index also measures target-label association, not direct group-identity decoding.</w:t>
      </w:r>
    </w:p>
    <w:p>
      <w:pPr>
        <w:pStyle w:val="Heading2"/>
      </w:pPr>
      <w:r>
        <w:rPr>
          <w:rFonts w:ascii="Times New Roman" w:hAnsi="Times New Roman"/>
          <w:color w:val="000000"/>
        </w:rPr>
        <w:t>Decision boundary II: a group-count feasibility boundary</w:t>
      </w:r>
    </w:p>
    <w:p>
      <w:r>
        <w:t>If repairability depends on cohort structure, how does it scale with the number of groups? We generated a two-dimensional phase grid: groups n ∈ {4, 8, 16, 32, 64} (5:4 class ratio fixed) at one unit per group, a shared group fingerprint as the sole leakage channel (amplitude matched to the positive controls), and repair dose λ on the third axis, at two signal strengths (1.0 and 0.3), three seeds per cell.</w:t>
      </w:r>
    </w:p>
    <w:p>
      <w:r>
        <w:t xml:space="preserve">Two results, one negative and one positive, both informative. </w:t>
      </w:r>
      <w:r>
        <w:rPr>
          <w:b/>
        </w:rPr>
        <w:t>Negative:</w:t>
      </w:r>
      <w:r>
        <w:t xml:space="preserve"> at λ = 0 (no repair) the leave-one-out association stayed at ceiling for n ≥ 8 at signal 1.0: detection is group-count-robust at one-unit-per-group, because the leave-one-out probe already blocks the only leakage channel; a "leakage phase boundary" for </w:t>
      </w:r>
      <w:r>
        <w:rPr>
          <w:i/>
        </w:rPr>
        <w:t>detection</w:t>
      </w:r>
      <w:r>
        <w:t xml:space="preserve"> does not exist at k = 1. (That the auditor is itself robust to group count is a deliverable of this grid.) </w:t>
      </w:r>
      <w:r>
        <w:rPr>
          <w:b/>
        </w:rPr>
        <w:t>Positive:</w:t>
      </w:r>
      <w:r>
        <w:t xml:space="preserve"> the repair columns exhibit a sharp boundary (Figure 3A). At signal 1.0, for n ≤ 16 the cell-mean transferable fraction collapsed under most doses (minima per group count: −0.67 at n = 4, 0.08 at n = 8, 0.58 at n = 16; per-seed values in Table S8), while for n ≥ 32 no dose in any cell dropped the cell mean below 0.86 (all cell means ≥ 0.98 at n = 64): the feasibility boundary lies between 16 and 32 groups in this configuration (five-seed verification at the boundary cells in Table S6). The interval is a placement, not a constant; it moves with encoder capacity, noise, program–identity alignment and probe class, and it should be re-derived rather than quoted (Discussion). At signal 0.3 the boundary moved rightward, landing between 32 and 64 groups (worst cell mean 0.80 at n = 32). The mechanism is the subspace argument of the post-hoc failure, now at the population level: with few groups, the identity subspace spans or contains the program direction, so any dose that suppresses identity necessarily suppresses the program; with many groups, identity directions average out and the program survives. Weaker signals are geometrically closer to the identity subspace and need more groups to be recoverable. Dose–response within the damaged region was again non-monotonic (mid doses worst), matching the real-cohort behaviour.</w:t>
      </w:r>
    </w:p>
    <w:p>
      <w:r>
        <w:t xml:space="preserve">This boundary is the quantitative form of a decision rule: it gives a </w:t>
      </w:r>
      <w:r>
        <w:rPr>
          <w:i/>
        </w:rPr>
        <w:t>precondition</w:t>
      </w:r>
      <w:r>
        <w:t xml:space="preserve"> for repair (a group budget at a given signal strength) rather than a guarantee, and it explains where each real cohort sits on the repairability map: the cervical cohort with 35 slides but effectively few information groups per severity stratum and identity-severely-coupled labels, and the 16-patient head-and-neck cohort with an etiological label just below the signal-1.0 boundary but weaker coupling.</w:t>
      </w:r>
    </w:p>
    <w:p>
      <w:pPr>
        <w:pStyle w:val="Heading2"/>
      </w:pPr>
      <w:r>
        <w:rPr>
          <w:rFonts w:ascii="Times New Roman" w:hAnsi="Times New Roman"/>
          <w:color w:val="000000"/>
        </w:rPr>
        <w:t>Auditability as a discriminator: a failure-mode taxonomy for existing deconfounding methods</w:t>
      </w:r>
    </w:p>
    <w:p>
      <w:r>
        <w:t>To establish that the repair operator is not a repackaging of an existing deconfounding technique, we compared it against three widely used methods on two scale-matched simulation cohorts that differ only in the nature of the between-group signal. Cohort A carries a strong shared target program (the safety arm: repair must not kill a real, transferable signal); cohort C carries only an identity-fingerprint confound with no transferable class signal (the leakage arm). All methods were run on the same n × λ × k grid with three seeds; the LDI gate is 1.645. Only the adversarial repair simultaneously keeps τ_LDO at the ceiling in cohort A (R = 1.00, signal fully preserved) and drives LDI below zero in cohort C (leakage eliminated). Group-DRO leaves the leakage signal positive; IRM preserves the identity fingerprint as if it were an invariant feature (LDI rises to +3.2).</w:t>
      </w:r>
    </w:p>
    <w:p>
      <w:r>
        <w:rPr>
          <w:b/>
        </w:rPr>
        <w:t>On baselines.</w:t>
      </w:r>
      <w:r>
        <w:t xml:space="preserve"> A natural expectation is a comparison against a published adversarial removal method, but our operator </w:t>
      </w:r>
      <w:r>
        <w:rPr>
          <w:i/>
        </w:rPr>
        <w:t>is</w:t>
      </w:r>
      <w:r>
        <w:t xml:space="preserve"> that method: a gradient-reversal layer,[2,3] a cross-entropy adversary on the grouping variable and a scalar dose λ is the canonical design,[26–28] so a second instance of it would compare our acceptance protocol against itself. What can be compared are methods that pursue the same goal through a different objective, reweighting (Group-DRO) and invariance (IRM). The gap this leaves is real and is stated in the limitations: non-adversarial removal families were not benchmarked, and the operating characteristics of finding 1 would need re-measuring for any of them. Two things about that gap should be kept straight. The instrument does not depend on the operator: LDI, the three axes and the group-level acceptance rule read a representation rather than a training objective, so the same protocol can be run on the output of any deconfounding method, including the ones not benchmarked here. And the two failure modes we report are properties of two specific methods, not a law about all of them: whether null-space projection, contrastive objectives or conditional reweighting fail in the same way is unknown.</w:t>
      </w:r>
    </w:p>
    <w:p>
      <w:r>
        <w:t xml:space="preserve">Three mechanistic findings emerge. </w:t>
      </w:r>
      <w:r>
        <w:rPr>
          <w:b/>
        </w:rPr>
        <w:t>First, IRM is not merely weak here: it is structurally counterproductive.</w:t>
      </w:r>
      <w:r>
        <w:t xml:space="preserve"> IRM's invariance assumption treats the most environment-stable feature as causal, but under identity leakage the group fingerprint </w:t>
      </w:r>
      <w:r>
        <w:rPr>
          <w:i/>
        </w:rPr>
        <w:t>is</w:t>
      </w:r>
      <w:r>
        <w:t xml:space="preserve"> the cross-unit invariant signal, so IRM preserves and amplifies it (LDI +3.2 in cohort C). This is an applicability-boundary failure of invariance-based deconfounding under label–identity confounding, not under domain shift. </w:t>
      </w:r>
      <w:r>
        <w:rPr>
          <w:b/>
        </w:rPr>
        <w:t>Second, Group-DRO illustrates that in-sample memorization-gap reduction is not a sufficient acceptance criterion.</w:t>
      </w:r>
      <w:r>
        <w:t xml:space="preserve"> Group-DRO shrinks the in-sample gap (gap ratio &lt; 1) yet leaves cross-group LDI positive, because reweighting hard samples does not touch the transferable leakage component. Only a cross-group statistic detects this. </w:t>
      </w:r>
      <w:r>
        <w:rPr>
          <w:b/>
        </w:rPr>
        <w:t>Third, the adversarial repair does not shrink the in-sample gap: it reverses the leakage direction.</w:t>
      </w:r>
      <w:r>
        <w:t xml:space="preserve"> τ_LDO crosses from positive to negative (LDI &lt; 0) while τ_in stays high, so the in-sample gap widens. The dose at which τ_LDO changes sign defines a leakage-direction reversal point that is a more precise repair-onset marker than gap reduction.</w:t>
      </w:r>
    </w:p>
    <w:p>
      <w:pPr>
        <w:spacing w:before="200"/>
      </w:pPr>
      <w:r>
        <w:rPr>
          <w:b/>
        </w:rPr>
        <w:t>Table 3. Head-to-head comparison of deconfounding methods on matched simulation cohorts (three seeds).</w:t>
      </w:r>
      <w:r>
        <w:t xml:space="preserve"> Cohort A (safety): strong shared target program. Cohort C (leakage): identity-fingerprint confound only. LDI is the leakage-detection index (gate 1.645); R = τ_LDO/τ_in. Cohort C's baseline LDI is +0.345, already below the 1.645 gate, so repair moves the index from a small positive to a small negative value: the confound is removed and the sign flips, but this is not a gate crossing and cannot be read as one, because no gate separated the two states.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blHeader/>
        </w:trPr>
        <w:tc>
          <w:tcPr>
            <w:tcW w:type="dxa" w:w="1170"/>
            <w:shd w:fill="E6EEF4"/>
          </w:tcPr>
          <w:p>
            <w:pPr>
              <w:keepNext/>
              <w:spacing w:after="0" w:before="0"/>
            </w:pPr>
            <w:r>
              <w:rPr>
                <w:sz w:val="16"/>
              </w:rPr>
            </w:r>
            <w:r>
              <w:rPr>
                <w:b/>
                <w:sz w:val="16"/>
              </w:rPr>
              <w:t>Method</w:t>
            </w:r>
          </w:p>
        </w:tc>
        <w:tc>
          <w:tcPr>
            <w:tcW w:type="dxa" w:w="1170"/>
            <w:shd w:fill="E6EEF4"/>
          </w:tcPr>
          <w:p>
            <w:pPr>
              <w:keepNext/>
              <w:spacing w:after="0" w:before="0"/>
            </w:pPr>
            <w:r>
              <w:rPr>
                <w:sz w:val="16"/>
              </w:rPr>
            </w:r>
            <w:r>
              <w:rPr>
                <w:b/>
                <w:sz w:val="16"/>
              </w:rPr>
              <w:t>λ</w:t>
            </w:r>
          </w:p>
        </w:tc>
        <w:tc>
          <w:tcPr>
            <w:tcW w:type="dxa" w:w="1170"/>
            <w:shd w:fill="E6EEF4"/>
          </w:tcPr>
          <w:p>
            <w:pPr>
              <w:keepNext/>
              <w:spacing w:after="0" w:before="0"/>
            </w:pPr>
            <w:r>
              <w:rPr>
                <w:sz w:val="16"/>
              </w:rPr>
            </w:r>
            <w:r>
              <w:rPr>
                <w:b/>
                <w:sz w:val="16"/>
              </w:rPr>
              <w:t>LDI_A</w:t>
            </w:r>
          </w:p>
        </w:tc>
        <w:tc>
          <w:tcPr>
            <w:tcW w:type="dxa" w:w="1170"/>
            <w:shd w:fill="E6EEF4"/>
          </w:tcPr>
          <w:p>
            <w:pPr>
              <w:keepNext/>
              <w:spacing w:after="0" w:before="0"/>
            </w:pPr>
            <w:r>
              <w:rPr>
                <w:sz w:val="16"/>
              </w:rPr>
            </w:r>
            <w:r>
              <w:rPr>
                <w:b/>
                <w:sz w:val="16"/>
              </w:rPr>
              <w:t>τ_LDO,A</w:t>
            </w:r>
          </w:p>
        </w:tc>
        <w:tc>
          <w:tcPr>
            <w:tcW w:type="dxa" w:w="1170"/>
            <w:shd w:fill="E6EEF4"/>
          </w:tcPr>
          <w:p>
            <w:pPr>
              <w:keepNext/>
              <w:spacing w:after="0" w:before="0"/>
            </w:pPr>
            <w:r>
              <w:rPr>
                <w:sz w:val="16"/>
              </w:rPr>
            </w:r>
            <w:r>
              <w:rPr>
                <w:b/>
                <w:sz w:val="16"/>
              </w:rPr>
              <w:t>R_A</w:t>
            </w:r>
          </w:p>
        </w:tc>
        <w:tc>
          <w:tcPr>
            <w:tcW w:type="dxa" w:w="1170"/>
            <w:shd w:fill="E6EEF4"/>
          </w:tcPr>
          <w:p>
            <w:pPr>
              <w:keepNext/>
              <w:spacing w:after="0" w:before="0"/>
            </w:pPr>
            <w:r>
              <w:rPr>
                <w:sz w:val="16"/>
              </w:rPr>
            </w:r>
            <w:r>
              <w:rPr>
                <w:b/>
                <w:sz w:val="16"/>
              </w:rPr>
              <w:t>LDI_C</w:t>
            </w:r>
          </w:p>
        </w:tc>
        <w:tc>
          <w:tcPr>
            <w:tcW w:type="dxa" w:w="1170"/>
            <w:shd w:fill="E6EEF4"/>
          </w:tcPr>
          <w:p>
            <w:pPr>
              <w:keepNext/>
              <w:spacing w:after="0" w:before="0"/>
            </w:pPr>
            <w:r>
              <w:rPr>
                <w:sz w:val="16"/>
              </w:rPr>
            </w:r>
            <w:r>
              <w:rPr>
                <w:b/>
                <w:sz w:val="16"/>
              </w:rPr>
              <w:t>τ_LDO,C</w:t>
            </w:r>
          </w:p>
        </w:tc>
        <w:tc>
          <w:tcPr>
            <w:tcW w:type="dxa" w:w="1170"/>
            <w:shd w:fill="E6EEF4"/>
          </w:tcPr>
          <w:p>
            <w:pPr>
              <w:keepNext/>
              <w:spacing w:after="0" w:before="0"/>
            </w:pPr>
            <w:r>
              <w:rPr>
                <w:sz w:val="16"/>
              </w:rPr>
            </w:r>
            <w:r>
              <w:rPr>
                <w:b/>
                <w:sz w:val="16"/>
              </w:rPr>
              <w:t>R_C</w:t>
            </w:r>
          </w:p>
        </w:tc>
      </w:tr>
      <w:tr>
        <w:tc>
          <w:tcPr>
            <w:tcW w:type="dxa" w:w="1170"/>
          </w:tcPr>
          <w:p>
            <w:pPr>
              <w:spacing w:after="0" w:before="0"/>
            </w:pPr>
            <w:r>
              <w:rPr>
                <w:sz w:val="16"/>
              </w:rPr>
            </w:r>
            <w:r>
              <w:rPr>
                <w:sz w:val="16"/>
              </w:rPr>
              <w:t>Baseline</w:t>
            </w:r>
          </w:p>
        </w:tc>
        <w:tc>
          <w:tcPr>
            <w:tcW w:type="dxa" w:w="1170"/>
          </w:tcPr>
          <w:p>
            <w:pPr>
              <w:spacing w:after="0" w:before="0"/>
            </w:pPr>
            <w:r>
              <w:rPr>
                <w:sz w:val="16"/>
              </w:rPr>
            </w:r>
            <w:r>
              <w:rPr>
                <w:sz w:val="16"/>
              </w:rPr>
              <w:t>0</w:t>
            </w:r>
          </w:p>
        </w:tc>
        <w:tc>
          <w:tcPr>
            <w:tcW w:type="dxa" w:w="1170"/>
          </w:tcPr>
          <w:p>
            <w:pPr>
              <w:spacing w:after="0" w:before="0"/>
            </w:pPr>
            <w:r>
              <w:rPr>
                <w:sz w:val="16"/>
              </w:rPr>
            </w:r>
            <w:r>
              <w:rPr>
                <w:sz w:val="16"/>
              </w:rPr>
              <w:t>+3.538</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+0.345</w:t>
            </w:r>
          </w:p>
        </w:tc>
        <w:tc>
          <w:tcPr>
            <w:tcW w:type="dxa" w:w="1170"/>
          </w:tcPr>
          <w:p>
            <w:pPr>
              <w:spacing w:after="0" w:before="0"/>
            </w:pPr>
            <w:r>
              <w:rPr>
                <w:sz w:val="16"/>
              </w:rPr>
            </w:r>
            <w:r>
              <w:rPr>
                <w:sz w:val="16"/>
              </w:rPr>
              <w:t>+0.0717</w:t>
            </w:r>
          </w:p>
        </w:tc>
        <w:tc>
          <w:tcPr>
            <w:tcW w:type="dxa" w:w="1170"/>
          </w:tcPr>
          <w:p>
            <w:pPr>
              <w:spacing w:after="0" w:before="0"/>
            </w:pPr>
            <w:r>
              <w:rPr>
                <w:sz w:val="16"/>
              </w:rPr>
            </w:r>
            <w:r>
              <w:rPr>
                <w:sz w:val="16"/>
              </w:rPr>
              <w:t>+0.101</w:t>
            </w:r>
          </w:p>
        </w:tc>
      </w:tr>
      <w:tr>
        <w:tc>
          <w:tcPr>
            <w:tcW w:type="dxa" w:w="1170"/>
          </w:tcPr>
          <w:p>
            <w:pPr>
              <w:spacing w:after="0" w:before="0"/>
            </w:pPr>
            <w:r>
              <w:rPr>
                <w:sz w:val="16"/>
              </w:rPr>
            </w:r>
            <w:r>
              <w:rPr>
                <w:sz w:val="16"/>
              </w:rPr>
              <w:t>MRP (adversarial repair)</w:t>
            </w:r>
          </w:p>
        </w:tc>
        <w:tc>
          <w:tcPr>
            <w:tcW w:type="dxa" w:w="1170"/>
          </w:tcPr>
          <w:p>
            <w:pPr>
              <w:spacing w:after="0" w:before="0"/>
            </w:pPr>
            <w:r>
              <w:rPr>
                <w:sz w:val="16"/>
              </w:rPr>
            </w:r>
            <w:r>
              <w:rPr>
                <w:sz w:val="16"/>
              </w:rPr>
              <w:t>0.5</w:t>
            </w:r>
          </w:p>
        </w:tc>
        <w:tc>
          <w:tcPr>
            <w:tcW w:type="dxa" w:w="1170"/>
          </w:tcPr>
          <w:p>
            <w:pPr>
              <w:spacing w:after="0" w:before="0"/>
            </w:pPr>
            <w:r>
              <w:rPr>
                <w:sz w:val="16"/>
              </w:rPr>
            </w:r>
            <w:r>
              <w:rPr>
                <w:sz w:val="16"/>
              </w:rPr>
              <w:t>+3.436</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−0.244</w:t>
            </w:r>
          </w:p>
        </w:tc>
        <w:tc>
          <w:tcPr>
            <w:tcW w:type="dxa" w:w="1170"/>
          </w:tcPr>
          <w:p>
            <w:pPr>
              <w:spacing w:after="0" w:before="0"/>
            </w:pPr>
            <w:r>
              <w:rPr>
                <w:sz w:val="16"/>
              </w:rPr>
            </w:r>
            <w:r>
              <w:rPr>
                <w:sz w:val="16"/>
              </w:rPr>
              <w:t>−0.0490</w:t>
            </w:r>
          </w:p>
        </w:tc>
        <w:tc>
          <w:tcPr>
            <w:tcW w:type="dxa" w:w="1170"/>
          </w:tcPr>
          <w:p>
            <w:pPr>
              <w:spacing w:after="0" w:before="0"/>
            </w:pPr>
            <w:r>
              <w:rPr>
                <w:sz w:val="16"/>
              </w:rPr>
            </w:r>
            <w:r>
              <w:rPr>
                <w:sz w:val="16"/>
              </w:rPr>
              <w:t>−0.069</w:t>
            </w:r>
          </w:p>
        </w:tc>
      </w:tr>
      <w:tr>
        <w:tc>
          <w:tcPr>
            <w:tcW w:type="dxa" w:w="1170"/>
          </w:tcPr>
          <w:p>
            <w:pPr>
              <w:spacing w:after="0" w:before="0"/>
            </w:pPr>
            <w:r>
              <w:rPr>
                <w:sz w:val="16"/>
              </w:rPr>
            </w:r>
            <w:r>
              <w:rPr>
                <w:sz w:val="16"/>
              </w:rPr>
              <w:t>MRP</w:t>
            </w:r>
          </w:p>
        </w:tc>
        <w:tc>
          <w:tcPr>
            <w:tcW w:type="dxa" w:w="1170"/>
          </w:tcPr>
          <w:p>
            <w:pPr>
              <w:spacing w:after="0" w:before="0"/>
            </w:pPr>
            <w:r>
              <w:rPr>
                <w:sz w:val="16"/>
              </w:rPr>
            </w:r>
            <w:r>
              <w:rPr>
                <w:sz w:val="16"/>
              </w:rPr>
              <w:t>1</w:t>
            </w:r>
          </w:p>
        </w:tc>
        <w:tc>
          <w:tcPr>
            <w:tcW w:type="dxa" w:w="1170"/>
          </w:tcPr>
          <w:p>
            <w:pPr>
              <w:spacing w:after="0" w:before="0"/>
            </w:pPr>
            <w:r>
              <w:rPr>
                <w:sz w:val="16"/>
              </w:rPr>
            </w:r>
            <w:r>
              <w:rPr>
                <w:sz w:val="16"/>
              </w:rPr>
              <w:t>+3.491</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−0.516</w:t>
            </w:r>
          </w:p>
        </w:tc>
        <w:tc>
          <w:tcPr>
            <w:tcW w:type="dxa" w:w="1170"/>
          </w:tcPr>
          <w:p>
            <w:pPr>
              <w:spacing w:after="0" w:before="0"/>
            </w:pPr>
            <w:r>
              <w:rPr>
                <w:sz w:val="16"/>
              </w:rPr>
            </w:r>
            <w:r>
              <w:rPr>
                <w:sz w:val="16"/>
              </w:rPr>
              <w:t>−0.1075</w:t>
            </w:r>
          </w:p>
        </w:tc>
        <w:tc>
          <w:tcPr>
            <w:tcW w:type="dxa" w:w="1170"/>
          </w:tcPr>
          <w:p>
            <w:pPr>
              <w:spacing w:after="0" w:before="0"/>
            </w:pPr>
            <w:r>
              <w:rPr>
                <w:sz w:val="16"/>
              </w:rPr>
            </w:r>
            <w:r>
              <w:rPr>
                <w:sz w:val="16"/>
              </w:rPr>
              <w:t>−0.151</w:t>
            </w:r>
          </w:p>
        </w:tc>
      </w:tr>
      <w:tr>
        <w:tc>
          <w:tcPr>
            <w:tcW w:type="dxa" w:w="1170"/>
          </w:tcPr>
          <w:p>
            <w:pPr>
              <w:spacing w:after="0" w:before="0"/>
            </w:pPr>
            <w:r>
              <w:rPr>
                <w:sz w:val="16"/>
              </w:rPr>
            </w:r>
            <w:r>
              <w:rPr>
                <w:sz w:val="16"/>
              </w:rPr>
              <w:t>MRP</w:t>
            </w:r>
          </w:p>
        </w:tc>
        <w:tc>
          <w:tcPr>
            <w:tcW w:type="dxa" w:w="1170"/>
          </w:tcPr>
          <w:p>
            <w:pPr>
              <w:spacing w:after="0" w:before="0"/>
            </w:pPr>
            <w:r>
              <w:rPr>
                <w:sz w:val="16"/>
              </w:rPr>
            </w:r>
            <w:r>
              <w:rPr>
                <w:sz w:val="16"/>
              </w:rPr>
              <w:t>2</w:t>
            </w:r>
          </w:p>
        </w:tc>
        <w:tc>
          <w:tcPr>
            <w:tcW w:type="dxa" w:w="1170"/>
          </w:tcPr>
          <w:p>
            <w:pPr>
              <w:spacing w:after="0" w:before="0"/>
            </w:pPr>
            <w:r>
              <w:rPr>
                <w:sz w:val="16"/>
              </w:rPr>
            </w:r>
            <w:r>
              <w:rPr>
                <w:sz w:val="16"/>
              </w:rPr>
              <w:t>+3.503</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−0.213</w:t>
            </w:r>
          </w:p>
        </w:tc>
        <w:tc>
          <w:tcPr>
            <w:tcW w:type="dxa" w:w="1170"/>
          </w:tcPr>
          <w:p>
            <w:pPr>
              <w:spacing w:after="0" w:before="0"/>
            </w:pPr>
            <w:r>
              <w:rPr>
                <w:sz w:val="16"/>
              </w:rPr>
            </w:r>
            <w:r>
              <w:rPr>
                <w:sz w:val="16"/>
              </w:rPr>
              <w:t>−0.0434</w:t>
            </w:r>
          </w:p>
        </w:tc>
        <w:tc>
          <w:tcPr>
            <w:tcW w:type="dxa" w:w="1170"/>
          </w:tcPr>
          <w:p>
            <w:pPr>
              <w:spacing w:after="0" w:before="0"/>
            </w:pPr>
            <w:r>
              <w:rPr>
                <w:sz w:val="16"/>
              </w:rPr>
            </w:r>
            <w:r>
              <w:rPr>
                <w:sz w:val="16"/>
              </w:rPr>
              <w:t>−0.061</w:t>
            </w:r>
          </w:p>
        </w:tc>
      </w:tr>
      <w:tr>
        <w:tc>
          <w:tcPr>
            <w:tcW w:type="dxa" w:w="1170"/>
          </w:tcPr>
          <w:p>
            <w:pPr>
              <w:spacing w:after="0" w:before="0"/>
            </w:pPr>
            <w:r>
              <w:rPr>
                <w:sz w:val="16"/>
              </w:rPr>
            </w:r>
            <w:r>
              <w:rPr>
                <w:sz w:val="16"/>
              </w:rPr>
              <w:t>MRP</w:t>
            </w:r>
          </w:p>
        </w:tc>
        <w:tc>
          <w:tcPr>
            <w:tcW w:type="dxa" w:w="1170"/>
          </w:tcPr>
          <w:p>
            <w:pPr>
              <w:spacing w:after="0" w:before="0"/>
            </w:pPr>
            <w:r>
              <w:rPr>
                <w:sz w:val="16"/>
              </w:rPr>
            </w:r>
            <w:r>
              <w:rPr>
                <w:sz w:val="16"/>
              </w:rPr>
              <w:t>5</w:t>
            </w:r>
          </w:p>
        </w:tc>
        <w:tc>
          <w:tcPr>
            <w:tcW w:type="dxa" w:w="1170"/>
          </w:tcPr>
          <w:p>
            <w:pPr>
              <w:spacing w:after="0" w:before="0"/>
            </w:pPr>
            <w:r>
              <w:rPr>
                <w:sz w:val="16"/>
              </w:rPr>
            </w:r>
            <w:r>
              <w:rPr>
                <w:sz w:val="16"/>
              </w:rPr>
              <w:t>+3.491</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−0.200</w:t>
            </w:r>
          </w:p>
        </w:tc>
        <w:tc>
          <w:tcPr>
            <w:tcW w:type="dxa" w:w="1170"/>
          </w:tcPr>
          <w:p>
            <w:pPr>
              <w:spacing w:after="0" w:before="0"/>
            </w:pPr>
            <w:r>
              <w:rPr>
                <w:sz w:val="16"/>
              </w:rPr>
            </w:r>
            <w:r>
              <w:rPr>
                <w:sz w:val="16"/>
              </w:rPr>
              <w:t>−0.0415</w:t>
            </w:r>
          </w:p>
        </w:tc>
        <w:tc>
          <w:tcPr>
            <w:tcW w:type="dxa" w:w="1170"/>
          </w:tcPr>
          <w:p>
            <w:pPr>
              <w:spacing w:after="0" w:before="0"/>
            </w:pPr>
            <w:r>
              <w:rPr>
                <w:sz w:val="16"/>
              </w:rPr>
            </w:r>
            <w:r>
              <w:rPr>
                <w:sz w:val="16"/>
              </w:rPr>
              <w:t>−0.058</w:t>
            </w:r>
          </w:p>
        </w:tc>
      </w:tr>
      <w:tr>
        <w:tc>
          <w:tcPr>
            <w:tcW w:type="dxa" w:w="1170"/>
          </w:tcPr>
          <w:p>
            <w:pPr>
              <w:spacing w:after="0" w:before="0"/>
            </w:pPr>
            <w:r>
              <w:rPr>
                <w:sz w:val="16"/>
              </w:rPr>
            </w:r>
            <w:r>
              <w:rPr>
                <w:sz w:val="16"/>
              </w:rPr>
              <w:t>Group-DRO</w:t>
            </w:r>
          </w:p>
        </w:tc>
        <w:tc>
          <w:tcPr>
            <w:tcW w:type="dxa" w:w="1170"/>
          </w:tcPr>
          <w:p>
            <w:pPr>
              <w:spacing w:after="0" w:before="0"/>
            </w:pPr>
            <w:r>
              <w:rPr>
                <w:sz w:val="16"/>
              </w:rPr>
            </w:r>
            <w:r>
              <w:rPr>
                <w:sz w:val="16"/>
              </w:rPr>
              <w:t>1</w:t>
            </w:r>
          </w:p>
        </w:tc>
        <w:tc>
          <w:tcPr>
            <w:tcW w:type="dxa" w:w="1170"/>
          </w:tcPr>
          <w:p>
            <w:pPr>
              <w:spacing w:after="0" w:before="0"/>
            </w:pPr>
            <w:r>
              <w:rPr>
                <w:sz w:val="16"/>
              </w:rPr>
            </w:r>
            <w:r>
              <w:rPr>
                <w:sz w:val="16"/>
              </w:rPr>
              <w:t>+4.078</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+0.428</w:t>
            </w:r>
          </w:p>
        </w:tc>
        <w:tc>
          <w:tcPr>
            <w:tcW w:type="dxa" w:w="1170"/>
          </w:tcPr>
          <w:p>
            <w:pPr>
              <w:spacing w:after="0" w:before="0"/>
            </w:pPr>
            <w:r>
              <w:rPr>
                <w:sz w:val="16"/>
              </w:rPr>
            </w:r>
            <w:r>
              <w:rPr>
                <w:sz w:val="16"/>
              </w:rPr>
              <w:t>+0.0886</w:t>
            </w:r>
          </w:p>
        </w:tc>
        <w:tc>
          <w:tcPr>
            <w:tcW w:type="dxa" w:w="1170"/>
          </w:tcPr>
          <w:p>
            <w:pPr>
              <w:spacing w:after="0" w:before="0"/>
            </w:pPr>
            <w:r>
              <w:rPr>
                <w:sz w:val="16"/>
              </w:rPr>
            </w:r>
            <w:r>
              <w:rPr>
                <w:sz w:val="16"/>
              </w:rPr>
              <w:t>+0.124</w:t>
            </w:r>
          </w:p>
        </w:tc>
      </w:tr>
      <w:tr>
        <w:tc>
          <w:tcPr>
            <w:tcW w:type="dxa" w:w="1170"/>
          </w:tcPr>
          <w:p>
            <w:pPr>
              <w:spacing w:after="0" w:before="0"/>
            </w:pPr>
            <w:r>
              <w:rPr>
                <w:sz w:val="16"/>
              </w:rPr>
            </w:r>
            <w:r>
              <w:rPr>
                <w:sz w:val="16"/>
              </w:rPr>
              <w:t>Group-DRO</w:t>
            </w:r>
          </w:p>
        </w:tc>
        <w:tc>
          <w:tcPr>
            <w:tcW w:type="dxa" w:w="1170"/>
          </w:tcPr>
          <w:p>
            <w:pPr>
              <w:spacing w:after="0" w:before="0"/>
            </w:pPr>
            <w:r>
              <w:rPr>
                <w:sz w:val="16"/>
              </w:rPr>
            </w:r>
            <w:r>
              <w:rPr>
                <w:sz w:val="16"/>
              </w:rPr>
              <w:t>10</w:t>
            </w:r>
          </w:p>
        </w:tc>
        <w:tc>
          <w:tcPr>
            <w:tcW w:type="dxa" w:w="1170"/>
          </w:tcPr>
          <w:p>
            <w:pPr>
              <w:spacing w:after="0" w:before="0"/>
            </w:pPr>
            <w:r>
              <w:rPr>
                <w:sz w:val="16"/>
              </w:rPr>
            </w:r>
            <w:r>
              <w:rPr>
                <w:sz w:val="16"/>
              </w:rPr>
              <w:t>+3.676</w:t>
            </w:r>
          </w:p>
        </w:tc>
        <w:tc>
          <w:tcPr>
            <w:tcW w:type="dxa" w:w="1170"/>
          </w:tcPr>
          <w:p>
            <w:pPr>
              <w:spacing w:after="0" w:before="0"/>
            </w:pPr>
            <w:r>
              <w:rPr>
                <w:sz w:val="16"/>
              </w:rPr>
            </w:r>
            <w:r>
              <w:rPr>
                <w:sz w:val="16"/>
              </w:rPr>
              <w:t>+0.6638</w:t>
            </w:r>
          </w:p>
        </w:tc>
        <w:tc>
          <w:tcPr>
            <w:tcW w:type="dxa" w:w="1170"/>
          </w:tcPr>
          <w:p>
            <w:pPr>
              <w:spacing w:after="0" w:before="0"/>
            </w:pPr>
            <w:r>
              <w:rPr>
                <w:sz w:val="16"/>
              </w:rPr>
            </w:r>
            <w:r>
              <w:rPr>
                <w:sz w:val="16"/>
              </w:rPr>
              <w:t>+0.931</w:t>
            </w:r>
          </w:p>
        </w:tc>
        <w:tc>
          <w:tcPr>
            <w:tcW w:type="dxa" w:w="1170"/>
          </w:tcPr>
          <w:p>
            <w:pPr>
              <w:spacing w:after="0" w:before="0"/>
            </w:pPr>
            <w:r>
              <w:rPr>
                <w:sz w:val="16"/>
              </w:rPr>
            </w:r>
            <w:r>
              <w:rPr>
                <w:sz w:val="16"/>
              </w:rPr>
              <w:t>+0.905</w:t>
            </w:r>
          </w:p>
        </w:tc>
        <w:tc>
          <w:tcPr>
            <w:tcW w:type="dxa" w:w="1170"/>
          </w:tcPr>
          <w:p>
            <w:pPr>
              <w:spacing w:after="0" w:before="0"/>
            </w:pPr>
            <w:r>
              <w:rPr>
                <w:sz w:val="16"/>
              </w:rPr>
            </w:r>
            <w:r>
              <w:rPr>
                <w:sz w:val="16"/>
              </w:rPr>
              <w:t>+0.1735</w:t>
            </w:r>
          </w:p>
        </w:tc>
        <w:tc>
          <w:tcPr>
            <w:tcW w:type="dxa" w:w="1170"/>
          </w:tcPr>
          <w:p>
            <w:pPr>
              <w:spacing w:after="0" w:before="0"/>
            </w:pPr>
            <w:r>
              <w:rPr>
                <w:sz w:val="16"/>
              </w:rPr>
            </w:r>
            <w:r>
              <w:rPr>
                <w:sz w:val="16"/>
              </w:rPr>
              <w:t>+0.243</w:t>
            </w:r>
          </w:p>
        </w:tc>
      </w:tr>
      <w:tr>
        <w:tc>
          <w:tcPr>
            <w:tcW w:type="dxa" w:w="1170"/>
          </w:tcPr>
          <w:p>
            <w:pPr>
              <w:spacing w:after="0" w:before="0"/>
            </w:pPr>
            <w:r>
              <w:rPr>
                <w:sz w:val="16"/>
              </w:rPr>
            </w:r>
            <w:r>
              <w:rPr>
                <w:sz w:val="16"/>
              </w:rPr>
              <w:t>IRM</w:t>
            </w:r>
          </w:p>
        </w:tc>
        <w:tc>
          <w:tcPr>
            <w:tcW w:type="dxa" w:w="1170"/>
          </w:tcPr>
          <w:p>
            <w:pPr>
              <w:spacing w:after="0" w:before="0"/>
            </w:pPr>
            <w:r>
              <w:rPr>
                <w:sz w:val="16"/>
              </w:rPr>
            </w:r>
            <w:r>
              <w:rPr>
                <w:sz w:val="16"/>
              </w:rPr>
              <w:t>10</w:t>
            </w:r>
          </w:p>
        </w:tc>
        <w:tc>
          <w:tcPr>
            <w:tcW w:type="dxa" w:w="1170"/>
          </w:tcPr>
          <w:p>
            <w:pPr>
              <w:spacing w:after="0" w:before="0"/>
            </w:pPr>
            <w:r>
              <w:rPr>
                <w:sz w:val="16"/>
              </w:rPr>
            </w:r>
            <w:r>
              <w:rPr>
                <w:sz w:val="16"/>
              </w:rPr>
              <w:t>+3.458</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+3.215</w:t>
            </w:r>
          </w:p>
        </w:tc>
        <w:tc>
          <w:tcPr>
            <w:tcW w:type="dxa" w:w="1170"/>
          </w:tcPr>
          <w:p>
            <w:pPr>
              <w:spacing w:after="0" w:before="0"/>
            </w:pPr>
            <w:r>
              <w:rPr>
                <w:sz w:val="16"/>
              </w:rPr>
            </w:r>
            <w:r>
              <w:rPr>
                <w:sz w:val="16"/>
              </w:rPr>
              <w:t>+0.6600</w:t>
            </w:r>
          </w:p>
        </w:tc>
        <w:tc>
          <w:tcPr>
            <w:tcW w:type="dxa" w:w="1170"/>
          </w:tcPr>
          <w:p>
            <w:pPr>
              <w:spacing w:after="0" w:before="0"/>
            </w:pPr>
            <w:r>
              <w:rPr>
                <w:sz w:val="16"/>
              </w:rPr>
            </w:r>
            <w:r>
              <w:rPr>
                <w:sz w:val="16"/>
              </w:rPr>
              <w:t>+0.926</w:t>
            </w:r>
          </w:p>
        </w:tc>
      </w:tr>
      <w:tr>
        <w:tc>
          <w:tcPr>
            <w:tcW w:type="dxa" w:w="1170"/>
          </w:tcPr>
          <w:p>
            <w:pPr>
              <w:spacing w:after="0" w:before="0"/>
            </w:pPr>
            <w:r>
              <w:rPr>
                <w:sz w:val="16"/>
              </w:rPr>
            </w:r>
            <w:r>
              <w:rPr>
                <w:sz w:val="16"/>
              </w:rPr>
              <w:t>IRM</w:t>
            </w:r>
          </w:p>
        </w:tc>
        <w:tc>
          <w:tcPr>
            <w:tcW w:type="dxa" w:w="1170"/>
          </w:tcPr>
          <w:p>
            <w:pPr>
              <w:spacing w:after="0" w:before="0"/>
            </w:pPr>
            <w:r>
              <w:rPr>
                <w:sz w:val="16"/>
              </w:rPr>
            </w:r>
            <w:r>
              <w:rPr>
                <w:sz w:val="16"/>
              </w:rPr>
              <w:t>100</w:t>
            </w:r>
          </w:p>
        </w:tc>
        <w:tc>
          <w:tcPr>
            <w:tcW w:type="dxa" w:w="1170"/>
          </w:tcPr>
          <w:p>
            <w:pPr>
              <w:spacing w:after="0" w:before="0"/>
            </w:pPr>
            <w:r>
              <w:rPr>
                <w:sz w:val="16"/>
              </w:rPr>
            </w:r>
            <w:r>
              <w:rPr>
                <w:sz w:val="16"/>
              </w:rPr>
              <w:t>+3.560</w:t>
            </w:r>
          </w:p>
        </w:tc>
        <w:tc>
          <w:tcPr>
            <w:tcW w:type="dxa" w:w="1170"/>
          </w:tcPr>
          <w:p>
            <w:pPr>
              <w:spacing w:after="0" w:before="0"/>
            </w:pPr>
            <w:r>
              <w:rPr>
                <w:sz w:val="16"/>
              </w:rPr>
            </w:r>
            <w:r>
              <w:rPr>
                <w:sz w:val="16"/>
              </w:rPr>
              <w:t>+0.7128</w:t>
            </w:r>
          </w:p>
        </w:tc>
        <w:tc>
          <w:tcPr>
            <w:tcW w:type="dxa" w:w="1170"/>
          </w:tcPr>
          <w:p>
            <w:pPr>
              <w:spacing w:after="0" w:before="0"/>
            </w:pPr>
            <w:r>
              <w:rPr>
                <w:sz w:val="16"/>
              </w:rPr>
            </w:r>
            <w:r>
              <w:rPr>
                <w:sz w:val="16"/>
              </w:rPr>
              <w:t>+1.000</w:t>
            </w:r>
          </w:p>
        </w:tc>
        <w:tc>
          <w:tcPr>
            <w:tcW w:type="dxa" w:w="1170"/>
          </w:tcPr>
          <w:p>
            <w:pPr>
              <w:spacing w:after="0" w:before="0"/>
            </w:pPr>
            <w:r>
              <w:rPr>
                <w:sz w:val="16"/>
              </w:rPr>
            </w:r>
            <w:r>
              <w:rPr>
                <w:sz w:val="16"/>
              </w:rPr>
              <w:t>+3.178</w:t>
            </w:r>
          </w:p>
        </w:tc>
        <w:tc>
          <w:tcPr>
            <w:tcW w:type="dxa" w:w="1170"/>
          </w:tcPr>
          <w:p>
            <w:pPr>
              <w:spacing w:after="0" w:before="0"/>
            </w:pPr>
            <w:r>
              <w:rPr>
                <w:sz w:val="16"/>
              </w:rPr>
            </w:r>
            <w:r>
              <w:rPr>
                <w:sz w:val="16"/>
              </w:rPr>
              <w:t>+0.6581</w:t>
            </w:r>
          </w:p>
        </w:tc>
        <w:tc>
          <w:tcPr>
            <w:tcW w:type="dxa" w:w="1170"/>
          </w:tcPr>
          <w:p>
            <w:pPr>
              <w:spacing w:after="0" w:before="0"/>
            </w:pPr>
            <w:r>
              <w:rPr>
                <w:sz w:val="16"/>
              </w:rPr>
            </w:r>
            <w:r>
              <w:rPr>
                <w:sz w:val="16"/>
              </w:rPr>
              <w:t>+0.923</w:t>
            </w:r>
          </w:p>
        </w:tc>
      </w:tr>
    </w:tbl>
    <w:p/>
    <w:p>
      <w:r>
        <w:rPr>
          <w:b/>
        </w:rPr>
        <w:t>Real-cohort head-to-head validation.</w:t>
      </w:r>
      <w:r>
        <w:t xml:space="preserve"> Both external cohorts were re-run under the same encoder, dose schedule, and readout, with only the training objective changed. </w:t>
      </w:r>
      <w:r>
        <w:rPr>
          <w:b/>
        </w:rPr>
        <w:t>These runs use a cheaper configuration than the primary dose–response: one seed and 100 epochs on the head-and-neck cohort, three seeds and 300 epochs on prostate, no stability hardening on either, so their baseline LDI is not the value reported in Table 1.</w:t>
      </w:r>
      <w:r>
        <w:t xml:space="preserve"> On the head-and-neck cohort the baseline in this configuration already sat below the LDI gate (1.28, against 2.18 in the three-seed stability runs of Table 1); the adversarial repair at λ ∈ {0.5, 2.0} retained the transferable association (τ_LDO ≈ 0.32, R ≈ 0.44) while reducing LDI further to 1.09–1.13. Group-DRO (η ∈ {1, 10}) raised LDI to 1.87–2.26, and IRM (c ∈ {10, 100}) to 2.45–2.53. We therefore do not read these runs as evidence that repair </w:t>
      </w:r>
      <w:r>
        <w:rPr>
          <w:i/>
        </w:rPr>
        <w:t>created</w:t>
      </w:r>
      <w:r>
        <w:t xml:space="preserve"> acceptance: in this configuration the cohort was already sub-gate at baseline, so what the comparison establishes is the ordering of methods at a common dose, not the size of a repair effect. The acceptance claim rests on the Table 1 and Table 2 runs, whose baseline LDI was 2.18 and which crossed the gate only under dose. On prostate (GSE278936, 52 patients, three seeds, 300 epochs; Table S10) the baseline LDI was 2.04 ± 0.25 (τ_LDO 0.288 ± 0.034); Group-DRO gave 2.30 ± 0.18 (η = 1) and 1.95 ± 0.55 (η = 10), and IRM gave 2.65 ± 0.11 (c = 10) and 2.72 ± 0.10 (c = 100). Across the ten baseline-method dose cells (six head-and-neck, four prostate), nine kept the mean LDI at or above the unrepaired reference (1.28 and 2.04 respectively) and none cleared the gate; the exception was Group-DRO at η = 10 on prostate (1.95 ± 0.55), whose mean still sat above the gate, the sub-gate value being a single seed (1.33) against 2.19 and 2.34 in the other two seeds at the same dose. IRM drove τ_LDO to the analytic ceiling of this label split (0.381) in four of six cells: that is, toward a perfectly group-transferable readout of a label that is nearly collinear with specimen provenance, which is precisely the invariance-misalignment failure diagnosed above. The adversarial repair at λ = 1 was the only accepted cell (LDI 1.46 ± 0.86 in the re-run; 1.51 in the primary run), with τ_LDO = 0.229 in the primary run (R = 0.60, per-seed 0.56–0.67) and 0.219 in the independent re-run (R = 0.58); the two runs agree, and the spread across seeds within a run is wider than the difference between runs. Every other dose left the mean LDI above the gate (λ = 0.5, 1.89 ± 0.63; λ = 2, 1.90 ± 0.18; λ = 5, 1.97 ± 0.19). The higher τ_LDO reported by the two baselines is not evidence that they retained more biology: in a one-unit-per-group cohort the group-level statistic coincides with the unit-level one, so τ_LDO can rise only by carrying a group-level association, and the audit alone cannot separate such an association from a label–provenance confound.</w:t>
      </w:r>
    </w:p>
    <w:p>
      <w:r>
        <w:rPr>
          <w:b/>
        </w:rPr>
        <w:t>The general lesson.</w:t>
      </w:r>
      <w:r>
        <w:t xml:space="preserve"> In-sample evaluation metrics are insufficient for leakage-repair acceptance. The standard memorization gap (τ_in − τ_LDO) can decrease without leakage being removed (Group-DRO) and can increase while leakage is eliminated (adversarial repair). A cross-group, calibrated statistic is the necessary acceptance metric; in-sample gap is at best a correlated but non-sufficient proxy. This is why the three-axis protocol uses LDI as its leakage axis rather than gap reduction, and why we treat auditability, rather than any single performance number, as the framework's primary output.</w:t>
      </w:r>
    </w:p>
    <w:p>
      <w:pPr>
        <w:pStyle w:val="Heading2"/>
      </w:pPr>
      <w:r>
        <w:rPr>
          <w:rFonts w:ascii="Times New Roman" w:hAnsi="Times New Roman"/>
          <w:color w:val="000000"/>
        </w:rPr>
        <w:t>Validation-domain check: does what survives the audit correspond to known biology?</w:t>
      </w:r>
    </w:p>
    <w:p>
      <w:r>
        <w:t>An audit could in principle preserve a residual that is arbitrary, so we asked, in the validation domain only, whether the structure that survives repair matches knowledge external to the model. Taking the λ = 2 seed-0 run from the head-and-neck cohort, we fit the label discriminant in the repaired embedding by ridge regression on section-mean representations and mapped it back to gene space through the trained decoder (a strict pairing: decoder and embedding come from the same run; Figure 4). Ranking genes by |loading| in unique-symbol space, the top-100 genes were enriched for the squamous-differentiation/keratinization program expected of this contrast (hypergeometric p = 0.0014; empirical permutation p = 0.0015 against a null expectation of 0.23 marker hits per 100 genes), with plasma-cell and stromal components completing the top of the list. The enrichment was not an artifact of one run: it held at every seed at λ = 2 (p = 0.0014–0.022, including both gate-passing seeds) and was strongest at the maximal-dose recovery point (λ = 5), where the canonical HPV-positive driver readout CDKN2A itself appears among six marker hits (p &lt; 0.001). Gene-level detail, including the keratinization-family members and the per-seed breakdown, is in Table S7.</w:t>
      </w:r>
    </w:p>
    <w:p>
      <w:r>
        <w:t>We report this as a check on the acceptance protocol, not as a biological contribution, which is why it appears here rather than among the seven findings above. Its force is negative: had the surviving direction been arbitrary (an uninterpretable mixture, or a residual group fingerprint) the enrichment would have failed, and the protocol would have been shown to certify noise. That it reproduces the contrast the field already reports[15] is evidence that an audited repair removes a shortcut rather than the signal. The same check is what makes an audited repair usable as a discovery filter: a candidate that survives de-identification is a candidate for cross-cohort transfer.</w:t>
      </w:r>
    </w:p>
    <w:p>
      <w:pPr>
        <w:pStyle w:val="Heading2"/>
      </w:pPr>
      <w:r>
        <w:rPr>
          <w:rFonts w:ascii="Times New Roman" w:hAnsi="Times New Roman"/>
          <w:color w:val="000000"/>
        </w:rPr>
        <w:t>Scope condition and within-cohort label control</w:t>
      </w:r>
    </w:p>
    <w:p>
      <w:r>
        <w:t>No accepted intervention demonstrated improved downstream prediction. Head-and-neck leave-one-donor-out AUROC fell from 0.906 ± 0.063 at baseline to 0.766–0.813 under the recorded positive doses (Table S9). The cervical baseline AUROC was 0.968, with instability at λ = 2 (0.855 ± 0.107). Prostate baseline AUROC was 0.878 ± 0.044 and dosed values 0.866–0.892; four benign sections do not resolve differences of this size (Table S11). These are measured outcomes rather than evidence that a particular unit count causes benefit or harm. One section per group removes the sibling channel at the section-probe split, but does not rule out source effects, encoder-training leakage or other confounding.</w:t>
      </w:r>
    </w:p>
    <w:p>
      <w:r>
        <w:t>The cervical resolution ladder changes section pooling from K = 1 to K = 3 or 8 blocks without changing the source spot embedding. It uses 35 section identifiers as groups, rather than resolving the main archive's 34 donor groups. At K = 1, Δ = 0 by construction; the baseline is also zero at K = 8, despite repeated units. The all-cell mean Δ is 0.0038 at K = 3 and 0.0024 at K = 8 (Table S16). Repeated units are therefore insufficient for large inflation in this dataset. The increase in LDI across resolutions is partly a change in the unit-permutation scale, not evidence of increased donor-level information.</w:t>
      </w:r>
    </w:p>
    <w:p>
      <w:r>
        <w:t>The GeoMx control uses GSE316098,[42] whose source study reports seven specimens from six patients and 93 ROIs split into 186 epithelial/stromal compartment measurements. The archived case-level grouping has G = 7 and is not demonstrated patient-disjoint. With the feature matrix held fixed, risk, Silva pattern and cell type have baseline κ = 0.225, 0.273 and 0.000, respectively. The corresponding Δ values are +0.3736, +0.3955 and +0.0075, and τ_LOO/σ̂ is 9.34, 10.39 and 8.49 (Table S17). Identity lift is 6.55× at baseline for all three label arms. Mean retained τ_LGO under dosing is 0.806, 0.717 and 0.989, respectively. None of the twelve dosed cells per arm passes the archived unit-level dual gate. This is a descriptive matched-feature contrast; changing labels also changes the task and signal structure, and does not isolate coupling as the only cause.</w:t>
      </w:r>
    </w:p>
    <w:p>
      <w:pPr>
        <w:pStyle w:val="Heading2"/>
      </w:pPr>
      <w:r>
        <w:rPr>
          <w:rFonts w:ascii="Times New Roman" w:hAnsi="Times New Roman"/>
          <w:color w:val="000000"/>
        </w:rPr>
        <w:t>Cross-domain audit of two non-biological datasets</w:t>
      </w:r>
    </w:p>
    <w:p>
      <w:r>
        <w:t>These are exploratory audits of archived representations, not complete external validation of a repair pipeline. HAR[23] comprises 10,299 windows from 30 subjects; gas drift[24] comprises 13,910 measurements from ten batches. The runner uses an MLP autoencoder with a group adversary and samples 299 HAR units and 300 gas units, preserving approximate observed group-by-label proportions. Each dataset has three training seeds and five doses. Neither carries planted control calibration or evidence of downstream benefit. The six other domain mappings in Table 4 remain untested.</w:t>
      </w:r>
    </w:p>
    <w:p>
      <w:r>
        <w:t>At baseline, group-label κ is 0.0025 in HAR and 0.0511 in gas drift. Direct identity lift is 10.0× and 9.2× chance, while Δ is +0.0061 and +0.0494 (Table 5). Across the fifteen recorded cells per dataset, Δ ranges from +0.0010 to +0.0095 and from +0.0209 to +0.0697. This is an observed ordering, not a causal identification of coupling: data distributions, tasks, nominal-label coding and group counts differ. Seeds and doses are dependent analyses of the same datasets and do not create independent population replication.</w:t>
      </w:r>
    </w:p>
    <w:p>
      <w:r>
        <w:t>The archived LDI uses τ_LOO and a unit-label permutation reference. Baseline τ_LOO/σ̂ is 13.8 and 11.0. No dosed cell passes the archived dual gate, which uses τ_LOO for both dependence and retention. This is consistent with the fixed-scale compatibility calculation; it does not establish impossibility of a useful repair under independent utility and identity metrics. Group-level association is reported separately and retains at least 0.98 and 0.89 of baseline. Direct identity lift decreases to 5.4× and 7.2× chance at its best recorded dose, so suppression remains partial. The in-sample versus unit-holdout gap decreases by 81% and 56% at the best dose, illustrating that these metrics need not move together.</w:t>
      </w:r>
    </w:p>
    <w:p>
      <w:r>
        <w:t>The gas-drift result does not replicate the simulation group-count boundary: substantial retention occurs with ten groups, below the simulation placement at 16–32. No external phase grid was run. Nominal activity and gas identifiers also have no intrinsic ordinal scale; class-aware metrics, recoding sensitivity and valid group-preserving permutation are required before task-level inferential claims.</w:t>
      </w:r>
    </w:p>
    <w:p>
      <w:pPr>
        <w:sectPr w:rsidR="00FC693F" w:rsidRPr="0006063C" w:rsidSect="00034616">
          <w:footerReference w:type="default" r:id="rId14"/>
          <w:type w:val="nextPage"/>
          <w:pgSz w:w="12240" w:h="15840"/>
          <w:pgMar w:top="1440" w:right="1440" w:bottom="1440" w:left="1440" w:header="720" w:footer="720" w:gutter="0"/>
          <w:cols w:space="720"/>
          <w:docGrid w:linePitch="360"/>
        </w:sectPr>
      </w:pPr>
    </w:p>
    <w:p>
      <w:pPr>
        <w:spacing w:before="200"/>
      </w:pPr>
      <w:r>
        <w:rPr>
          <w:b/>
        </w:rPr>
        <w:t>Table 5. Cross-domain test of the framework's predictions.</w:t>
      </w:r>
      <w:r>
        <w:t xml:space="preserve"> Both cohorts were audited with the instrument of the validation domain; the encoder was an MLP autoencoder with a gradient-reversal adversary. κ is the normalized mutual information between group and label on the full observation set. "Identity lift" is the group-identification accuracy of a linear probe on the embedding divided by the 1/G chance rate; the arrow gives λ = 0 → the most aggressive dose that reduced lift. "τ_LGO retained" is the minimum over doses relative to baseline; "gap reduction" is the fall in τ_in − τ_LOO at the best dose.</w:t>
      </w:r>
    </w:p>
    <w:tbl>
      <w:tblPr>
        <w:tblStyle w:val="TableGrid"/>
        <w:tblW w:type="auto" w:w="0"/>
        <w:tblLayout w:type="fixed"/>
        <w:tblLook w:firstColumn="1" w:firstRow="1" w:lastColumn="0" w:lastRow="0" w:noHBand="0" w:noVBand="1" w:val="04A0"/>
      </w:tblPr>
      <w:tblGrid>
        <w:gridCol w:w="1354"/>
        <w:gridCol w:w="1354"/>
        <w:gridCol w:w="1354"/>
        <w:gridCol w:w="1354"/>
        <w:gridCol w:w="1354"/>
        <w:gridCol w:w="1354"/>
        <w:gridCol w:w="1354"/>
        <w:gridCol w:w="1354"/>
        <w:gridCol w:w="1354"/>
        <w:gridCol w:w="1354"/>
      </w:tblGrid>
      <w:tr>
        <w:trPr>
          <w:tblHeader/>
          <w:tblHeader/>
        </w:trPr>
        <w:tc>
          <w:tcPr>
            <w:tcW w:type="dxa" w:w="1354"/>
            <w:shd w:fill="E6EEF4"/>
          </w:tcPr>
          <w:p>
            <w:pPr>
              <w:keepNext/>
              <w:spacing w:after="0" w:before="0"/>
            </w:pPr>
            <w:r>
              <w:rPr>
                <w:sz w:val="16"/>
              </w:rPr>
            </w:r>
            <w:r>
              <w:rPr>
                <w:b/>
                <w:sz w:val="16"/>
              </w:rPr>
              <w:t>Domain (grouping variable)</w:t>
            </w:r>
          </w:p>
        </w:tc>
        <w:tc>
          <w:tcPr>
            <w:tcW w:type="dxa" w:w="1354"/>
            <w:shd w:fill="E6EEF4"/>
          </w:tcPr>
          <w:p>
            <w:pPr>
              <w:keepNext/>
              <w:spacing w:after="0" w:before="0"/>
            </w:pPr>
            <w:r>
              <w:rPr>
                <w:sz w:val="16"/>
              </w:rPr>
            </w:r>
            <w:r>
              <w:rPr>
                <w:b/>
                <w:sz w:val="16"/>
              </w:rPr>
              <w:t>G</w:t>
            </w:r>
          </w:p>
        </w:tc>
        <w:tc>
          <w:tcPr>
            <w:tcW w:type="dxa" w:w="1354"/>
            <w:shd w:fill="E6EEF4"/>
          </w:tcPr>
          <w:p>
            <w:pPr>
              <w:keepNext/>
              <w:spacing w:after="0" w:before="0"/>
            </w:pPr>
            <w:r>
              <w:rPr>
                <w:sz w:val="16"/>
              </w:rPr>
            </w:r>
            <w:r>
              <w:rPr>
                <w:b/>
                <w:sz w:val="16"/>
              </w:rPr>
              <w:t>κ</w:t>
            </w:r>
          </w:p>
        </w:tc>
        <w:tc>
          <w:tcPr>
            <w:tcW w:type="dxa" w:w="1354"/>
            <w:shd w:fill="E6EEF4"/>
          </w:tcPr>
          <w:p>
            <w:pPr>
              <w:keepNext/>
              <w:spacing w:after="0" w:before="0"/>
            </w:pPr>
            <w:r>
              <w:rPr>
                <w:sz w:val="16"/>
              </w:rPr>
            </w:r>
            <w:r>
              <w:rPr>
                <w:b/>
                <w:sz w:val="16"/>
              </w:rPr>
              <w:t>τ_base/σ̂</w:t>
            </w:r>
          </w:p>
        </w:tc>
        <w:tc>
          <w:tcPr>
            <w:tcW w:type="dxa" w:w="1354"/>
            <w:shd w:fill="E6EEF4"/>
          </w:tcPr>
          <w:p>
            <w:pPr>
              <w:keepNext/>
              <w:spacing w:after="0" w:before="0"/>
            </w:pPr>
            <w:r>
              <w:rPr>
                <w:sz w:val="16"/>
              </w:rPr>
            </w:r>
            <w:r>
              <w:rPr>
                <w:b/>
                <w:sz w:val="16"/>
              </w:rPr>
              <w:t>Dual gate predicted</w:t>
            </w:r>
          </w:p>
        </w:tc>
        <w:tc>
          <w:tcPr>
            <w:tcW w:type="dxa" w:w="1354"/>
            <w:shd w:fill="E6EEF4"/>
          </w:tcPr>
          <w:p>
            <w:pPr>
              <w:keepNext/>
              <w:spacing w:after="0" w:before="0"/>
            </w:pPr>
            <w:r>
              <w:rPr>
                <w:sz w:val="16"/>
              </w:rPr>
            </w:r>
            <w:r>
              <w:rPr>
                <w:b/>
                <w:sz w:val="16"/>
              </w:rPr>
              <w:t>Accepted cells (λ &gt; 0)</w:t>
            </w:r>
          </w:p>
        </w:tc>
        <w:tc>
          <w:tcPr>
            <w:tcW w:type="dxa" w:w="1354"/>
            <w:shd w:fill="E6EEF4"/>
          </w:tcPr>
          <w:p>
            <w:pPr>
              <w:keepNext/>
              <w:spacing w:after="0" w:before="0"/>
            </w:pPr>
            <w:r>
              <w:rPr>
                <w:sz w:val="16"/>
              </w:rPr>
            </w:r>
            <w:r>
              <w:rPr>
                <w:b/>
                <w:sz w:val="16"/>
              </w:rPr>
              <w:t>τ_LOO − τ_LGO at λ = 0 (per-seed range)</w:t>
            </w:r>
          </w:p>
        </w:tc>
        <w:tc>
          <w:tcPr>
            <w:tcW w:type="dxa" w:w="1354"/>
            <w:shd w:fill="E6EEF4"/>
          </w:tcPr>
          <w:p>
            <w:pPr>
              <w:keepNext/>
              <w:spacing w:after="0" w:before="0"/>
            </w:pPr>
            <w:r>
              <w:rPr>
                <w:sz w:val="16"/>
              </w:rPr>
            </w:r>
            <w:r>
              <w:rPr>
                <w:b/>
                <w:sz w:val="16"/>
              </w:rPr>
              <w:t>Identity lift</w:t>
            </w:r>
          </w:p>
        </w:tc>
        <w:tc>
          <w:tcPr>
            <w:tcW w:type="dxa" w:w="1354"/>
            <w:shd w:fill="E6EEF4"/>
          </w:tcPr>
          <w:p>
            <w:pPr>
              <w:keepNext/>
              <w:spacing w:after="0" w:before="0"/>
            </w:pPr>
            <w:r>
              <w:rPr>
                <w:sz w:val="16"/>
              </w:rPr>
            </w:r>
            <w:r>
              <w:rPr>
                <w:b/>
                <w:sz w:val="16"/>
              </w:rPr>
              <w:t>τ_LGO retained</w:t>
            </w:r>
          </w:p>
        </w:tc>
        <w:tc>
          <w:tcPr>
            <w:tcW w:type="dxa" w:w="1354"/>
            <w:shd w:fill="E6EEF4"/>
          </w:tcPr>
          <w:p>
            <w:pPr>
              <w:keepNext/>
              <w:spacing w:after="0" w:before="0"/>
            </w:pPr>
            <w:r>
              <w:rPr>
                <w:sz w:val="16"/>
              </w:rPr>
            </w:r>
            <w:r>
              <w:rPr>
                <w:b/>
                <w:sz w:val="16"/>
              </w:rPr>
              <w:t>Gap reduction</w:t>
            </w:r>
          </w:p>
        </w:tc>
      </w:tr>
      <w:tr>
        <w:tc>
          <w:tcPr>
            <w:tcW w:type="dxa" w:w="1354"/>
          </w:tcPr>
          <w:p>
            <w:pPr>
              <w:spacing w:after="0" w:before="0"/>
            </w:pPr>
            <w:r>
              <w:rPr>
                <w:sz w:val="16"/>
              </w:rPr>
            </w:r>
            <w:r>
              <w:rPr>
                <w:sz w:val="16"/>
              </w:rPr>
              <w:t>HAR, wearable activity (subject)</w:t>
            </w:r>
          </w:p>
        </w:tc>
        <w:tc>
          <w:tcPr>
            <w:tcW w:type="dxa" w:w="1354"/>
          </w:tcPr>
          <w:p>
            <w:pPr>
              <w:spacing w:after="0" w:before="0"/>
            </w:pPr>
            <w:r>
              <w:rPr>
                <w:sz w:val="16"/>
              </w:rPr>
            </w:r>
            <w:r>
              <w:rPr>
                <w:sz w:val="16"/>
              </w:rPr>
              <w:t>30</w:t>
            </w:r>
          </w:p>
        </w:tc>
        <w:tc>
          <w:tcPr>
            <w:tcW w:type="dxa" w:w="1354"/>
          </w:tcPr>
          <w:p>
            <w:pPr>
              <w:spacing w:after="0" w:before="0"/>
            </w:pPr>
            <w:r>
              <w:rPr>
                <w:sz w:val="16"/>
              </w:rPr>
            </w:r>
            <w:r>
              <w:rPr>
                <w:sz w:val="16"/>
              </w:rPr>
              <w:t>0.0025</w:t>
            </w:r>
          </w:p>
        </w:tc>
        <w:tc>
          <w:tcPr>
            <w:tcW w:type="dxa" w:w="1354"/>
          </w:tcPr>
          <w:p>
            <w:pPr>
              <w:spacing w:after="0" w:before="0"/>
            </w:pPr>
            <w:r>
              <w:rPr>
                <w:sz w:val="16"/>
              </w:rPr>
            </w:r>
            <w:r>
              <w:rPr>
                <w:sz w:val="16"/>
              </w:rPr>
              <w:t>13.8</w:t>
            </w:r>
          </w:p>
        </w:tc>
        <w:tc>
          <w:tcPr>
            <w:tcW w:type="dxa" w:w="1354"/>
          </w:tcPr>
          <w:p>
            <w:pPr>
              <w:spacing w:after="0" w:before="0"/>
            </w:pPr>
            <w:r>
              <w:rPr>
                <w:sz w:val="16"/>
              </w:rPr>
            </w:r>
            <w:r>
              <w:rPr>
                <w:sz w:val="16"/>
              </w:rPr>
              <w:t>empty</w:t>
            </w:r>
          </w:p>
        </w:tc>
        <w:tc>
          <w:tcPr>
            <w:tcW w:type="dxa" w:w="1354"/>
          </w:tcPr>
          <w:p>
            <w:pPr>
              <w:spacing w:after="0" w:before="0"/>
            </w:pPr>
            <w:r>
              <w:rPr>
                <w:sz w:val="16"/>
              </w:rPr>
            </w:r>
            <w:r>
              <w:rPr>
                <w:sz w:val="16"/>
              </w:rPr>
              <w:t>0/12</w:t>
            </w:r>
          </w:p>
        </w:tc>
        <w:tc>
          <w:tcPr>
            <w:tcW w:type="dxa" w:w="1354"/>
          </w:tcPr>
          <w:p>
            <w:pPr>
              <w:spacing w:after="0" w:before="0"/>
            </w:pPr>
            <w:r>
              <w:rPr>
                <w:sz w:val="16"/>
              </w:rPr>
            </w:r>
            <w:r>
              <w:rPr>
                <w:sz w:val="16"/>
              </w:rPr>
              <w:t>+0.0061 (+0.0036 to +0.0095)</w:t>
            </w:r>
          </w:p>
        </w:tc>
        <w:tc>
          <w:tcPr>
            <w:tcW w:type="dxa" w:w="1354"/>
          </w:tcPr>
          <w:p>
            <w:pPr>
              <w:spacing w:after="0" w:before="0"/>
            </w:pPr>
            <w:r>
              <w:rPr>
                <w:sz w:val="16"/>
              </w:rPr>
            </w:r>
            <w:r>
              <w:rPr>
                <w:sz w:val="16"/>
              </w:rPr>
              <w:t>10.0 → 5.4</w:t>
            </w:r>
          </w:p>
        </w:tc>
        <w:tc>
          <w:tcPr>
            <w:tcW w:type="dxa" w:w="1354"/>
          </w:tcPr>
          <w:p>
            <w:pPr>
              <w:spacing w:after="0" w:before="0"/>
            </w:pPr>
            <w:r>
              <w:rPr>
                <w:sz w:val="16"/>
              </w:rPr>
            </w:r>
            <w:r>
              <w:rPr>
                <w:sz w:val="16"/>
              </w:rPr>
              <w:t>0.98</w:t>
            </w:r>
          </w:p>
        </w:tc>
        <w:tc>
          <w:tcPr>
            <w:tcW w:type="dxa" w:w="1354"/>
          </w:tcPr>
          <w:p>
            <w:pPr>
              <w:spacing w:after="0" w:before="0"/>
            </w:pPr>
            <w:r>
              <w:rPr>
                <w:sz w:val="16"/>
              </w:rPr>
            </w:r>
            <w:r>
              <w:rPr>
                <w:sz w:val="16"/>
              </w:rPr>
              <w:t>−81%</w:t>
            </w:r>
          </w:p>
        </w:tc>
      </w:tr>
      <w:tr>
        <w:tc>
          <w:tcPr>
            <w:tcW w:type="dxa" w:w="1354"/>
          </w:tcPr>
          <w:p>
            <w:pPr>
              <w:spacing w:after="0" w:before="0"/>
            </w:pPr>
            <w:r>
              <w:rPr>
                <w:sz w:val="16"/>
              </w:rPr>
            </w:r>
            <w:r>
              <w:rPr>
                <w:sz w:val="16"/>
              </w:rPr>
              <w:t>Gas sensor drift, chemical (batch)</w:t>
            </w:r>
          </w:p>
        </w:tc>
        <w:tc>
          <w:tcPr>
            <w:tcW w:type="dxa" w:w="1354"/>
          </w:tcPr>
          <w:p>
            <w:pPr>
              <w:spacing w:after="0" w:before="0"/>
            </w:pPr>
            <w:r>
              <w:rPr>
                <w:sz w:val="16"/>
              </w:rPr>
            </w:r>
            <w:r>
              <w:rPr>
                <w:sz w:val="16"/>
              </w:rPr>
              <w:t>10</w:t>
            </w:r>
          </w:p>
        </w:tc>
        <w:tc>
          <w:tcPr>
            <w:tcW w:type="dxa" w:w="1354"/>
          </w:tcPr>
          <w:p>
            <w:pPr>
              <w:spacing w:after="0" w:before="0"/>
            </w:pPr>
            <w:r>
              <w:rPr>
                <w:sz w:val="16"/>
              </w:rPr>
            </w:r>
            <w:r>
              <w:rPr>
                <w:sz w:val="16"/>
              </w:rPr>
              <w:t>0.0511</w:t>
            </w:r>
          </w:p>
        </w:tc>
        <w:tc>
          <w:tcPr>
            <w:tcW w:type="dxa" w:w="1354"/>
          </w:tcPr>
          <w:p>
            <w:pPr>
              <w:spacing w:after="0" w:before="0"/>
            </w:pPr>
            <w:r>
              <w:rPr>
                <w:sz w:val="16"/>
              </w:rPr>
            </w:r>
            <w:r>
              <w:rPr>
                <w:sz w:val="16"/>
              </w:rPr>
              <w:t>11.0</w:t>
            </w:r>
          </w:p>
        </w:tc>
        <w:tc>
          <w:tcPr>
            <w:tcW w:type="dxa" w:w="1354"/>
          </w:tcPr>
          <w:p>
            <w:pPr>
              <w:spacing w:after="0" w:before="0"/>
            </w:pPr>
            <w:r>
              <w:rPr>
                <w:sz w:val="16"/>
              </w:rPr>
            </w:r>
            <w:r>
              <w:rPr>
                <w:sz w:val="16"/>
              </w:rPr>
              <w:t>empty</w:t>
            </w:r>
          </w:p>
        </w:tc>
        <w:tc>
          <w:tcPr>
            <w:tcW w:type="dxa" w:w="1354"/>
          </w:tcPr>
          <w:p>
            <w:pPr>
              <w:spacing w:after="0" w:before="0"/>
            </w:pPr>
            <w:r>
              <w:rPr>
                <w:sz w:val="16"/>
              </w:rPr>
            </w:r>
            <w:r>
              <w:rPr>
                <w:sz w:val="16"/>
              </w:rPr>
              <w:t>0/12</w:t>
            </w:r>
          </w:p>
        </w:tc>
        <w:tc>
          <w:tcPr>
            <w:tcW w:type="dxa" w:w="1354"/>
          </w:tcPr>
          <w:p>
            <w:pPr>
              <w:spacing w:after="0" w:before="0"/>
            </w:pPr>
            <w:r>
              <w:rPr>
                <w:sz w:val="16"/>
              </w:rPr>
            </w:r>
            <w:r>
              <w:rPr>
                <w:sz w:val="16"/>
              </w:rPr>
              <w:t>+0.0494 (+0.0294 to +0.0697)</w:t>
            </w:r>
          </w:p>
        </w:tc>
        <w:tc>
          <w:tcPr>
            <w:tcW w:type="dxa" w:w="1354"/>
          </w:tcPr>
          <w:p>
            <w:pPr>
              <w:spacing w:after="0" w:before="0"/>
            </w:pPr>
            <w:r>
              <w:rPr>
                <w:sz w:val="16"/>
              </w:rPr>
            </w:r>
            <w:r>
              <w:rPr>
                <w:sz w:val="16"/>
              </w:rPr>
              <w:t>9.2 → 7.2</w:t>
            </w:r>
          </w:p>
        </w:tc>
        <w:tc>
          <w:tcPr>
            <w:tcW w:type="dxa" w:w="1354"/>
          </w:tcPr>
          <w:p>
            <w:pPr>
              <w:spacing w:after="0" w:before="0"/>
            </w:pPr>
            <w:r>
              <w:rPr>
                <w:sz w:val="16"/>
              </w:rPr>
            </w:r>
            <w:r>
              <w:rPr>
                <w:sz w:val="16"/>
              </w:rPr>
              <w:t>0.89</w:t>
            </w:r>
          </w:p>
        </w:tc>
        <w:tc>
          <w:tcPr>
            <w:tcW w:type="dxa" w:w="1354"/>
          </w:tcPr>
          <w:p>
            <w:pPr>
              <w:spacing w:after="0" w:before="0"/>
            </w:pPr>
            <w:r>
              <w:rPr>
                <w:sz w:val="16"/>
              </w:rPr>
            </w:r>
            <w:r>
              <w:rPr>
                <w:sz w:val="16"/>
              </w:rPr>
              <w:t>−56%</w:t>
            </w:r>
          </w:p>
        </w:tc>
      </w:tr>
    </w:tbl>
    <w:p>
      <w:pPr>
        <w:sectPr w:rsidR="00FC693F" w:rsidRPr="0006063C" w:rsidSect="00034616">
          <w:type w:val="nextPage"/>
          <w:pgSz w:w="16838" w:h="11906" w:orient="landscape"/>
          <w:pgMar w:top="1440" w:right="1440" w:bottom="1440" w:left="1440" w:header="720" w:footer="720" w:gutter="0"/>
          <w:cols w:space="720"/>
          <w:docGrid w:linePitch="360"/>
        </w:sectPr>
      </w:pPr>
    </w:p>
    <w:p/>
    <w:p>
      <w:pPr>
        <w:pStyle w:val="Heading1"/>
      </w:pPr>
      <w:r>
        <w:rPr>
          <w:rFonts w:ascii="Times New Roman" w:hAnsi="Times New Roman"/>
          <w:color w:val="000000"/>
        </w:rPr>
        <w:t>DISCUSSION</w:t>
      </w:r>
    </w:p>
    <w:p>
      <w:r>
        <w:t>The experiments demonstrate why label association, group-level transfer and identity decoding must be reported separately. Unit-level association remained at its ceiling in 45 simulated multi-unit runs while group-level transfer deteriorated. Both non-biological cohorts showed positive unit-versus-group differences across their recorded seed–dose cells, although the absolute effect was small in HAR. These findings support paired evaluation under a declared grouping map. They do not show that every grouped dataset is affected or quantify the causal contribution of identity to an inherited model's published accuracy.</w:t>
      </w:r>
    </w:p>
    <w:p>
      <w:r>
        <w:t>The planted controls establish behavior within their specified generators: the strong shared program survived 75 runs, while 45 identity-confounding runs remained below the selected label-association reference. These counts are empirical control outcomes, not a general false-positive rate. An identity-confounded representation can have low held-out label association; indeed that is why low LDI alone cannot certify removal. Independent identity decoding and retained utility are essential to interpretation.</w:t>
      </w:r>
    </w:p>
    <w:p>
      <w:r>
        <w:t>The fixed-scale feasibility inequality exposes a conflict in the acceptance criterion itself. If the same positive association must lie below a low-dependence threshold and above a retained fraction of baseline, the intervals may not overlap. This is an algebraic diagnostic of that criterion, not an identifiability theorem, a fairness impossibility result, or a prediction of which dose an optimizer can reach. Low LDI measures low label association, which can reflect loss of genuine signal. A defensible intervention therefore reports the separate axes rather than treating threshold crossing as successful deconfounding.</w:t>
      </w:r>
    </w:p>
    <w:p>
      <w:r>
        <w:t>The external-cohort results are limited. Under the cohort-mean baseline convention and the reported dose subset, three of eighteen seed–dose cells pass both recorded axes: one head-and-neck cell and two prostate cells. Different baseline conventions can change these counts. No accepted repair improved a measured downstream endpoint. The head-and-neck AUROC declined from 0.906 ± 0.063; prostate comparisons have only four benign sections and do not resolve small differences. Lower identity decoding is therefore not evidence of clinical benefit. The descriptive contrasts among severity, HPV status and specimen provenance do not isolate label semantics from cohort size, source, class balance or signal strength. Randomizing labels changes their relation to both identity and useful signal and cannot by itself establish a causal coupling mechanism.</w:t>
      </w:r>
    </w:p>
    <w:p>
      <w:r>
        <w:t>Group-DRO and IRM behaved differently from the adversarial intervention on the archived configurations. The deliverable of this paper is the auditing protocol, not the repair operator. We make no claim that the adversarial operator outperforms other deconfounding methods. Untested projection, contrastive and reweighting families could yield different trade-offs. The simulation boundary between 16 and 32 groups is a configuration-specific observation, not a transferable minimum sample size. Gas drift retained substantial group-level association with ten batches, and no outside-domain phase grid establishes a corresponding boundary.</w:t>
      </w:r>
    </w:p>
    <w:p>
      <w:pPr>
        <w:pStyle w:val="Heading2"/>
      </w:pPr>
      <w:r>
        <w:rPr>
          <w:rFonts w:ascii="Times New Roman" w:hAnsi="Times New Roman"/>
          <w:color w:val="000000"/>
        </w:rPr>
        <w:t>Scope beyond spatial transcriptomics</w:t>
      </w:r>
    </w:p>
    <w:p>
      <w:r>
        <w:t>Table 4 gives structural mappings. Spatial transcriptomics supplies planted controls and domain readouts; HAR and gas drift supply exploratory audits only. Neither non-biological cohort demonstrates downstream utility or complete non-blindness calibration. The six remaining mappings are untested. A third-party pipeline, a class-aware analysis of nominal labels and valid group-preserving inference are needed before broader validation claims are justified.</w:t>
      </w:r>
    </w:p>
    <w:p>
      <w:pPr>
        <w:spacing w:before="200"/>
      </w:pPr>
      <w:r>
        <w:rPr>
          <w:b/>
        </w:rPr>
        <w:t>Table 4. Cross-domain map for identity leakage.</w:t>
      </w:r>
      <w:r>
        <w:t xml:space="preserve"> The grouping variable is the identity to be removed; the observation unit is what the model consumes. The final column states the level of evidence for each row. Only the first row is validated end-to-end. Rows 2–3 were audited with the instrument of the validation domain (Table 5): real experiments on real data, but testing predictions rather than utility, and carrying no endpoint, no planted control and no domain readout. Rows 4–9 are </w:t>
      </w:r>
      <w:r>
        <w:rPr>
          <w:b/>
        </w:rPr>
        <w:t>structural mappings of the same objects and have not been tested</w:t>
      </w:r>
      <w:r>
        <w:t>; they state the conditions under which the protocol would apply, and we claim no transfer to them.</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tblHeader/>
        </w:trPr>
        <w:tc>
          <w:tcPr>
            <w:tcW w:type="dxa" w:w="1560"/>
            <w:shd w:fill="E6EEF4"/>
          </w:tcPr>
          <w:p>
            <w:pPr>
              <w:keepNext/>
              <w:spacing w:after="0" w:before="0"/>
            </w:pPr>
            <w:r>
              <w:rPr>
                <w:sz w:val="16"/>
              </w:rPr>
            </w:r>
            <w:r>
              <w:rPr>
                <w:b/>
                <w:sz w:val="16"/>
              </w:rPr>
              <w:t>Domain</w:t>
            </w:r>
          </w:p>
        </w:tc>
        <w:tc>
          <w:tcPr>
            <w:tcW w:type="dxa" w:w="1560"/>
            <w:shd w:fill="E6EEF4"/>
          </w:tcPr>
          <w:p>
            <w:pPr>
              <w:keepNext/>
              <w:spacing w:after="0" w:before="0"/>
            </w:pPr>
            <w:r>
              <w:rPr>
                <w:sz w:val="16"/>
              </w:rPr>
            </w:r>
            <w:r>
              <w:rPr>
                <w:b/>
                <w:sz w:val="16"/>
              </w:rPr>
              <w:t>Grouping variable (the identity)</w:t>
            </w:r>
          </w:p>
        </w:tc>
        <w:tc>
          <w:tcPr>
            <w:tcW w:type="dxa" w:w="1560"/>
            <w:shd w:fill="E6EEF4"/>
          </w:tcPr>
          <w:p>
            <w:pPr>
              <w:keepNext/>
              <w:spacing w:after="0" w:before="0"/>
            </w:pPr>
            <w:r>
              <w:rPr>
                <w:sz w:val="16"/>
              </w:rPr>
            </w:r>
            <w:r>
              <w:rPr>
                <w:b/>
                <w:sz w:val="16"/>
              </w:rPr>
              <w:t>Observation unit</w:t>
            </w:r>
          </w:p>
        </w:tc>
        <w:tc>
          <w:tcPr>
            <w:tcW w:type="dxa" w:w="1560"/>
            <w:shd w:fill="E6EEF4"/>
          </w:tcPr>
          <w:p>
            <w:pPr>
              <w:keepNext/>
              <w:spacing w:after="0" w:before="0"/>
            </w:pPr>
            <w:r>
              <w:rPr>
                <w:sz w:val="16"/>
              </w:rPr>
            </w:r>
            <w:r>
              <w:rPr>
                <w:b/>
                <w:sz w:val="16"/>
              </w:rPr>
              <w:t>Typical leakage channel</w:t>
            </w:r>
          </w:p>
        </w:tc>
        <w:tc>
          <w:tcPr>
            <w:tcW w:type="dxa" w:w="1560"/>
            <w:shd w:fill="E6EEF4"/>
          </w:tcPr>
          <w:p>
            <w:pPr>
              <w:keepNext/>
              <w:spacing w:after="0" w:before="0"/>
            </w:pPr>
            <w:r>
              <w:rPr>
                <w:sz w:val="16"/>
              </w:rPr>
            </w:r>
            <w:r>
              <w:rPr>
                <w:b/>
                <w:sz w:val="16"/>
              </w:rPr>
              <w:t>Acceptance split</w:t>
            </w:r>
          </w:p>
        </w:tc>
        <w:tc>
          <w:tcPr>
            <w:tcW w:type="dxa" w:w="1560"/>
            <w:shd w:fill="E6EEF4"/>
          </w:tcPr>
          <w:p>
            <w:pPr>
              <w:keepNext/>
              <w:spacing w:after="0" w:before="0"/>
            </w:pPr>
            <w:r>
              <w:rPr>
                <w:sz w:val="16"/>
              </w:rPr>
            </w:r>
            <w:r>
              <w:rPr>
                <w:b/>
                <w:sz w:val="16"/>
              </w:rPr>
              <w:t>Evidence status</w:t>
            </w:r>
          </w:p>
        </w:tc>
      </w:tr>
      <w:tr>
        <w:tc>
          <w:tcPr>
            <w:tcW w:type="dxa" w:w="1560"/>
          </w:tcPr>
          <w:p>
            <w:pPr>
              <w:spacing w:after="0" w:before="0"/>
            </w:pPr>
            <w:r>
              <w:rPr>
                <w:sz w:val="16"/>
              </w:rPr>
            </w:r>
            <w:r>
              <w:rPr>
                <w:sz w:val="16"/>
              </w:rPr>
              <w:t>Spatial / single-cell omics</w:t>
            </w:r>
          </w:p>
        </w:tc>
        <w:tc>
          <w:tcPr>
            <w:tcW w:type="dxa" w:w="1560"/>
          </w:tcPr>
          <w:p>
            <w:pPr>
              <w:spacing w:after="0" w:before="0"/>
            </w:pPr>
            <w:r>
              <w:rPr>
                <w:sz w:val="16"/>
              </w:rPr>
            </w:r>
            <w:r>
              <w:rPr>
                <w:sz w:val="16"/>
              </w:rPr>
              <w:t>donor, patient</w:t>
            </w:r>
          </w:p>
        </w:tc>
        <w:tc>
          <w:tcPr>
            <w:tcW w:type="dxa" w:w="1560"/>
          </w:tcPr>
          <w:p>
            <w:pPr>
              <w:spacing w:after="0" w:before="0"/>
            </w:pPr>
            <w:r>
              <w:rPr>
                <w:sz w:val="16"/>
              </w:rPr>
            </w:r>
            <w:r>
              <w:rPr>
                <w:sz w:val="16"/>
              </w:rPr>
              <w:t>spot, cell, nucleus</w:t>
            </w:r>
          </w:p>
        </w:tc>
        <w:tc>
          <w:tcPr>
            <w:tcW w:type="dxa" w:w="1560"/>
          </w:tcPr>
          <w:p>
            <w:pPr>
              <w:spacing w:after="0" w:before="0"/>
            </w:pPr>
            <w:r>
              <w:rPr>
                <w:sz w:val="16"/>
              </w:rPr>
            </w:r>
            <w:r>
              <w:rPr>
                <w:sz w:val="16"/>
              </w:rPr>
              <w:t>many spots per donor; sibling sections</w:t>
            </w:r>
          </w:p>
        </w:tc>
        <w:tc>
          <w:tcPr>
            <w:tcW w:type="dxa" w:w="1560"/>
          </w:tcPr>
          <w:p>
            <w:pPr>
              <w:spacing w:after="0" w:before="0"/>
            </w:pPr>
            <w:r>
              <w:rPr>
                <w:sz w:val="16"/>
              </w:rPr>
            </w:r>
            <w:r>
              <w:rPr>
                <w:sz w:val="16"/>
              </w:rPr>
              <w:t>leave-one-donor-out</w:t>
            </w:r>
          </w:p>
        </w:tc>
        <w:tc>
          <w:tcPr>
            <w:tcW w:type="dxa" w:w="1560"/>
          </w:tcPr>
          <w:p>
            <w:pPr>
              <w:spacing w:after="0" w:before="0"/>
            </w:pPr>
            <w:r>
              <w:rPr>
                <w:sz w:val="16"/>
              </w:rPr>
            </w:r>
            <w:r>
              <w:rPr>
                <w:sz w:val="16"/>
              </w:rPr>
              <w:t>Validated (full loop)</w:t>
            </w:r>
          </w:p>
        </w:tc>
      </w:tr>
      <w:tr>
        <w:tc>
          <w:tcPr>
            <w:tcW w:type="dxa" w:w="1560"/>
          </w:tcPr>
          <w:p>
            <w:pPr>
              <w:spacing w:after="0" w:before="0"/>
            </w:pPr>
            <w:r>
              <w:rPr>
                <w:sz w:val="16"/>
              </w:rPr>
            </w:r>
            <w:r>
              <w:rPr>
                <w:sz w:val="16"/>
              </w:rPr>
              <w:t>Wearables and biosignals</w:t>
            </w:r>
          </w:p>
        </w:tc>
        <w:tc>
          <w:tcPr>
            <w:tcW w:type="dxa" w:w="1560"/>
          </w:tcPr>
          <w:p>
            <w:pPr>
              <w:spacing w:after="0" w:before="0"/>
            </w:pPr>
            <w:r>
              <w:rPr>
                <w:sz w:val="16"/>
              </w:rPr>
            </w:r>
            <w:r>
              <w:rPr>
                <w:sz w:val="16"/>
              </w:rPr>
              <w:t>subject</w:t>
            </w:r>
          </w:p>
        </w:tc>
        <w:tc>
          <w:tcPr>
            <w:tcW w:type="dxa" w:w="1560"/>
          </w:tcPr>
          <w:p>
            <w:pPr>
              <w:spacing w:after="0" w:before="0"/>
            </w:pPr>
            <w:r>
              <w:rPr>
                <w:sz w:val="16"/>
              </w:rPr>
            </w:r>
            <w:r>
              <w:rPr>
                <w:sz w:val="16"/>
              </w:rPr>
              <w:t>time window</w:t>
            </w:r>
          </w:p>
        </w:tc>
        <w:tc>
          <w:tcPr>
            <w:tcW w:type="dxa" w:w="1560"/>
          </w:tcPr>
          <w:p>
            <w:pPr>
              <w:spacing w:after="0" w:before="0"/>
            </w:pPr>
            <w:r>
              <w:rPr>
                <w:sz w:val="16"/>
              </w:rPr>
            </w:r>
            <w:r>
              <w:rPr>
                <w:sz w:val="16"/>
              </w:rPr>
              <w:t>thousands of windows per subject</w:t>
            </w:r>
          </w:p>
        </w:tc>
        <w:tc>
          <w:tcPr>
            <w:tcW w:type="dxa" w:w="1560"/>
          </w:tcPr>
          <w:p>
            <w:pPr>
              <w:spacing w:after="0" w:before="0"/>
            </w:pPr>
            <w:r>
              <w:rPr>
                <w:sz w:val="16"/>
              </w:rPr>
            </w:r>
            <w:r>
              <w:rPr>
                <w:sz w:val="16"/>
              </w:rPr>
              <w:t>leave-one-subject-out</w:t>
            </w:r>
          </w:p>
        </w:tc>
        <w:tc>
          <w:tcPr>
            <w:tcW w:type="dxa" w:w="1560"/>
          </w:tcPr>
          <w:p>
            <w:pPr>
              <w:spacing w:after="0" w:before="0"/>
            </w:pPr>
            <w:r>
              <w:rPr>
                <w:sz w:val="16"/>
              </w:rPr>
            </w:r>
            <w:r>
              <w:rPr>
                <w:sz w:val="16"/>
              </w:rPr>
              <w:t>Audited (predictions only; HAR, Table 5)</w:t>
            </w:r>
          </w:p>
        </w:tc>
      </w:tr>
      <w:tr>
        <w:tc>
          <w:tcPr>
            <w:tcW w:type="dxa" w:w="1560"/>
          </w:tcPr>
          <w:p>
            <w:pPr>
              <w:spacing w:after="0" w:before="0"/>
            </w:pPr>
            <w:r>
              <w:rPr>
                <w:sz w:val="16"/>
              </w:rPr>
            </w:r>
            <w:r>
              <w:rPr>
                <w:sz w:val="16"/>
              </w:rPr>
              <w:t>Analytical chemistry, sensor networks</w:t>
            </w:r>
          </w:p>
        </w:tc>
        <w:tc>
          <w:tcPr>
            <w:tcW w:type="dxa" w:w="1560"/>
          </w:tcPr>
          <w:p>
            <w:pPr>
              <w:spacing w:after="0" w:before="0"/>
            </w:pPr>
            <w:r>
              <w:rPr>
                <w:sz w:val="16"/>
              </w:rPr>
            </w:r>
            <w:r>
              <w:rPr>
                <w:sz w:val="16"/>
              </w:rPr>
              <w:t>measurement batch, instrument</w:t>
            </w:r>
          </w:p>
        </w:tc>
        <w:tc>
          <w:tcPr>
            <w:tcW w:type="dxa" w:w="1560"/>
          </w:tcPr>
          <w:p>
            <w:pPr>
              <w:spacing w:after="0" w:before="0"/>
            </w:pPr>
            <w:r>
              <w:rPr>
                <w:sz w:val="16"/>
              </w:rPr>
            </w:r>
            <w:r>
              <w:rPr>
                <w:sz w:val="16"/>
              </w:rPr>
              <w:t>spectrum, sensor reading</w:t>
            </w:r>
          </w:p>
        </w:tc>
        <w:tc>
          <w:tcPr>
            <w:tcW w:type="dxa" w:w="1560"/>
          </w:tcPr>
          <w:p>
            <w:pPr>
              <w:spacing w:after="0" w:before="0"/>
            </w:pPr>
            <w:r>
              <w:rPr>
                <w:sz w:val="16"/>
              </w:rPr>
            </w:r>
            <w:r>
              <w:rPr>
                <w:sz w:val="16"/>
              </w:rPr>
              <w:t>drift signature shared across a batch; batch–analyte imbalance</w:t>
            </w:r>
          </w:p>
        </w:tc>
        <w:tc>
          <w:tcPr>
            <w:tcW w:type="dxa" w:w="1560"/>
          </w:tcPr>
          <w:p>
            <w:pPr>
              <w:spacing w:after="0" w:before="0"/>
            </w:pPr>
            <w:r>
              <w:rPr>
                <w:sz w:val="16"/>
              </w:rPr>
            </w:r>
            <w:r>
              <w:rPr>
                <w:sz w:val="16"/>
              </w:rPr>
              <w:t>leave-one-batch-out</w:t>
            </w:r>
          </w:p>
        </w:tc>
        <w:tc>
          <w:tcPr>
            <w:tcW w:type="dxa" w:w="1560"/>
          </w:tcPr>
          <w:p>
            <w:pPr>
              <w:spacing w:after="0" w:before="0"/>
            </w:pPr>
            <w:r>
              <w:rPr>
                <w:sz w:val="16"/>
              </w:rPr>
            </w:r>
            <w:r>
              <w:rPr>
                <w:sz w:val="16"/>
              </w:rPr>
              <w:t>Audited (predictions only; gas drift, Table 5)</w:t>
            </w:r>
          </w:p>
        </w:tc>
      </w:tr>
      <w:tr>
        <w:tc>
          <w:tcPr>
            <w:tcW w:type="dxa" w:w="1560"/>
          </w:tcPr>
          <w:p>
            <w:pPr>
              <w:spacing w:after="0" w:before="0"/>
            </w:pPr>
            <w:r>
              <w:rPr>
                <w:sz w:val="16"/>
              </w:rPr>
            </w:r>
            <w:r>
              <w:rPr>
                <w:sz w:val="16"/>
              </w:rPr>
              <w:t>Medical imaging</w:t>
            </w:r>
          </w:p>
        </w:tc>
        <w:tc>
          <w:tcPr>
            <w:tcW w:type="dxa" w:w="1560"/>
          </w:tcPr>
          <w:p>
            <w:pPr>
              <w:spacing w:after="0" w:before="0"/>
            </w:pPr>
            <w:r>
              <w:rPr>
                <w:sz w:val="16"/>
              </w:rPr>
            </w:r>
            <w:r>
              <w:rPr>
                <w:sz w:val="16"/>
              </w:rPr>
              <w:t>hospital, scanner, site</w:t>
            </w:r>
          </w:p>
        </w:tc>
        <w:tc>
          <w:tcPr>
            <w:tcW w:type="dxa" w:w="1560"/>
          </w:tcPr>
          <w:p>
            <w:pPr>
              <w:spacing w:after="0" w:before="0"/>
            </w:pPr>
            <w:r>
              <w:rPr>
                <w:sz w:val="16"/>
              </w:rPr>
            </w:r>
            <w:r>
              <w:rPr>
                <w:sz w:val="16"/>
              </w:rPr>
              <w:t>image, slice, study</w:t>
            </w:r>
          </w:p>
        </w:tc>
        <w:tc>
          <w:tcPr>
            <w:tcW w:type="dxa" w:w="1560"/>
          </w:tcPr>
          <w:p>
            <w:pPr>
              <w:spacing w:after="0" w:before="0"/>
            </w:pPr>
            <w:r>
              <w:rPr>
                <w:sz w:val="16"/>
              </w:rPr>
            </w:r>
            <w:r>
              <w:rPr>
                <w:sz w:val="16"/>
              </w:rPr>
              <w:t>repeated scans per patient; acquisition signature</w:t>
            </w:r>
          </w:p>
        </w:tc>
        <w:tc>
          <w:tcPr>
            <w:tcW w:type="dxa" w:w="1560"/>
          </w:tcPr>
          <w:p>
            <w:pPr>
              <w:spacing w:after="0" w:before="0"/>
            </w:pPr>
            <w:r>
              <w:rPr>
                <w:sz w:val="16"/>
              </w:rPr>
            </w:r>
            <w:r>
              <w:rPr>
                <w:sz w:val="16"/>
              </w:rPr>
              <w:t>leave-one-site-out / leave-one-scanner-out</w:t>
            </w:r>
          </w:p>
        </w:tc>
        <w:tc>
          <w:tcPr>
            <w:tcW w:type="dxa" w:w="1560"/>
          </w:tcPr>
          <w:p>
            <w:pPr>
              <w:spacing w:after="0" w:before="0"/>
            </w:pPr>
            <w:r>
              <w:rPr>
                <w:sz w:val="16"/>
              </w:rPr>
            </w:r>
            <w:r>
              <w:rPr>
                <w:sz w:val="16"/>
              </w:rPr>
              <w:t>Not tested (structural)</w:t>
            </w:r>
          </w:p>
        </w:tc>
      </w:tr>
      <w:tr>
        <w:tc>
          <w:tcPr>
            <w:tcW w:type="dxa" w:w="1560"/>
          </w:tcPr>
          <w:p>
            <w:pPr>
              <w:spacing w:after="0" w:before="0"/>
            </w:pPr>
            <w:r>
              <w:rPr>
                <w:sz w:val="16"/>
              </w:rPr>
            </w:r>
            <w:r>
              <w:rPr>
                <w:sz w:val="16"/>
              </w:rPr>
              <w:t>Speech and audio</w:t>
            </w:r>
          </w:p>
        </w:tc>
        <w:tc>
          <w:tcPr>
            <w:tcW w:type="dxa" w:w="1560"/>
          </w:tcPr>
          <w:p>
            <w:pPr>
              <w:spacing w:after="0" w:before="0"/>
            </w:pPr>
            <w:r>
              <w:rPr>
                <w:sz w:val="16"/>
              </w:rPr>
            </w:r>
            <w:r>
              <w:rPr>
                <w:sz w:val="16"/>
              </w:rPr>
              <w:t>speaker</w:t>
            </w:r>
          </w:p>
        </w:tc>
        <w:tc>
          <w:tcPr>
            <w:tcW w:type="dxa" w:w="1560"/>
          </w:tcPr>
          <w:p>
            <w:pPr>
              <w:spacing w:after="0" w:before="0"/>
            </w:pPr>
            <w:r>
              <w:rPr>
                <w:sz w:val="16"/>
              </w:rPr>
            </w:r>
            <w:r>
              <w:rPr>
                <w:sz w:val="16"/>
              </w:rPr>
              <w:t>utterance, frame</w:t>
            </w:r>
          </w:p>
        </w:tc>
        <w:tc>
          <w:tcPr>
            <w:tcW w:type="dxa" w:w="1560"/>
          </w:tcPr>
          <w:p>
            <w:pPr>
              <w:spacing w:after="0" w:before="0"/>
            </w:pPr>
            <w:r>
              <w:rPr>
                <w:sz w:val="16"/>
              </w:rPr>
            </w:r>
            <w:r>
              <w:rPr>
                <w:sz w:val="16"/>
              </w:rPr>
              <w:t>many utterances per speaker</w:t>
            </w:r>
          </w:p>
        </w:tc>
        <w:tc>
          <w:tcPr>
            <w:tcW w:type="dxa" w:w="1560"/>
          </w:tcPr>
          <w:p>
            <w:pPr>
              <w:spacing w:after="0" w:before="0"/>
            </w:pPr>
            <w:r>
              <w:rPr>
                <w:sz w:val="16"/>
              </w:rPr>
            </w:r>
            <w:r>
              <w:rPr>
                <w:sz w:val="16"/>
              </w:rPr>
              <w:t>leave-one-speaker-out</w:t>
            </w:r>
          </w:p>
        </w:tc>
        <w:tc>
          <w:tcPr>
            <w:tcW w:type="dxa" w:w="1560"/>
          </w:tcPr>
          <w:p>
            <w:pPr>
              <w:spacing w:after="0" w:before="0"/>
            </w:pPr>
            <w:r>
              <w:rPr>
                <w:sz w:val="16"/>
              </w:rPr>
            </w:r>
            <w:r>
              <w:rPr>
                <w:sz w:val="16"/>
              </w:rPr>
              <w:t>Not tested (structural)</w:t>
            </w:r>
          </w:p>
        </w:tc>
      </w:tr>
      <w:tr>
        <w:tc>
          <w:tcPr>
            <w:tcW w:type="dxa" w:w="1560"/>
          </w:tcPr>
          <w:p>
            <w:pPr>
              <w:spacing w:after="0" w:before="0"/>
            </w:pPr>
            <w:r>
              <w:rPr>
                <w:sz w:val="16"/>
              </w:rPr>
            </w:r>
            <w:r>
              <w:rPr>
                <w:sz w:val="16"/>
              </w:rPr>
              <w:t>Electronic health records</w:t>
            </w:r>
          </w:p>
        </w:tc>
        <w:tc>
          <w:tcPr>
            <w:tcW w:type="dxa" w:w="1560"/>
          </w:tcPr>
          <w:p>
            <w:pPr>
              <w:spacing w:after="0" w:before="0"/>
            </w:pPr>
            <w:r>
              <w:rPr>
                <w:sz w:val="16"/>
              </w:rPr>
            </w:r>
            <w:r>
              <w:rPr>
                <w:sz w:val="16"/>
              </w:rPr>
              <w:t>hospital, provider, ward</w:t>
            </w:r>
          </w:p>
        </w:tc>
        <w:tc>
          <w:tcPr>
            <w:tcW w:type="dxa" w:w="1560"/>
          </w:tcPr>
          <w:p>
            <w:pPr>
              <w:spacing w:after="0" w:before="0"/>
            </w:pPr>
            <w:r>
              <w:rPr>
                <w:sz w:val="16"/>
              </w:rPr>
            </w:r>
            <w:r>
              <w:rPr>
                <w:sz w:val="16"/>
              </w:rPr>
              <w:t>encounter, note</w:t>
            </w:r>
          </w:p>
        </w:tc>
        <w:tc>
          <w:tcPr>
            <w:tcW w:type="dxa" w:w="1560"/>
          </w:tcPr>
          <w:p>
            <w:pPr>
              <w:spacing w:after="0" w:before="0"/>
            </w:pPr>
            <w:r>
              <w:rPr>
                <w:sz w:val="16"/>
              </w:rPr>
            </w:r>
            <w:r>
              <w:rPr>
                <w:sz w:val="16"/>
              </w:rPr>
              <w:t>repeated encounters per site</w:t>
            </w:r>
          </w:p>
        </w:tc>
        <w:tc>
          <w:tcPr>
            <w:tcW w:type="dxa" w:w="1560"/>
          </w:tcPr>
          <w:p>
            <w:pPr>
              <w:spacing w:after="0" w:before="0"/>
            </w:pPr>
            <w:r>
              <w:rPr>
                <w:sz w:val="16"/>
              </w:rPr>
            </w:r>
            <w:r>
              <w:rPr>
                <w:sz w:val="16"/>
              </w:rPr>
              <w:t>leave-one-site-out</w:t>
            </w:r>
          </w:p>
        </w:tc>
        <w:tc>
          <w:tcPr>
            <w:tcW w:type="dxa" w:w="1560"/>
          </w:tcPr>
          <w:p>
            <w:pPr>
              <w:spacing w:after="0" w:before="0"/>
            </w:pPr>
            <w:r>
              <w:rPr>
                <w:sz w:val="16"/>
              </w:rPr>
            </w:r>
            <w:r>
              <w:rPr>
                <w:sz w:val="16"/>
              </w:rPr>
              <w:t>Not tested (structural)</w:t>
            </w:r>
          </w:p>
        </w:tc>
      </w:tr>
      <w:tr>
        <w:tc>
          <w:tcPr>
            <w:tcW w:type="dxa" w:w="1560"/>
          </w:tcPr>
          <w:p>
            <w:pPr>
              <w:spacing w:after="0" w:before="0"/>
            </w:pPr>
            <w:r>
              <w:rPr>
                <w:sz w:val="16"/>
              </w:rPr>
            </w:r>
            <w:r>
              <w:rPr>
                <w:sz w:val="16"/>
              </w:rPr>
              <w:t>Remote sensing and ecology</w:t>
            </w:r>
          </w:p>
        </w:tc>
        <w:tc>
          <w:tcPr>
            <w:tcW w:type="dxa" w:w="1560"/>
          </w:tcPr>
          <w:p>
            <w:pPr>
              <w:spacing w:after="0" w:before="0"/>
            </w:pPr>
            <w:r>
              <w:rPr>
                <w:sz w:val="16"/>
              </w:rPr>
            </w:r>
            <w:r>
              <w:rPr>
                <w:sz w:val="16"/>
              </w:rPr>
              <w:t>plot, site, tile</w:t>
            </w:r>
          </w:p>
        </w:tc>
        <w:tc>
          <w:tcPr>
            <w:tcW w:type="dxa" w:w="1560"/>
          </w:tcPr>
          <w:p>
            <w:pPr>
              <w:spacing w:after="0" w:before="0"/>
            </w:pPr>
            <w:r>
              <w:rPr>
                <w:sz w:val="16"/>
              </w:rPr>
            </w:r>
            <w:r>
              <w:rPr>
                <w:sz w:val="16"/>
              </w:rPr>
              <w:t>patch, pixel block</w:t>
            </w:r>
          </w:p>
        </w:tc>
        <w:tc>
          <w:tcPr>
            <w:tcW w:type="dxa" w:w="1560"/>
          </w:tcPr>
          <w:p>
            <w:pPr>
              <w:spacing w:after="0" w:before="0"/>
            </w:pPr>
            <w:r>
              <w:rPr>
                <w:sz w:val="16"/>
              </w:rPr>
            </w:r>
            <w:r>
              <w:rPr>
                <w:sz w:val="16"/>
              </w:rPr>
              <w:t>spatially autocorrelated sibling tiles</w:t>
            </w:r>
          </w:p>
        </w:tc>
        <w:tc>
          <w:tcPr>
            <w:tcW w:type="dxa" w:w="1560"/>
          </w:tcPr>
          <w:p>
            <w:pPr>
              <w:spacing w:after="0" w:before="0"/>
            </w:pPr>
            <w:r>
              <w:rPr>
                <w:sz w:val="16"/>
              </w:rPr>
            </w:r>
            <w:r>
              <w:rPr>
                <w:sz w:val="16"/>
              </w:rPr>
              <w:t>spatial-block holdout</w:t>
            </w:r>
          </w:p>
        </w:tc>
        <w:tc>
          <w:tcPr>
            <w:tcW w:type="dxa" w:w="1560"/>
          </w:tcPr>
          <w:p>
            <w:pPr>
              <w:spacing w:after="0" w:before="0"/>
            </w:pPr>
            <w:r>
              <w:rPr>
                <w:sz w:val="16"/>
              </w:rPr>
            </w:r>
            <w:r>
              <w:rPr>
                <w:sz w:val="16"/>
              </w:rPr>
              <w:t>Not tested (structural)</w:t>
            </w:r>
          </w:p>
        </w:tc>
      </w:tr>
      <w:tr>
        <w:tc>
          <w:tcPr>
            <w:tcW w:type="dxa" w:w="1560"/>
          </w:tcPr>
          <w:p>
            <w:pPr>
              <w:spacing w:after="0" w:before="0"/>
            </w:pPr>
            <w:r>
              <w:rPr>
                <w:sz w:val="16"/>
              </w:rPr>
            </w:r>
            <w:r>
              <w:rPr>
                <w:sz w:val="16"/>
              </w:rPr>
              <w:t>Recommender systems, user modelling</w:t>
            </w:r>
          </w:p>
        </w:tc>
        <w:tc>
          <w:tcPr>
            <w:tcW w:type="dxa" w:w="1560"/>
          </w:tcPr>
          <w:p>
            <w:pPr>
              <w:spacing w:after="0" w:before="0"/>
            </w:pPr>
            <w:r>
              <w:rPr>
                <w:sz w:val="16"/>
              </w:rPr>
            </w:r>
            <w:r>
              <w:rPr>
                <w:sz w:val="16"/>
              </w:rPr>
              <w:t>user</w:t>
            </w:r>
          </w:p>
        </w:tc>
        <w:tc>
          <w:tcPr>
            <w:tcW w:type="dxa" w:w="1560"/>
          </w:tcPr>
          <w:p>
            <w:pPr>
              <w:spacing w:after="0" w:before="0"/>
            </w:pPr>
            <w:r>
              <w:rPr>
                <w:sz w:val="16"/>
              </w:rPr>
            </w:r>
            <w:r>
              <w:rPr>
                <w:sz w:val="16"/>
              </w:rPr>
              <w:t>interaction, session</w:t>
            </w:r>
          </w:p>
        </w:tc>
        <w:tc>
          <w:tcPr>
            <w:tcW w:type="dxa" w:w="1560"/>
          </w:tcPr>
          <w:p>
            <w:pPr>
              <w:spacing w:after="0" w:before="0"/>
            </w:pPr>
            <w:r>
              <w:rPr>
                <w:sz w:val="16"/>
              </w:rPr>
            </w:r>
            <w:r>
              <w:rPr>
                <w:sz w:val="16"/>
              </w:rPr>
              <w:t>many interactions per user</w:t>
            </w:r>
          </w:p>
        </w:tc>
        <w:tc>
          <w:tcPr>
            <w:tcW w:type="dxa" w:w="1560"/>
          </w:tcPr>
          <w:p>
            <w:pPr>
              <w:spacing w:after="0" w:before="0"/>
            </w:pPr>
            <w:r>
              <w:rPr>
                <w:sz w:val="16"/>
              </w:rPr>
            </w:r>
            <w:r>
              <w:rPr>
                <w:sz w:val="16"/>
              </w:rPr>
              <w:t>leave-one-user-out</w:t>
            </w:r>
          </w:p>
        </w:tc>
        <w:tc>
          <w:tcPr>
            <w:tcW w:type="dxa" w:w="1560"/>
          </w:tcPr>
          <w:p>
            <w:pPr>
              <w:spacing w:after="0" w:before="0"/>
            </w:pPr>
            <w:r>
              <w:rPr>
                <w:sz w:val="16"/>
              </w:rPr>
            </w:r>
            <w:r>
              <w:rPr>
                <w:sz w:val="16"/>
              </w:rPr>
              <w:t>Not tested (structural)</w:t>
            </w:r>
          </w:p>
        </w:tc>
      </w:tr>
      <w:tr>
        <w:tc>
          <w:tcPr>
            <w:tcW w:type="dxa" w:w="1560"/>
          </w:tcPr>
          <w:p>
            <w:pPr>
              <w:spacing w:after="0" w:before="0"/>
            </w:pPr>
            <w:r>
              <w:rPr>
                <w:sz w:val="16"/>
              </w:rPr>
            </w:r>
            <w:r>
              <w:rPr>
                <w:sz w:val="16"/>
              </w:rPr>
              <w:t>Multi-centre trials</w:t>
            </w:r>
          </w:p>
        </w:tc>
        <w:tc>
          <w:tcPr>
            <w:tcW w:type="dxa" w:w="1560"/>
          </w:tcPr>
          <w:p>
            <w:pPr>
              <w:spacing w:after="0" w:before="0"/>
            </w:pPr>
            <w:r>
              <w:rPr>
                <w:sz w:val="16"/>
              </w:rPr>
            </w:r>
            <w:r>
              <w:rPr>
                <w:sz w:val="16"/>
              </w:rPr>
              <w:t>centre</w:t>
            </w:r>
          </w:p>
        </w:tc>
        <w:tc>
          <w:tcPr>
            <w:tcW w:type="dxa" w:w="1560"/>
          </w:tcPr>
          <w:p>
            <w:pPr>
              <w:spacing w:after="0" w:before="0"/>
            </w:pPr>
            <w:r>
              <w:rPr>
                <w:sz w:val="16"/>
              </w:rPr>
            </w:r>
            <w:r>
              <w:rPr>
                <w:sz w:val="16"/>
              </w:rPr>
              <w:t>participant visit</w:t>
            </w:r>
          </w:p>
        </w:tc>
        <w:tc>
          <w:tcPr>
            <w:tcW w:type="dxa" w:w="1560"/>
          </w:tcPr>
          <w:p>
            <w:pPr>
              <w:spacing w:after="0" w:before="0"/>
            </w:pPr>
            <w:r>
              <w:rPr>
                <w:sz w:val="16"/>
              </w:rPr>
            </w:r>
            <w:r>
              <w:rPr>
                <w:sz w:val="16"/>
              </w:rPr>
              <w:t>repeated visits; centre protocols</w:t>
            </w:r>
          </w:p>
        </w:tc>
        <w:tc>
          <w:tcPr>
            <w:tcW w:type="dxa" w:w="1560"/>
          </w:tcPr>
          <w:p>
            <w:pPr>
              <w:spacing w:after="0" w:before="0"/>
            </w:pPr>
            <w:r>
              <w:rPr>
                <w:sz w:val="16"/>
              </w:rPr>
            </w:r>
            <w:r>
              <w:rPr>
                <w:sz w:val="16"/>
              </w:rPr>
              <w:t>leave-one-centre-out</w:t>
            </w:r>
          </w:p>
        </w:tc>
        <w:tc>
          <w:tcPr>
            <w:tcW w:type="dxa" w:w="1560"/>
          </w:tcPr>
          <w:p>
            <w:pPr>
              <w:spacing w:after="0" w:before="0"/>
            </w:pPr>
            <w:r>
              <w:rPr>
                <w:sz w:val="16"/>
              </w:rPr>
            </w:r>
            <w:r>
              <w:rPr>
                <w:sz w:val="16"/>
              </w:rPr>
              <w:t>Not tested (structural)</w:t>
            </w:r>
          </w:p>
        </w:tc>
      </w:tr>
    </w:tbl>
    <w:p/>
    <w:p>
      <w:pPr>
        <w:pStyle w:val="Heading2"/>
      </w:pPr>
      <w:r>
        <w:rPr>
          <w:rFonts w:ascii="Times New Roman" w:hAnsi="Times New Roman"/>
          <w:color w:val="000000"/>
        </w:rPr>
        <w:t>Remediation experiments</w:t>
      </w:r>
    </w:p>
    <w:p>
      <w:r>
        <w:t>The analyses reported so far are conditional representation audits on archived runs. Six of the choices that the reporting workflow above asks authors to declare can be tested directly on the same public data and the same frozen embeddings, without new cohorts, so we re-ran them instead of leaving them as caveats. Table 7 summarizes the null-scale comparison, and Tables S18 and S19 report the full run-level detail.</w:t>
      </w:r>
    </w:p>
    <w:p>
      <w:r>
        <w:rPr>
          <w:b/>
        </w:rPr>
        <w:t>Within-group label permutation sensitivity.</w:t>
      </w:r>
      <w:r>
        <w:rPr>
          <w:b w:val="0"/>
        </w:rPr>
        <w:t xml:space="preserve"> We compared unrestricted label permutation with labels shuffled independently within each recorded group (B = 2,000 probe refits). The restricted scheme preserves the observed group-by-label counts and asks about association beyond that structure, conditional on within-group exchangeability; it is not permutation of whole independent groups. Baseline permutation scales are approximately 0.058 versus 0.058 in HAR, 0.060 versus 0.046 in gas drift, 0.081 versus 0.050 for GeoMx risk, 0.077 versus 0.048 for Silva and 0.083 versus 0.087 for cell type. In the 30 reanalysis cells of these multi-unit cohorts, the archived ratio (τ_LOO − 0.001)/σ̂ remains above 1.645 using either scale. This ratio is not centered on the restricted null mean, which was not stored, so its numerical increase is not evidence of greater statistical significance. Empirical permutation p values, where exchangeability is defensible, address the specified conditional null; the normal-reference gate is descriptive. Where labels are constant within group, within-group shuffling is the identity, σ̂ = 0 and this ratio is undefined. This limits that permutation scheme, not the possibility of group-level inference under a different scientifically justified null.</w:t>
      </w:r>
    </w:p>
    <w:p>
      <w:r>
        <w:rPr>
          <w:b/>
        </w:rPr>
        <w:t>Identity structure, separately from label utility.</w:t>
      </w:r>
      <w:r>
        <w:rPr>
          <w:b w:val="0"/>
        </w:rPr>
        <w:t xml:space="preserve"> The reanalysis reports nearest-neighbour same-group hit rate divided by the archived empirical prior Σ(n_g/N)² and distance-based AUROC for same-group versus different-group pairs. These are geometry summaries, not open-set group classifiers or privacy guarantees. The empirical prior includes self-pairs, whereas the nearest-neighbour search excludes self; a random-neighbour reference would instead be Σn_g(n_g − 1)/[N(N − 1)]. We retain the archived ratio for traceability and do not use it as a calibrated significance test. Pairwise distances also share observations and do not provide independent pair replicates. From λ = 0 to 2, the archived nearest-neighbour ratio changes from 12.7–13.8 to 4.8–6.3 in HAR, 5.14–5.15 to 4.70–4.84 in gas drift and 5.65–5.71 to 5.43–5.56 in GeoMx risk. These values differ from the logistic group-classifier lift used in Figure 5 and earlier tables. Both measurements show retained group structure under their own definitions; neither certifies identity erasure.</w:t>
      </w:r>
    </w:p>
    <w:p>
      <w:r>
        <w:rPr>
          <w:b/>
        </w:rPr>
        <w:t>Nominal labels and coding sensitivity.</w:t>
      </w:r>
      <w:r>
        <w:rPr>
          <w:b w:val="0"/>
        </w:rPr>
        <w:t xml:space="preserve"> One-versus-rest ridge probes under recorded group holdout give macro AUROC 0.96–0.97 in HAR and 0.88–0.94 in gas drift, with balanced accuracy 0.80–0.86 and 0.67–0.84. These are conditional representation audits. Twenty random recodings give τ_LOO SD 0.073–0.112 and an observed range up to 0.49, while the nominal macro AUROC is invariant to relabelling. Thus nominal scoring remedies the coding dependence of the utility readout, but does not validate the earlier τ-based cross-domain ordering or feasibility interpretation. At λ = 2, HAR balanced accuracy decreases in all three seeds; gas-drift macro AUROC and balanced accuracy both decrease in all three seeds. No consistent utility improvement is demonstrated.</w:t>
      </w:r>
    </w:p>
    <w:p>
      <w:r>
        <w:rPr>
          <w:b/>
        </w:rPr>
        <w:t xml:space="preserve">Frozen versus refit null scale. </w:t>
      </w:r>
      <w:r>
        <w:rPr>
          <w:b w:val="0"/>
        </w:rPr>
        <w:t>Pre-freezing the baseline scale is a declaration, not a correction, and we report both conventions on the same runs. Freezing σ̂ at its λ = 0 cohort mean instead of re-estimating it per run moves LDI by less than 0.9 in every cross-domain cohort (HAR 12.4–14.1 per-run versus 13.2–13.9 frozen) and changes no gate count: 0 of 6 accepted cells per cohort under either convention, and 1 of 9 in the cervical archive under either convention.</w:t>
      </w:r>
    </w:p>
    <w:p>
      <w:r>
        <w:rPr>
          <w:b/>
        </w:rPr>
        <w:t>Outer-loop encoder refitting.</w:t>
      </w:r>
      <w:r>
        <w:rPr>
          <w:b w:val="0"/>
        </w:rPr>
        <w:t xml:space="preserve"> The archived HAR comparison retrains the encoder and probe over 30 subject holdouts at one seed and two doses. However, clipping percentiles and global standardization were fitted before the holdouts, so the analysis is not fully nested preprocessing. It reports the mean of per-subject Kendall correlations (0.802 versus 0.806 at λ = 0; 0.776 versus 0.804 at λ = 2), whereas the main τ_LGO pools out-of-fold predictions across subjects. These estimands are distinct. Comparing the difference with between-fold SD is not an equivalence test; folds share training data. These exploratory results therefore do not establish absence of optimism or validate the complete pipeline. A corrected train-only preprocessing runner is supplied separately, with pooled and mean-fold statistics reported distinctly.</w:t>
      </w:r>
    </w:p>
    <w:p>
      <w:r>
        <w:rPr>
          <w:b/>
        </w:rPr>
        <w:t>Corrected train-only preprocessing check.</w:t>
      </w:r>
      <w:r>
        <w:rPr>
          <w:b w:val="0"/>
        </w:rPr>
        <w:t xml:space="preserve"> We repeated the HAR encoder-refit exercise at seed 0 with all clipping percentiles, centering and scaling fitted solely on outer-training observations (30 epochs, 30 held-out subjects; 299 audit units). Pooled out-of-fold Kendall τ was 0.7931 frozen versus 0.7925 outer-refitted at λ = 0, and 0.8088 versus 0.7967 at λ = 2. Frozen-minus-outer differences were +0.0006 and +0.0121. The corresponding mean-within-fold τ values are reported separately in the result record. This fixes the preprocessing leakage and estimand mismatch for this one-seed HAR check; it is not an equivalence test, remains dependent on nominal class coding, and does not validate the transcriptomic pipelines. Full fold records are provided in outer_refit_v29.json.</w:t>
      </w:r>
    </w:p>
    <w:p>
      <w:r>
        <w:rPr>
          <w:b/>
        </w:rPr>
        <w:t>Grouping assumptions and patient sensitivity.</w:t>
      </w:r>
      <w:r>
        <w:rPr>
          <w:b w:val="0"/>
        </w:rPr>
        <w:t xml:space="preserve"> The cervical runner merges CA_HPV_1 and CA_HPV_2 through a sample-name regular expression, giving 35 sections over 34 assumed groups. A verified source patient-identifier map is not supplied by that operation. We therefore report the existing counts under this grouping assumption rather than claiming a reconstructed patient map. Under it, the observed τ_LOO − τ_LGO ranges from −0.007 to 0.073 across nine runs. The GeoMx analysis enumerates 21 possible merges of two of seven case identifiers, reflecting the source count of six patients. It applies probe holdout to the preprocessed expression matrix, not the repaired learned embeddings: the τ_LGO ranges 0.519–0.614 for risk, 0.530–0.625 for Silva and 0.706–0.708 for cell type are raw-feature grouping sensitivity only. This neither identifies the actual shared patient nor establishes invariance of repair conclusions to that pairing.</w:t>
      </w:r>
    </w:p>
    <w:p>
      <w:r>
        <w:rPr>
          <w:b/>
        </w:rPr>
        <w:t>Table 7.</w:t>
      </w:r>
      <w:r>
        <w:rPr>
          <w:b w:val="0"/>
        </w:rPr>
        <w:t xml:space="preserve"> Unrestricted and within-group label-permutation scales in the reanalysis subset. Three seeds and two doses per multi-unit task were examined, together with nine cervical archived cells; the complete original dose grids were not rerun under the restricted scheme. κ is measured on the sampled audit units rather than the full cohort. Baseline σ̂ values are averaged across three seeds; ratio ranges span seeds and λ ∈ {0, 2}. LDI_group retains the archived floor 0.001 rather than a restricted-null mean, so it is a descriptive scaled association, not a null-centered Z score. “Gate unchanged” refers only to this normal-reference dependence ratio for cells with nondegenerate distributions, not to a valid group-level test or all acceptance axes. Cervical within-group shuffling has zero variance and the ratio is unavailable. Standard deviations remain defined at zero; only division by zero is undefined.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keepNext/>
            </w:pPr>
            <w:r/>
            <w:r>
              <w:rPr>
                <w:b/>
                <w:sz w:val="16"/>
              </w:rPr>
              <w:t>Cohort (arm)</w:t>
            </w:r>
          </w:p>
        </w:tc>
        <w:tc>
          <w:tcPr>
            <w:tcW w:type="dxa" w:w="1040"/>
          </w:tcPr>
          <w:p>
            <w:pPr>
              <w:keepNext/>
            </w:pPr>
            <w:r/>
            <w:r>
              <w:rPr>
                <w:b/>
                <w:sz w:val="16"/>
              </w:rPr>
              <w:t>κ</w:t>
            </w:r>
          </w:p>
        </w:tc>
        <w:tc>
          <w:tcPr>
            <w:tcW w:type="dxa" w:w="1040"/>
          </w:tcPr>
          <w:p>
            <w:pPr>
              <w:keepNext/>
            </w:pPr>
            <w:r/>
            <w:r>
              <w:rPr>
                <w:b/>
                <w:sz w:val="16"/>
              </w:rPr>
              <w:t>groups with varying label</w:t>
            </w:r>
          </w:p>
        </w:tc>
        <w:tc>
          <w:tcPr>
            <w:tcW w:type="dxa" w:w="1040"/>
          </w:tcPr>
          <w:p>
            <w:pPr>
              <w:keepNext/>
            </w:pPr>
            <w:r/>
            <w:r>
              <w:rPr>
                <w:b/>
                <w:sz w:val="16"/>
              </w:rPr>
              <w:t>σ̂ unit-level</w:t>
            </w:r>
          </w:p>
        </w:tc>
        <w:tc>
          <w:tcPr>
            <w:tcW w:type="dxa" w:w="1040"/>
          </w:tcPr>
          <w:p>
            <w:pPr>
              <w:keepNext/>
            </w:pPr>
            <w:r>
              <w:t>σ̂ within-group</w:t>
            </w:r>
            <w:r>
              <w:rPr>
                <w:b/>
                <w:sz w:val="16"/>
              </w:rPr>
            </w:r>
          </w:p>
        </w:tc>
        <w:tc>
          <w:tcPr>
            <w:tcW w:type="dxa" w:w="1040"/>
          </w:tcPr>
          <w:p>
            <w:pPr>
              <w:keepNext/>
            </w:pPr>
            <w:r/>
            <w:r>
              <w:rPr>
                <w:b/>
                <w:sz w:val="16"/>
              </w:rPr>
              <w:t>LDI unit-level</w:t>
            </w:r>
          </w:p>
        </w:tc>
        <w:tc>
          <w:tcPr>
            <w:tcW w:type="dxa" w:w="1040"/>
          </w:tcPr>
          <w:p>
            <w:pPr>
              <w:keepNext/>
            </w:pPr>
            <w:r>
              <w:t>Scaled association (within-group SD)</w:t>
            </w:r>
            <w:r>
              <w:rPr>
                <w:b/>
                <w:sz w:val="16"/>
              </w:rPr>
            </w:r>
          </w:p>
        </w:tc>
        <w:tc>
          <w:tcPr>
            <w:tcW w:type="dxa" w:w="1040"/>
          </w:tcPr>
          <w:p>
            <w:pPr>
              <w:keepNext/>
            </w:pPr>
            <w:r/>
            <w:r>
              <w:rPr>
                <w:b/>
                <w:sz w:val="16"/>
              </w:rPr>
              <w:t>σ̂ ratio (group/unit)</w:t>
            </w:r>
          </w:p>
        </w:tc>
        <w:tc>
          <w:tcPr>
            <w:tcW w:type="dxa" w:w="1040"/>
          </w:tcPr>
          <w:p>
            <w:pPr>
              <w:keepNext/>
            </w:pPr>
            <w:r>
              <w:t>Reference crossing changed</w:t>
            </w:r>
            <w:r>
              <w:rPr>
                <w:b/>
                <w:sz w:val="16"/>
              </w:rPr>
            </w:r>
          </w:p>
        </w:tc>
      </w:tr>
      <w:tr>
        <w:tc>
          <w:tcPr>
            <w:tcW w:type="dxa" w:w="1040"/>
          </w:tcPr>
          <w:p>
            <w:r/>
            <w:r>
              <w:rPr>
                <w:sz w:val="16"/>
              </w:rPr>
              <w:t>HAR</w:t>
            </w:r>
          </w:p>
        </w:tc>
        <w:tc>
          <w:tcPr>
            <w:tcW w:type="dxa" w:w="1040"/>
          </w:tcPr>
          <w:p>
            <w:r/>
            <w:r>
              <w:rPr>
                <w:sz w:val="16"/>
              </w:rPr>
              <w:t>0.121</w:t>
            </w:r>
          </w:p>
        </w:tc>
        <w:tc>
          <w:tcPr>
            <w:tcW w:type="dxa" w:w="1040"/>
          </w:tcPr>
          <w:p>
            <w:r/>
            <w:r>
              <w:rPr>
                <w:sz w:val="16"/>
              </w:rPr>
              <w:t>1.00</w:t>
            </w:r>
          </w:p>
        </w:tc>
        <w:tc>
          <w:tcPr>
            <w:tcW w:type="dxa" w:w="1040"/>
          </w:tcPr>
          <w:p>
            <w:r/>
            <w:r>
              <w:rPr>
                <w:sz w:val="16"/>
              </w:rPr>
              <w:t>0.058</w:t>
            </w:r>
          </w:p>
        </w:tc>
        <w:tc>
          <w:tcPr>
            <w:tcW w:type="dxa" w:w="1040"/>
          </w:tcPr>
          <w:p>
            <w:r/>
            <w:r>
              <w:rPr>
                <w:sz w:val="16"/>
              </w:rPr>
              <w:t>0.058</w:t>
            </w:r>
          </w:p>
        </w:tc>
        <w:tc>
          <w:tcPr>
            <w:tcW w:type="dxa" w:w="1040"/>
          </w:tcPr>
          <w:p>
            <w:r/>
            <w:r>
              <w:rPr>
                <w:sz w:val="16"/>
              </w:rPr>
              <w:t>12.4–14.1</w:t>
            </w:r>
          </w:p>
        </w:tc>
        <w:tc>
          <w:tcPr>
            <w:tcW w:type="dxa" w:w="1040"/>
          </w:tcPr>
          <w:p>
            <w:r/>
            <w:r>
              <w:rPr>
                <w:sz w:val="16"/>
              </w:rPr>
              <w:t>12.6–13.9</w:t>
            </w:r>
          </w:p>
        </w:tc>
        <w:tc>
          <w:tcPr>
            <w:tcW w:type="dxa" w:w="1040"/>
          </w:tcPr>
          <w:p>
            <w:r/>
            <w:r>
              <w:rPr>
                <w:sz w:val="16"/>
              </w:rPr>
              <w:t>1.00</w:t>
            </w:r>
          </w:p>
        </w:tc>
        <w:tc>
          <w:tcPr>
            <w:tcW w:type="dxa" w:w="1040"/>
          </w:tcPr>
          <w:p>
            <w:r/>
            <w:r>
              <w:rPr>
                <w:sz w:val="16"/>
              </w:rPr>
              <w:t>no</w:t>
            </w:r>
          </w:p>
        </w:tc>
      </w:tr>
      <w:tr>
        <w:tc>
          <w:tcPr>
            <w:tcW w:type="dxa" w:w="1040"/>
          </w:tcPr>
          <w:p>
            <w:r/>
            <w:r>
              <w:rPr>
                <w:sz w:val="16"/>
              </w:rPr>
              <w:t>Gas drift</w:t>
            </w:r>
          </w:p>
        </w:tc>
        <w:tc>
          <w:tcPr>
            <w:tcW w:type="dxa" w:w="1040"/>
          </w:tcPr>
          <w:p>
            <w:r/>
            <w:r>
              <w:rPr>
                <w:sz w:val="16"/>
              </w:rPr>
              <w:t>0.082</w:t>
            </w:r>
          </w:p>
        </w:tc>
        <w:tc>
          <w:tcPr>
            <w:tcW w:type="dxa" w:w="1040"/>
          </w:tcPr>
          <w:p>
            <w:r/>
            <w:r>
              <w:rPr>
                <w:sz w:val="16"/>
              </w:rPr>
              <w:t>1.00</w:t>
            </w:r>
          </w:p>
        </w:tc>
        <w:tc>
          <w:tcPr>
            <w:tcW w:type="dxa" w:w="1040"/>
          </w:tcPr>
          <w:p>
            <w:r/>
            <w:r>
              <w:rPr>
                <w:sz w:val="16"/>
              </w:rPr>
              <w:t>0.060</w:t>
            </w:r>
          </w:p>
        </w:tc>
        <w:tc>
          <w:tcPr>
            <w:tcW w:type="dxa" w:w="1040"/>
          </w:tcPr>
          <w:p>
            <w:r/>
            <w:r>
              <w:rPr>
                <w:sz w:val="16"/>
              </w:rPr>
              <w:t>0.046</w:t>
            </w:r>
          </w:p>
        </w:tc>
        <w:tc>
          <w:tcPr>
            <w:tcW w:type="dxa" w:w="1040"/>
          </w:tcPr>
          <w:p>
            <w:r/>
            <w:r>
              <w:rPr>
                <w:sz w:val="16"/>
              </w:rPr>
              <w:t>8.6–11.6</w:t>
            </w:r>
          </w:p>
        </w:tc>
        <w:tc>
          <w:tcPr>
            <w:tcW w:type="dxa" w:w="1040"/>
          </w:tcPr>
          <w:p>
            <w:r/>
            <w:r>
              <w:rPr>
                <w:sz w:val="16"/>
              </w:rPr>
              <w:t>12.9–15.2</w:t>
            </w:r>
          </w:p>
        </w:tc>
        <w:tc>
          <w:tcPr>
            <w:tcW w:type="dxa" w:w="1040"/>
          </w:tcPr>
          <w:p>
            <w:r/>
            <w:r>
              <w:rPr>
                <w:sz w:val="16"/>
              </w:rPr>
              <w:t>0.76</w:t>
            </w:r>
          </w:p>
        </w:tc>
        <w:tc>
          <w:tcPr>
            <w:tcW w:type="dxa" w:w="1040"/>
          </w:tcPr>
          <w:p>
            <w:r/>
            <w:r>
              <w:rPr>
                <w:sz w:val="16"/>
              </w:rPr>
              <w:t>no</w:t>
            </w:r>
          </w:p>
        </w:tc>
      </w:tr>
      <w:tr>
        <w:tc>
          <w:tcPr>
            <w:tcW w:type="dxa" w:w="1040"/>
          </w:tcPr>
          <w:p>
            <w:r/>
            <w:r>
              <w:rPr>
                <w:sz w:val="16"/>
              </w:rPr>
              <w:t>GeoMx (risk)</w:t>
            </w:r>
          </w:p>
        </w:tc>
        <w:tc>
          <w:tcPr>
            <w:tcW w:type="dxa" w:w="1040"/>
          </w:tcPr>
          <w:p>
            <w:r/>
            <w:r>
              <w:rPr>
                <w:sz w:val="16"/>
              </w:rPr>
              <w:t>0.225</w:t>
            </w:r>
          </w:p>
        </w:tc>
        <w:tc>
          <w:tcPr>
            <w:tcW w:type="dxa" w:w="1040"/>
          </w:tcPr>
          <w:p>
            <w:r/>
            <w:r>
              <w:rPr>
                <w:sz w:val="16"/>
              </w:rPr>
              <w:t>0.86</w:t>
            </w:r>
          </w:p>
        </w:tc>
        <w:tc>
          <w:tcPr>
            <w:tcW w:type="dxa" w:w="1040"/>
          </w:tcPr>
          <w:p>
            <w:r/>
            <w:r>
              <w:rPr>
                <w:sz w:val="16"/>
              </w:rPr>
              <w:t>0.081</w:t>
            </w:r>
          </w:p>
        </w:tc>
        <w:tc>
          <w:tcPr>
            <w:tcW w:type="dxa" w:w="1040"/>
          </w:tcPr>
          <w:p>
            <w:r/>
            <w:r>
              <w:rPr>
                <w:sz w:val="16"/>
              </w:rPr>
              <w:t>0.050</w:t>
            </w:r>
          </w:p>
        </w:tc>
        <w:tc>
          <w:tcPr>
            <w:tcW w:type="dxa" w:w="1040"/>
          </w:tcPr>
          <w:p>
            <w:r/>
            <w:r>
              <w:rPr>
                <w:sz w:val="16"/>
              </w:rPr>
              <w:t>8.0–9.5</w:t>
            </w:r>
          </w:p>
        </w:tc>
        <w:tc>
          <w:tcPr>
            <w:tcW w:type="dxa" w:w="1040"/>
          </w:tcPr>
          <w:p>
            <w:r/>
            <w:r>
              <w:rPr>
                <w:sz w:val="16"/>
              </w:rPr>
              <w:t>14.8–16.2</w:t>
            </w:r>
          </w:p>
        </w:tc>
        <w:tc>
          <w:tcPr>
            <w:tcW w:type="dxa" w:w="1040"/>
          </w:tcPr>
          <w:p>
            <w:r/>
            <w:r>
              <w:rPr>
                <w:sz w:val="16"/>
              </w:rPr>
              <w:t>0.62</w:t>
            </w:r>
          </w:p>
        </w:tc>
        <w:tc>
          <w:tcPr>
            <w:tcW w:type="dxa" w:w="1040"/>
          </w:tcPr>
          <w:p>
            <w:r/>
            <w:r>
              <w:rPr>
                <w:sz w:val="16"/>
              </w:rPr>
              <w:t>no</w:t>
            </w:r>
          </w:p>
        </w:tc>
      </w:tr>
      <w:tr>
        <w:tc>
          <w:tcPr>
            <w:tcW w:type="dxa" w:w="1040"/>
          </w:tcPr>
          <w:p>
            <w:r/>
            <w:r>
              <w:rPr>
                <w:sz w:val="16"/>
              </w:rPr>
              <w:t>GeoMx (Silva)</w:t>
            </w:r>
          </w:p>
        </w:tc>
        <w:tc>
          <w:tcPr>
            <w:tcW w:type="dxa" w:w="1040"/>
          </w:tcPr>
          <w:p>
            <w:r/>
            <w:r>
              <w:rPr>
                <w:sz w:val="16"/>
              </w:rPr>
              <w:t>0.273</w:t>
            </w:r>
          </w:p>
        </w:tc>
        <w:tc>
          <w:tcPr>
            <w:tcW w:type="dxa" w:w="1040"/>
          </w:tcPr>
          <w:p>
            <w:r/>
            <w:r>
              <w:rPr>
                <w:sz w:val="16"/>
              </w:rPr>
              <w:t>1.00</w:t>
            </w:r>
          </w:p>
        </w:tc>
        <w:tc>
          <w:tcPr>
            <w:tcW w:type="dxa" w:w="1040"/>
          </w:tcPr>
          <w:p>
            <w:r/>
            <w:r>
              <w:rPr>
                <w:sz w:val="16"/>
              </w:rPr>
              <w:t>0.077</w:t>
            </w:r>
          </w:p>
        </w:tc>
        <w:tc>
          <w:tcPr>
            <w:tcW w:type="dxa" w:w="1040"/>
          </w:tcPr>
          <w:p>
            <w:r/>
            <w:r>
              <w:rPr>
                <w:sz w:val="16"/>
              </w:rPr>
              <w:t>0.048</w:t>
            </w:r>
          </w:p>
        </w:tc>
        <w:tc>
          <w:tcPr>
            <w:tcW w:type="dxa" w:w="1040"/>
          </w:tcPr>
          <w:p>
            <w:r/>
            <w:r>
              <w:rPr>
                <w:sz w:val="16"/>
              </w:rPr>
              <w:t>8.2–10.6</w:t>
            </w:r>
          </w:p>
        </w:tc>
        <w:tc>
          <w:tcPr>
            <w:tcW w:type="dxa" w:w="1040"/>
          </w:tcPr>
          <w:p>
            <w:r/>
            <w:r>
              <w:rPr>
                <w:sz w:val="16"/>
              </w:rPr>
              <w:t>16.2–18.2</w:t>
            </w:r>
          </w:p>
        </w:tc>
        <w:tc>
          <w:tcPr>
            <w:tcW w:type="dxa" w:w="1040"/>
          </w:tcPr>
          <w:p>
            <w:r/>
            <w:r>
              <w:rPr>
                <w:sz w:val="16"/>
              </w:rPr>
              <w:t>0.62</w:t>
            </w:r>
          </w:p>
        </w:tc>
        <w:tc>
          <w:tcPr>
            <w:tcW w:type="dxa" w:w="1040"/>
          </w:tcPr>
          <w:p>
            <w:r/>
            <w:r>
              <w:rPr>
                <w:sz w:val="16"/>
              </w:rPr>
              <w:t>no</w:t>
            </w:r>
          </w:p>
        </w:tc>
      </w:tr>
      <w:tr>
        <w:tc>
          <w:tcPr>
            <w:tcW w:type="dxa" w:w="1040"/>
          </w:tcPr>
          <w:p>
            <w:r/>
            <w:r>
              <w:rPr>
                <w:sz w:val="16"/>
              </w:rPr>
              <w:t>GeoMx (cell type)</w:t>
            </w:r>
          </w:p>
        </w:tc>
        <w:tc>
          <w:tcPr>
            <w:tcW w:type="dxa" w:w="1040"/>
          </w:tcPr>
          <w:p>
            <w:r/>
            <w:r>
              <w:rPr>
                <w:sz w:val="16"/>
              </w:rPr>
              <w:t>0.000</w:t>
            </w:r>
          </w:p>
        </w:tc>
        <w:tc>
          <w:tcPr>
            <w:tcW w:type="dxa" w:w="1040"/>
          </w:tcPr>
          <w:p>
            <w:r/>
            <w:r>
              <w:rPr>
                <w:sz w:val="16"/>
              </w:rPr>
              <w:t>1.00</w:t>
            </w:r>
          </w:p>
        </w:tc>
        <w:tc>
          <w:tcPr>
            <w:tcW w:type="dxa" w:w="1040"/>
          </w:tcPr>
          <w:p>
            <w:r/>
            <w:r>
              <w:rPr>
                <w:sz w:val="16"/>
              </w:rPr>
              <w:t>0.083</w:t>
            </w:r>
          </w:p>
        </w:tc>
        <w:tc>
          <w:tcPr>
            <w:tcW w:type="dxa" w:w="1040"/>
          </w:tcPr>
          <w:p>
            <w:r/>
            <w:r>
              <w:rPr>
                <w:sz w:val="16"/>
              </w:rPr>
              <w:t>0.087</w:t>
            </w:r>
          </w:p>
        </w:tc>
        <w:tc>
          <w:tcPr>
            <w:tcW w:type="dxa" w:w="1040"/>
          </w:tcPr>
          <w:p>
            <w:r/>
            <w:r>
              <w:rPr>
                <w:sz w:val="16"/>
              </w:rPr>
              <w:t>8.2–8.5</w:t>
            </w:r>
          </w:p>
        </w:tc>
        <w:tc>
          <w:tcPr>
            <w:tcW w:type="dxa" w:w="1040"/>
          </w:tcPr>
          <w:p>
            <w:r/>
            <w:r>
              <w:rPr>
                <w:sz w:val="16"/>
              </w:rPr>
              <w:t>7.6–8.3</w:t>
            </w:r>
          </w:p>
        </w:tc>
        <w:tc>
          <w:tcPr>
            <w:tcW w:type="dxa" w:w="1040"/>
          </w:tcPr>
          <w:p>
            <w:r/>
            <w:r>
              <w:rPr>
                <w:sz w:val="16"/>
              </w:rPr>
              <w:t>1.05</w:t>
            </w:r>
          </w:p>
        </w:tc>
        <w:tc>
          <w:tcPr>
            <w:tcW w:type="dxa" w:w="1040"/>
          </w:tcPr>
          <w:p>
            <w:r/>
            <w:r>
              <w:rPr>
                <w:sz w:val="16"/>
              </w:rPr>
              <w:t>no</w:t>
            </w:r>
          </w:p>
        </w:tc>
      </w:tr>
      <w:tr>
        <w:tc>
          <w:tcPr>
            <w:tcW w:type="dxa" w:w="1040"/>
          </w:tcPr>
          <w:p>
            <w:r>
              <w:t>Cervical (assumed name-based groups)</w:t>
            </w:r>
          </w:p>
        </w:tc>
        <w:tc>
          <w:tcPr>
            <w:tcW w:type="dxa" w:w="1040"/>
          </w:tcPr>
          <w:p>
            <w:r/>
            <w:r>
              <w:rPr>
                <w:sz w:val="16"/>
              </w:rPr>
              <w:t>0.213</w:t>
            </w:r>
          </w:p>
        </w:tc>
        <w:tc>
          <w:tcPr>
            <w:tcW w:type="dxa" w:w="1040"/>
          </w:tcPr>
          <w:p>
            <w:r/>
            <w:r>
              <w:rPr>
                <w:sz w:val="16"/>
              </w:rPr>
              <w:t>0.00</w:t>
            </w:r>
          </w:p>
        </w:tc>
        <w:tc>
          <w:tcPr>
            <w:tcW w:type="dxa" w:w="1040"/>
          </w:tcPr>
          <w:p>
            <w:r/>
            <w:r>
              <w:rPr>
                <w:sz w:val="16"/>
              </w:rPr>
              <w:t>0.172</w:t>
            </w:r>
          </w:p>
        </w:tc>
        <w:tc>
          <w:tcPr>
            <w:tcW w:type="dxa" w:w="1040"/>
          </w:tcPr>
          <w:p>
            <w:r/>
            <w:r>
              <w:rPr>
                <w:sz w:val="16"/>
              </w:rPr>
              <w:t>0.000</w:t>
            </w:r>
          </w:p>
        </w:tc>
        <w:tc>
          <w:tcPr>
            <w:tcW w:type="dxa" w:w="1040"/>
          </w:tcPr>
          <w:p>
            <w:r/>
            <w:r>
              <w:rPr>
                <w:sz w:val="16"/>
              </w:rPr>
              <w:t>1.1–2.5</w:t>
            </w:r>
          </w:p>
        </w:tc>
        <w:tc>
          <w:tcPr>
            <w:tcW w:type="dxa" w:w="1040"/>
          </w:tcPr>
          <w:p>
            <w:r/>
            <w:r>
              <w:rPr>
                <w:sz w:val="16"/>
              </w:rPr>
              <w:t>not defined (degenerate)</w:t>
            </w:r>
          </w:p>
        </w:tc>
        <w:tc>
          <w:tcPr>
            <w:tcW w:type="dxa" w:w="1040"/>
          </w:tcPr>
          <w:p>
            <w:r/>
            <w:r>
              <w:rPr>
                <w:sz w:val="16"/>
              </w:rPr>
              <w:t>0.00</w:t>
            </w:r>
          </w:p>
        </w:tc>
        <w:tc>
          <w:tcPr>
            <w:tcW w:type="dxa" w:w="1040"/>
          </w:tcPr>
          <w:p>
            <w:r/>
            <w:r>
              <w:rPr>
                <w:sz w:val="16"/>
              </w:rPr>
              <w:t>null unavailable</w:t>
            </w:r>
          </w:p>
        </w:tc>
      </w:tr>
    </w:tbl>
    <w:p>
      <w:r/>
    </w:p>
    <w:p>
      <w:pPr>
        <w:pStyle w:val="Heading2"/>
      </w:pPr>
      <w:r>
        <w:rPr>
          <w:rFonts w:ascii="Times New Roman" w:hAnsi="Times New Roman"/>
          <w:color w:val="000000"/>
        </w:rPr>
        <w:t>Limitations</w:t>
      </w:r>
    </w:p>
    <w:p>
      <w:r>
        <w:rPr>
          <w:b w:val="0"/>
        </w:rPr>
        <w:t>The representation is generally learned before probe holdout, so most estimates are conditional audits rather than generalization estimates of a full training pipeline. The archived outer-refit exercise still fits preprocessing across all subjects and compares a mean-fold statistic rather than pooled τ_LGO. It provides neither a fully nested estimate nor an equivalence test. A corrected train-only preprocessing runner is provided, but the transcriptomic experiments remain conditional; independent external evaluation and correctly grouped outer fitting are required for stronger deployment claims.</w:t>
      </w:r>
    </w:p>
    <w:p>
      <w:r>
        <w:rPr>
          <w:b w:val="0"/>
        </w:rPr>
        <w:t>The additional analyses narrow specific uncertainties but do not replace the remaining methodological limitations. Within-group label shuffling does not test the same null as unrestricted or whole-group permutation, and it requires its own exchangeability assumptions. The stored scale ratios are not centered on a restricted-null mean, while the GeoMx scheme does not preserve paired compartments within ROIs. Degeneracy under within-group-constant labels does not preclude group-level inference with a different null. The nearest-neighbour and pair-distance summaries are descriptive, and high-stakes uses need stronger decoding probes. Nominal metrics address label coding for utility, but the ordinal results elsewhere remain encoding-dependent.</w:t>
      </w:r>
    </w:p>
    <w:p>
      <w:r>
        <w:rPr>
          <w:b w:val="0"/>
        </w:rPr>
        <w:t>The group identifiers still bound the conclusions. The cervical 34-group map is generated by name-based merging rather than verified patient metadata. The resolution ladder instead uses 35 section groups and cannot be pooled with it as donor-disjoint evidence. GeoMx has seven specimens from six patients, but its actual patient-to-case map is unresolved here. The 21-pair enumeration probes raw-feature holdout sensitivity only, while the learned-embedding analyses remain grouped by specimen. Neither that enumeration nor within-case label shuffling establishes patient-disjoint inference or preserves every ROI-level dependency.</w:t>
      </w:r>
    </w:p>
    <w:p>
      <w:r>
        <w:t>Seed variability measures optimization variability on fixed cohorts, not uncertainty across patients, sites or datasets. Repeated doses share data and are not independent replicates. Cell-level bootstrap intervals should therefore be read descriptively; population inference would require resampling independent groups with the analysis repeated. The strong-dose instability, small positive class in prostate, and restricted head-and-neck subset limit precision. We report no dose optimum.</w:t>
      </w:r>
    </w:p>
    <w:p>
      <w:r>
        <w:t>The relative fidelity gate is uninformative near a null baseline: the spurious simulation arm yields accepted cells without a useful transferable program. An absolute utility requirement should be prespecified, and failure to reject an association null should not be treated as an equivalence test. The archived results did not implement that additional requirement. No accepted repair improved a downstream endpoint; no clinical deployment benefit or privacy guarantee is established.</w:t>
      </w:r>
    </w:p>
    <w:p>
      <w:pPr>
        <w:pStyle w:val="Heading2"/>
      </w:pPr>
      <w:r>
        <w:rPr>
          <w:rFonts w:ascii="Times New Roman" w:hAnsi="Times New Roman"/>
          <w:color w:val="000000"/>
        </w:rPr>
        <w:t>Practical reporting workflow</w:t>
      </w:r>
    </w:p>
    <w:p>
      <w:pPr>
        <w:ind w:left="432" w:hanging="432"/>
      </w:pPr>
      <w:r>
        <w:t>1. Record the observational unit, independent grouping variable, intended deployment target and any repeated specimens from the same patient.</w:t>
      </w:r>
    </w:p>
    <w:p>
      <w:pPr>
        <w:ind w:left="432" w:hanging="432"/>
      </w:pPr>
      <w:r>
        <w:t>2. Distinguish the encoder's training data from probe training folds. Use fully nested group splits if claiming generalization of the complete pipeline.</w:t>
      </w:r>
    </w:p>
    <w:p>
      <w:pPr>
        <w:ind w:left="432" w:hanging="432"/>
      </w:pPr>
      <w:r>
        <w:t>3. Report τ_LOO, τ_LGO and their difference, alongside direct identity decoding and an independently defined utility endpoint. LDI alone does not measure identity removal.</w:t>
      </w:r>
    </w:p>
    <w:p>
      <w:pPr>
        <w:ind w:left="432" w:hanging="432"/>
      </w:pPr>
      <w:r>
        <w:t>4. Choose a group-preserving permutation scheme and a task-appropriate metric, and report what the choice does to the numbers. Recomputing σ̂ under a within-group null on every multi-unit cohort here moved the scale by 0–49% depending on the group–label coupling, and produced no usable null at all where the label is constant within group. Report nominal-label coding sensitivity and empirical null quantiles; state whether a normal reference is only descriptive.</w:t>
      </w:r>
    </w:p>
    <w:p>
      <w:pPr>
        <w:ind w:left="432" w:hanging="432"/>
      </w:pPr>
      <w:r>
        <w:t>5. Apply the interval inequality only to the same statistic and a declared fixed null scale. Do not infer that non-empty overlap guarantees a reachable dose.</w:t>
      </w:r>
    </w:p>
    <w:p>
      <w:pPr>
        <w:ind w:left="432" w:hanging="432"/>
      </w:pPr>
      <w:r>
        <w:t>6. Report both intervention costs and retained signal on controls, with baseline conventions and the tested dose subset specified. Do not read acceptance as erasure.</w:t>
      </w:r>
    </w:p>
    <w:p>
      <w:pPr>
        <w:ind w:left="432" w:hanging="432"/>
      </w:pPr>
      <w:r>
        <w:t>7. Release the exact code, configurations, data joins and result-to-panel mapping before claiming public reproducibility. Resolve patient identifiers before patient-level inference.</w:t>
      </w:r>
    </w:p>
    <w:p>
      <w:pPr>
        <w:pStyle w:val="Heading1"/>
      </w:pPr>
      <w:r>
        <w:rPr>
          <w:rFonts w:ascii="Times New Roman" w:hAnsi="Times New Roman"/>
          <w:color w:val="000000"/>
        </w:rPr>
        <w:t>EXPERIMENTAL PROCEDURES</w:t>
      </w:r>
    </w:p>
    <w:p>
      <w:pPr>
        <w:pStyle w:val="Heading2"/>
      </w:pPr>
      <w:r>
        <w:rPr>
          <w:rFonts w:ascii="Times New Roman" w:hAnsi="Times New Roman"/>
          <w:color w:val="000000"/>
        </w:rPr>
        <w:t>Resource availability</w:t>
      </w:r>
    </w:p>
    <w:p>
      <w:r>
        <w:rPr>
          <w:b/>
        </w:rPr>
        <w:t>Lead contact.</w:t>
      </w:r>
      <w:r>
        <w:t xml:space="preserve"> Requests for further information, resources, or code should be directed to, and will be fulfilled by, the lead contact, Lang Guo (guolang1016@symc.edu.cn; School of Pharmacy, Shenyang Medical College, 146 Huanghe North Avenue, Shenyang 110034, China).</w:t>
      </w:r>
    </w:p>
    <w:p>
      <w:r>
        <w:rPr>
          <w:b/>
        </w:rPr>
        <w:t>Materials availability.</w:t>
      </w:r>
      <w:r>
        <w:t xml:space="preserve"> This study did not generate new unique reagents, cell lines, or biological materials. Every result derives from previously published public datasets or from data produced by the released simulator, and no physical material is available for distribution.</w:t>
      </w:r>
    </w:p>
    <w:p>
      <w:r>
        <w:t>Data. The head-and-neck cohort is GSE268014[16] (Visium, HPV-positive / HPV-negative HNSCC): 16 sections of that series (GSM8283897–GSM8283913), selected as a balanced 8 HPV-positive and 8 HPV-negative subset, 57,872 spots, mean 3,617 spots per section, from the Gene Expression Omnibus. The published cohort reports 26 tumour samples;[16] we used the balanced subset because Kendall τ under a binary label has an analytic ceiling that falls with class imbalance (τ_max = 0.7303 for an 8-versus-8 split against 0.6656 for an 8-versus-18 split, 8.9% lower) and because a rank statistic loses power under imbalance. The cost is resolution: n = 16 against 52 on the prostate cohort, which is one reason the head-and-neck acceptance result is the more fragile of the two. Balance is not a precondition of the instrument: the prostate cohort is severely unbalanced (48 tumour sections against 4 benign) and the index still returns a graded verdict there, so the subset is a choice about resolution in this arm rather than a requirement of the method. Two further points about that choice should be stated plainly. The comparability claim does not depend on it: τ_base/σ̂ is dimensionless, so a cohort of different composition would still be graded on the same scale, and the 48:4 prostate cohort is direct evidence that the instrument returns a graded verdict under severe imbalance. And we did not run the full 26-sample series, and we do not extrapolate to it. The ceiling argument says τ_base would fall if it tracked the ceiling (by up to 8.9%), but σ̂ depends on the group count as well, so the argument we give does not determine the direction of the ratio; the honest statement is that the 16-patient figures are a dose-response measurement on a balanced arm, not a cohort-level estimate for GSE268014. Running the imbalanced variant is a configuration change under the released manifests. The cervical archive contains 35 Visium sections assigned to 34 name-derived groups, assembled from public sources only and reconstructed by the released script download_and_prepare_cervix.py: four sections of the HPV-stratified cervical lesion series GSE208654[43] (N_HPV normal cervix, HSIL_HPV high-grade intraepithelial lesion, CA_HPV_1 squamous carcinoma, CA_HPV_2 adenocarcinoma), one cervical carcinoma section from the 10x Genomics public Visium dataset (cervical_cancer_1), and 30 normal ectocervical mucosa sections from GSE217237[17] (GSM8811056–GSM8811065, GSM9044528–GSM9044535, GSM9053839–GSM9053850). The archived grouping rule merges CA_HPV_1 and CA_HPV_2; source patient identifiers are still required to verify whether those sections share a donor. The label is donor-level ordinal severity, parsed from the section name by a fixed rule that the released code reproduces verbatim: normal cervix or ectocervical mucosa 0, HSIL, CIN or dysplasia 1, carcinoma 2. This gives 31 normal, 1 high-grade and 3 carcinoma sections and 46,820 spots in total. Counts were converted to CPM, log1p-transformed and restricted to the 2,000 most variable genes, every section was mean-pooled over its spots to give one embedding per section, and the unit of analysis is the section, so each section contributes one unit. The archive reports 35 section units and 34 donor groups; donor-disjoint and section-disjoint holdouts must therefore be distinguished. The prostate cohort is GSE278936[18] (Visium; 52-patient subset of a 120-patient prostate cancer cohort: 4 benign prostatic hyperplasia and 48 tumour sections spanning treatment-naive, neoadjuvant-treated, castration-resistant, and metastatic disease). Simulated cohorts are generated by the released simulator with fixed seeds; the generator is domain-agnostic (it specifies groups, units, a shared program, and group fingerprints, with no domain-specific structure).</w:t>
      </w:r>
    </w:p>
    <w:p>
      <w:r>
        <w:rPr>
          <w:b/>
        </w:rPr>
        <w:t>Code.</w:t>
      </w:r>
      <w:r>
        <w:rPr>
          <w:b w:val="0"/>
        </w:rPr>
        <w:t xml:space="preserve"> A manuscript snapshot and an associated code snapshot are publicly archived at https://doi.org/10.5281/zenodo.23640979[44], with the linked repository at https://github.com/WorldBMW/pathway-anchored-risk-benchmark (release v1.0.0; commit 73ad0f1710953651c43055afc693f7a18ce93c6f). This deposit is a historical snapshot: its code archive does not contain the cross-domain audit, v28 reanalysis, or main-figure generation scripts used for the present revision. It must not be treated as the complete reproducibility archive for the current results. The additional analysis code, result tables and file-level checksum manifest are provided in the accompanying revision package; public deposition of that package is required for a complete version-matched archive.</w:t>
      </w:r>
    </w:p>
    <w:p>
      <w:pPr>
        <w:pStyle w:val="Heading2"/>
      </w:pPr>
      <w:r>
        <w:rPr>
          <w:rFonts w:ascii="Times New Roman" w:hAnsi="Times New Roman"/>
          <w:color w:val="000000"/>
        </w:rPr>
        <w:t>Key resources table</w:t>
      </w:r>
    </w:p>
    <w:p>
      <w:pPr>
        <w:spacing w:before="200"/>
      </w:pPr>
      <w:r>
        <w:rPr>
          <w:b/>
        </w:rPr>
        <w:t>Table 6. Key resources table (STAR Methods).</w:t>
      </w:r>
      <w:r>
        <w:t xml:space="preserve"> Every dataset, package and script used to produce the reported numbers, with the version actually run. Accessions are given as deposited; the two UCI cohorts are re-downloaded by the released scripts rather than redistributed.</w:t>
      </w:r>
    </w:p>
    <w:tbl>
      <w:tblPr>
        <w:tblStyle w:val="TableGrid"/>
        <w:tblW w:type="auto" w:w="0"/>
        <w:tblLayout w:type="autofit"/>
        <w:tblLook w:firstColumn="1" w:firstRow="1" w:lastColumn="0" w:lastRow="0" w:noHBand="0" w:noVBand="1" w:val="04A0"/>
      </w:tblPr>
      <w:tblGrid>
        <w:gridCol w:w="2340"/>
        <w:gridCol w:w="2340"/>
        <w:gridCol w:w="2340"/>
        <w:gridCol w:w="2340"/>
      </w:tblGrid>
      <w:tr>
        <w:trPr>
          <w:tblHeader/>
          <w:tblHeader/>
        </w:trPr>
        <w:tc>
          <w:tcPr>
            <w:tcW w:type="dxa" w:w="2340"/>
            <w:shd w:fill="E6EEF4"/>
          </w:tcPr>
          <w:p>
            <w:pPr>
              <w:keepNext/>
              <w:spacing w:after="0" w:before="0"/>
            </w:pPr>
            <w:r>
              <w:rPr>
                <w:sz w:val="16"/>
              </w:rPr>
            </w:r>
            <w:r>
              <w:rPr>
                <w:b/>
                <w:sz w:val="16"/>
              </w:rPr>
              <w:t>Category</w:t>
            </w:r>
          </w:p>
        </w:tc>
        <w:tc>
          <w:tcPr>
            <w:tcW w:type="dxa" w:w="2340"/>
            <w:shd w:fill="E6EEF4"/>
          </w:tcPr>
          <w:p>
            <w:pPr>
              <w:keepNext/>
              <w:spacing w:after="0" w:before="0"/>
            </w:pPr>
            <w:r>
              <w:rPr>
                <w:sz w:val="16"/>
              </w:rPr>
            </w:r>
            <w:r>
              <w:rPr>
                <w:b/>
                <w:sz w:val="16"/>
              </w:rPr>
              <w:t>Resource</w:t>
            </w:r>
          </w:p>
        </w:tc>
        <w:tc>
          <w:tcPr>
            <w:tcW w:type="dxa" w:w="2340"/>
            <w:shd w:fill="E6EEF4"/>
          </w:tcPr>
          <w:p>
            <w:pPr>
              <w:keepNext/>
              <w:spacing w:after="0" w:before="0"/>
            </w:pPr>
            <w:r>
              <w:rPr>
                <w:sz w:val="16"/>
              </w:rPr>
            </w:r>
            <w:r>
              <w:rPr>
                <w:b/>
                <w:sz w:val="16"/>
              </w:rPr>
              <w:t>Source</w:t>
            </w:r>
          </w:p>
        </w:tc>
        <w:tc>
          <w:tcPr>
            <w:tcW w:type="dxa" w:w="2340"/>
            <w:shd w:fill="E6EEF4"/>
          </w:tcPr>
          <w:p>
            <w:pPr>
              <w:keepNext/>
              <w:spacing w:after="0" w:before="0"/>
            </w:pPr>
            <w:r>
              <w:rPr>
                <w:sz w:val="16"/>
              </w:rPr>
            </w:r>
            <w:r>
              <w:rPr>
                <w:b/>
                <w:sz w:val="16"/>
              </w:rPr>
              <w:t>Identifier</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Head-and-neck Visium, HPV status (16 sections, 8 versus 8)</w:t>
            </w:r>
          </w:p>
        </w:tc>
        <w:tc>
          <w:tcPr>
            <w:tcW w:type="dxa" w:w="2340"/>
          </w:tcPr>
          <w:p>
            <w:pPr>
              <w:spacing w:after="0" w:before="0"/>
            </w:pPr>
            <w:r>
              <w:rPr>
                <w:sz w:val="16"/>
              </w:rPr>
            </w:r>
            <w:r>
              <w:rPr>
                <w:sz w:val="16"/>
              </w:rPr>
              <w:t>Gene Expression Omnibus</w:t>
            </w:r>
          </w:p>
        </w:tc>
        <w:tc>
          <w:tcPr>
            <w:tcW w:type="dxa" w:w="2340"/>
          </w:tcPr>
          <w:p>
            <w:pPr>
              <w:spacing w:after="0" w:before="0"/>
            </w:pPr>
            <w:r>
              <w:rPr>
                <w:sz w:val="16"/>
              </w:rPr>
            </w:r>
            <w:r>
              <w:rPr>
                <w:sz w:val="16"/>
              </w:rPr>
              <w:t>GSE268014 (GSM8283897 to GSM8283913)</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Prostate Visium, tumour versus benign (52 sections, 48 versus 4)</w:t>
            </w:r>
          </w:p>
        </w:tc>
        <w:tc>
          <w:tcPr>
            <w:tcW w:type="dxa" w:w="2340"/>
          </w:tcPr>
          <w:p>
            <w:pPr>
              <w:spacing w:after="0" w:before="0"/>
            </w:pPr>
            <w:r>
              <w:rPr>
                <w:sz w:val="16"/>
              </w:rPr>
            </w:r>
            <w:r>
              <w:rPr>
                <w:sz w:val="16"/>
              </w:rPr>
              <w:t>Gene Expression Omnibus</w:t>
            </w:r>
          </w:p>
        </w:tc>
        <w:tc>
          <w:tcPr>
            <w:tcW w:type="dxa" w:w="2340"/>
          </w:tcPr>
          <w:p>
            <w:pPr>
              <w:spacing w:after="0" w:before="0"/>
            </w:pPr>
            <w:r>
              <w:rPr>
                <w:sz w:val="16"/>
              </w:rPr>
            </w:r>
            <w:r>
              <w:rPr>
                <w:sz w:val="16"/>
              </w:rPr>
              <w:t>GSE278936</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Cervical Visium, ordinal severity (35 sections, 34 donors)</w:t>
            </w:r>
          </w:p>
        </w:tc>
        <w:tc>
          <w:tcPr>
            <w:tcW w:type="dxa" w:w="2340"/>
          </w:tcPr>
          <w:p>
            <w:pPr>
              <w:spacing w:after="0" w:before="0"/>
            </w:pPr>
            <w:r>
              <w:rPr>
                <w:sz w:val="16"/>
              </w:rPr>
            </w:r>
            <w:r>
              <w:rPr>
                <w:sz w:val="16"/>
              </w:rPr>
              <w:t>10x Genomics public data; GEO</w:t>
            </w:r>
          </w:p>
        </w:tc>
        <w:tc>
          <w:tcPr>
            <w:tcW w:type="dxa" w:w="2340"/>
          </w:tcPr>
          <w:p>
            <w:pPr>
              <w:spacing w:after="0" w:before="0"/>
            </w:pPr>
            <w:r>
              <w:rPr>
                <w:sz w:val="16"/>
              </w:rPr>
            </w:r>
            <w:r>
              <w:rPr>
                <w:sz w:val="16"/>
              </w:rPr>
              <w:t>GSE208654; GSE217237</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Cervical GeoMx DSP control, per-ROI pathology (186 compartments, 7 specimens, 6 patients)</w:t>
            </w:r>
          </w:p>
        </w:tc>
        <w:tc>
          <w:tcPr>
            <w:tcW w:type="dxa" w:w="2340"/>
          </w:tcPr>
          <w:p>
            <w:pPr>
              <w:spacing w:after="0" w:before="0"/>
            </w:pPr>
            <w:r>
              <w:rPr>
                <w:sz w:val="16"/>
              </w:rPr>
            </w:r>
            <w:r>
              <w:rPr>
                <w:sz w:val="16"/>
              </w:rPr>
              <w:t>Gene Expression Omnibus</w:t>
            </w:r>
          </w:p>
        </w:tc>
        <w:tc>
          <w:tcPr>
            <w:tcW w:type="dxa" w:w="2340"/>
          </w:tcPr>
          <w:p>
            <w:pPr>
              <w:spacing w:after="0" w:before="0"/>
            </w:pPr>
            <w:r>
              <w:rPr>
                <w:sz w:val="16"/>
              </w:rPr>
            </w:r>
            <w:r>
              <w:rPr>
                <w:sz w:val="16"/>
              </w:rPr>
              <w:t>GSE316098 [42]</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UCI Human Activity Recognition (grouping variable: subject, G = 30)</w:t>
            </w:r>
          </w:p>
        </w:tc>
        <w:tc>
          <w:tcPr>
            <w:tcW w:type="dxa" w:w="2340"/>
          </w:tcPr>
          <w:p>
            <w:pPr>
              <w:spacing w:after="0" w:before="0"/>
            </w:pPr>
            <w:r>
              <w:rPr>
                <w:sz w:val="16"/>
              </w:rPr>
            </w:r>
            <w:r>
              <w:rPr>
                <w:sz w:val="16"/>
              </w:rPr>
              <w:t>UCI Machine Learning Repository</w:t>
            </w:r>
          </w:p>
        </w:tc>
        <w:tc>
          <w:tcPr>
            <w:tcW w:type="dxa" w:w="2340"/>
          </w:tcPr>
          <w:p>
            <w:pPr>
              <w:spacing w:after="0" w:before="0"/>
            </w:pPr>
            <w:r>
              <w:rPr>
                <w:sz w:val="16"/>
              </w:rPr>
            </w:r>
            <w:r>
              <w:rPr>
                <w:sz w:val="16"/>
              </w:rPr>
              <w:t>HAR [23,25]</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UCI Gas Sensor Array Drift (grouping variable: batch, G = 10)</w:t>
            </w:r>
          </w:p>
        </w:tc>
        <w:tc>
          <w:tcPr>
            <w:tcW w:type="dxa" w:w="2340"/>
          </w:tcPr>
          <w:p>
            <w:pPr>
              <w:spacing w:after="0" w:before="0"/>
            </w:pPr>
            <w:r>
              <w:rPr>
                <w:sz w:val="16"/>
              </w:rPr>
            </w:r>
            <w:r>
              <w:rPr>
                <w:sz w:val="16"/>
              </w:rPr>
              <w:t>UCI Machine Learning Repository</w:t>
            </w:r>
          </w:p>
        </w:tc>
        <w:tc>
          <w:tcPr>
            <w:tcW w:type="dxa" w:w="2340"/>
          </w:tcPr>
          <w:p>
            <w:pPr>
              <w:spacing w:after="0" w:before="0"/>
            </w:pPr>
            <w:r>
              <w:rPr>
                <w:sz w:val="16"/>
              </w:rPr>
            </w:r>
            <w:r>
              <w:rPr>
                <w:sz w:val="16"/>
              </w:rPr>
              <w:t>Gas Sensor Array Drift [24,25]</w:t>
            </w:r>
          </w:p>
        </w:tc>
      </w:tr>
      <w:tr>
        <w:tc>
          <w:tcPr>
            <w:tcW w:type="dxa" w:w="2340"/>
          </w:tcPr>
          <w:p>
            <w:pPr>
              <w:spacing w:after="0" w:before="0"/>
            </w:pPr>
            <w:r>
              <w:rPr>
                <w:sz w:val="16"/>
              </w:rPr>
            </w:r>
            <w:r>
              <w:rPr>
                <w:sz w:val="16"/>
              </w:rPr>
              <w:t>Deposited data</w:t>
            </w:r>
          </w:p>
        </w:tc>
        <w:tc>
          <w:tcPr>
            <w:tcW w:type="dxa" w:w="2340"/>
          </w:tcPr>
          <w:p>
            <w:pPr>
              <w:spacing w:after="0" w:before="0"/>
            </w:pPr>
            <w:r>
              <w:rPr>
                <w:sz w:val="16"/>
              </w:rPr>
            </w:r>
            <w:r>
              <w:rPr>
                <w:sz w:val="16"/>
              </w:rPr>
              <w:t>Simulated cohorts (shared-program, identity-confounding, spurious, weak-signal arms)</w:t>
            </w:r>
          </w:p>
        </w:tc>
        <w:tc>
          <w:tcPr>
            <w:tcW w:type="dxa" w:w="2340"/>
          </w:tcPr>
          <w:p>
            <w:pPr>
              <w:spacing w:after="0" w:before="0"/>
            </w:pPr>
            <w:r>
              <w:rPr>
                <w:sz w:val="16"/>
              </w:rPr>
            </w:r>
            <w:r>
              <w:rPr>
                <w:sz w:val="16"/>
              </w:rPr>
              <w:t>this paper; released generator, fixed seeds</w:t>
            </w:r>
          </w:p>
        </w:tc>
        <w:tc>
          <w:tcPr>
            <w:tcW w:type="dxa" w:w="2340"/>
          </w:tcPr>
          <w:p>
            <w:pPr>
              <w:spacing w:after="0" w:before="0"/>
            </w:pPr>
            <w:r>
              <w:rPr>
                <w:sz w:val="16"/>
              </w:rPr>
            </w:r>
            <w:r>
              <w:rPr>
                <w:sz w:val="16"/>
              </w:rPr>
              <w:t>simulator in the tagged release</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Code repository: simulation, training, audit and figure scripts, configuration manifests and seeds</w:t>
            </w:r>
          </w:p>
        </w:tc>
        <w:tc>
          <w:tcPr>
            <w:tcW w:type="dxa" w:w="2340"/>
          </w:tcPr>
          <w:p>
            <w:pPr>
              <w:spacing w:after="0" w:before="0"/>
            </w:pPr>
            <w:r>
              <w:rPr>
                <w:sz w:val="16"/>
              </w:rPr>
            </w:r>
            <w:r>
              <w:rPr>
                <w:sz w:val="16"/>
              </w:rPr>
              <w:t>this paper</w:t>
            </w:r>
          </w:p>
        </w:tc>
        <w:tc>
          <w:tcPr>
            <w:tcW w:type="dxa" w:w="2340"/>
          </w:tcPr>
          <w:p>
            <w:pPr>
              <w:spacing w:after="0" w:before="0"/>
            </w:pPr>
            <w:r>
              <w:rPr>
                <w:sz w:val="16"/>
              </w:rPr>
              <w:t>https://doi.org/10.5281/zenodo.23640979 [44]; historical snapshot at https://github.com/WorldBMW/pathway-anchored-risk-benchmark; current audit scripts supplied separately</w:t>
            </w:r>
            <w:r>
              <w:rPr>
                <w:sz w:val="16"/>
              </w:rPr>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Python</w:t>
            </w:r>
          </w:p>
        </w:tc>
        <w:tc>
          <w:tcPr>
            <w:tcW w:type="dxa" w:w="2340"/>
          </w:tcPr>
          <w:p>
            <w:pPr>
              <w:spacing w:after="0" w:before="0"/>
            </w:pPr>
            <w:r>
              <w:rPr>
                <w:sz w:val="16"/>
              </w:rPr>
            </w:r>
            <w:r>
              <w:rPr>
                <w:sz w:val="16"/>
              </w:rPr>
              <w:t>Python Software Foundation</w:t>
            </w:r>
          </w:p>
        </w:tc>
        <w:tc>
          <w:tcPr>
            <w:tcW w:type="dxa" w:w="2340"/>
          </w:tcPr>
          <w:p>
            <w:pPr>
              <w:spacing w:after="0" w:before="0"/>
            </w:pPr>
            <w:r>
              <w:rPr>
                <w:sz w:val="16"/>
              </w:rPr>
            </w:r>
            <w:r>
              <w:rPr>
                <w:sz w:val="16"/>
              </w:rPr>
              <w:t>3.13.5</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numpy</w:t>
            </w:r>
          </w:p>
        </w:tc>
        <w:tc>
          <w:tcPr>
            <w:tcW w:type="dxa" w:w="2340"/>
          </w:tcPr>
          <w:p>
            <w:pPr>
              <w:spacing w:after="0" w:before="0"/>
            </w:pPr>
            <w:r>
              <w:rPr>
                <w:sz w:val="16"/>
              </w:rPr>
            </w:r>
            <w:r>
              <w:rPr>
                <w:sz w:val="16"/>
              </w:rPr>
              <w:t>Harris et al.</w:t>
            </w:r>
          </w:p>
        </w:tc>
        <w:tc>
          <w:tcPr>
            <w:tcW w:type="dxa" w:w="2340"/>
          </w:tcPr>
          <w:p>
            <w:pPr>
              <w:spacing w:after="0" w:before="0"/>
            </w:pPr>
            <w:r>
              <w:rPr>
                <w:sz w:val="16"/>
              </w:rPr>
            </w:r>
            <w:r>
              <w:rPr>
                <w:sz w:val="16"/>
              </w:rPr>
              <w:t>2.4.4</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pandas</w:t>
            </w:r>
          </w:p>
        </w:tc>
        <w:tc>
          <w:tcPr>
            <w:tcW w:type="dxa" w:w="2340"/>
          </w:tcPr>
          <w:p>
            <w:pPr>
              <w:spacing w:after="0" w:before="0"/>
            </w:pPr>
            <w:r>
              <w:rPr>
                <w:sz w:val="16"/>
              </w:rPr>
            </w:r>
            <w:r>
              <w:rPr>
                <w:sz w:val="16"/>
              </w:rPr>
              <w:t>pandas development team</w:t>
            </w:r>
          </w:p>
        </w:tc>
        <w:tc>
          <w:tcPr>
            <w:tcW w:type="dxa" w:w="2340"/>
          </w:tcPr>
          <w:p>
            <w:pPr>
              <w:spacing w:after="0" w:before="0"/>
            </w:pPr>
            <w:r>
              <w:rPr>
                <w:sz w:val="16"/>
              </w:rPr>
            </w:r>
            <w:r>
              <w:rPr>
                <w:sz w:val="16"/>
              </w:rPr>
              <w:t>3.0.6</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scipy</w:t>
            </w:r>
          </w:p>
        </w:tc>
        <w:tc>
          <w:tcPr>
            <w:tcW w:type="dxa" w:w="2340"/>
          </w:tcPr>
          <w:p>
            <w:pPr>
              <w:spacing w:after="0" w:before="0"/>
            </w:pPr>
            <w:r>
              <w:rPr>
                <w:sz w:val="16"/>
              </w:rPr>
            </w:r>
            <w:r>
              <w:rPr>
                <w:sz w:val="16"/>
              </w:rPr>
              <w:t>Virtanen et al.</w:t>
            </w:r>
          </w:p>
        </w:tc>
        <w:tc>
          <w:tcPr>
            <w:tcW w:type="dxa" w:w="2340"/>
          </w:tcPr>
          <w:p>
            <w:pPr>
              <w:spacing w:after="0" w:before="0"/>
            </w:pPr>
            <w:r>
              <w:rPr>
                <w:sz w:val="16"/>
              </w:rPr>
            </w:r>
            <w:r>
              <w:rPr>
                <w:sz w:val="16"/>
              </w:rPr>
              <w:t>1.15.3</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scikit-learn (ridge probe, logistic probe, splits)</w:t>
            </w:r>
          </w:p>
        </w:tc>
        <w:tc>
          <w:tcPr>
            <w:tcW w:type="dxa" w:w="2340"/>
          </w:tcPr>
          <w:p>
            <w:pPr>
              <w:spacing w:after="0" w:before="0"/>
            </w:pPr>
            <w:r>
              <w:rPr>
                <w:sz w:val="16"/>
              </w:rPr>
            </w:r>
            <w:r>
              <w:rPr>
                <w:sz w:val="16"/>
              </w:rPr>
              <w:t>Pedregosa et al.</w:t>
            </w:r>
          </w:p>
        </w:tc>
        <w:tc>
          <w:tcPr>
            <w:tcW w:type="dxa" w:w="2340"/>
          </w:tcPr>
          <w:p>
            <w:pPr>
              <w:spacing w:after="0" w:before="0"/>
            </w:pPr>
            <w:r>
              <w:rPr>
                <w:sz w:val="16"/>
              </w:rPr>
            </w:r>
            <w:r>
              <w:rPr>
                <w:sz w:val="16"/>
              </w:rPr>
              <w:t>1.6.1</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PyTorch (GAT, GCN, MLP autoencoder, gradient reversal)</w:t>
            </w:r>
          </w:p>
        </w:tc>
        <w:tc>
          <w:tcPr>
            <w:tcW w:type="dxa" w:w="2340"/>
          </w:tcPr>
          <w:p>
            <w:pPr>
              <w:spacing w:after="0" w:before="0"/>
            </w:pPr>
            <w:r>
              <w:rPr>
                <w:sz w:val="16"/>
              </w:rPr>
            </w:r>
            <w:r>
              <w:rPr>
                <w:sz w:val="16"/>
              </w:rPr>
              <w:t>Paszke et al.</w:t>
            </w:r>
          </w:p>
        </w:tc>
        <w:tc>
          <w:tcPr>
            <w:tcW w:type="dxa" w:w="2340"/>
          </w:tcPr>
          <w:p>
            <w:pPr>
              <w:spacing w:after="0" w:before="0"/>
            </w:pPr>
            <w:r>
              <w:rPr>
                <w:sz w:val="16"/>
              </w:rPr>
            </w:r>
            <w:r>
              <w:rPr>
                <w:sz w:val="16"/>
              </w:rPr>
              <w:t>2.13</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matplotlib (all figures)</w:t>
            </w:r>
          </w:p>
        </w:tc>
        <w:tc>
          <w:tcPr>
            <w:tcW w:type="dxa" w:w="2340"/>
          </w:tcPr>
          <w:p>
            <w:pPr>
              <w:spacing w:after="0" w:before="0"/>
            </w:pPr>
            <w:r>
              <w:rPr>
                <w:sz w:val="16"/>
              </w:rPr>
            </w:r>
            <w:r>
              <w:rPr>
                <w:sz w:val="16"/>
              </w:rPr>
              <w:t>Hunter</w:t>
            </w:r>
          </w:p>
        </w:tc>
        <w:tc>
          <w:tcPr>
            <w:tcW w:type="dxa" w:w="2340"/>
          </w:tcPr>
          <w:p>
            <w:pPr>
              <w:spacing w:after="0" w:before="0"/>
            </w:pPr>
            <w:r>
              <w:rPr>
                <w:sz w:val="16"/>
              </w:rPr>
            </w:r>
            <w:r>
              <w:rPr>
                <w:sz w:val="16"/>
              </w:rPr>
              <w:t>as pinned in requirements-patterns.txt</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Audit engine (τ_in, τ_LOO, τ_LGO, σ̂, LDI, R)</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scripts/refit_grid_audit.py</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Cross-domain runner</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scripts/exp_crossdomain_audit.py</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Unit-resolution ladder</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scripts/exp_unit_ladder_cervical.py</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Within-group-label control</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scripts/exp_within_group_label_geomx.py</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Domain-agnostic cohort simulator</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released with the tagged release</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Manifest-to-result mapping</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completeness not independently verified</w:t>
            </w:r>
          </w:p>
        </w:tc>
      </w:tr>
      <w:tr>
        <w:tc>
          <w:tcPr>
            <w:tcW w:type="dxa" w:w="2340"/>
          </w:tcPr>
          <w:p>
            <w:pPr>
              <w:spacing w:after="0" w:before="0"/>
            </w:pPr>
            <w:r>
              <w:rPr>
                <w:sz w:val="16"/>
              </w:rPr>
            </w:r>
            <w:r>
              <w:rPr>
                <w:sz w:val="16"/>
              </w:rPr>
              <w:t>Software</w:t>
            </w:r>
          </w:p>
        </w:tc>
        <w:tc>
          <w:tcPr>
            <w:tcW w:type="dxa" w:w="2340"/>
          </w:tcPr>
          <w:p>
            <w:pPr>
              <w:spacing w:after="0" w:before="0"/>
            </w:pPr>
            <w:r>
              <w:rPr>
                <w:sz w:val="16"/>
              </w:rPr>
            </w:r>
            <w:r>
              <w:rPr>
                <w:sz w:val="16"/>
              </w:rPr>
              <w:t>Figure and table build scripts</w:t>
            </w:r>
          </w:p>
        </w:tc>
        <w:tc>
          <w:tcPr>
            <w:tcW w:type="dxa" w:w="2340"/>
          </w:tcPr>
          <w:p>
            <w:pPr>
              <w:spacing w:after="0" w:before="0"/>
            </w:pPr>
            <w:r>
              <w:rPr>
                <w:sz w:val="16"/>
              </w:rPr>
            </w:r>
            <w:r>
              <w:rPr>
                <w:sz w:val="16"/>
              </w:rPr>
              <w:t>this paper</w:t>
            </w:r>
          </w:p>
        </w:tc>
        <w:tc>
          <w:tcPr>
            <w:tcW w:type="dxa" w:w="2340"/>
          </w:tcPr>
          <w:p>
            <w:pPr>
              <w:spacing w:after="0" w:before="0"/>
            </w:pPr>
            <w:r>
              <w:rPr>
                <w:sz w:val="16"/>
              </w:rPr>
            </w:r>
            <w:r>
              <w:rPr>
                <w:sz w:val="16"/>
              </w:rPr>
              <w:t>scripts/make_figures_patterns.py and companions</w:t>
            </w:r>
          </w:p>
        </w:tc>
      </w:tr>
      <w:tr>
        <w:tc>
          <w:tcPr>
            <w:tcW w:type="dxa" w:w="2340"/>
          </w:tcPr>
          <w:p>
            <w:pPr>
              <w:spacing w:after="0" w:before="0"/>
            </w:pPr>
            <w:r>
              <w:rPr>
                <w:sz w:val="16"/>
              </w:rPr>
            </w:r>
            <w:r>
              <w:rPr>
                <w:sz w:val="16"/>
              </w:rPr>
              <w:t>Other</w:t>
            </w:r>
          </w:p>
        </w:tc>
        <w:tc>
          <w:tcPr>
            <w:tcW w:type="dxa" w:w="2340"/>
          </w:tcPr>
          <w:p>
            <w:pPr>
              <w:spacing w:after="0" w:before="0"/>
            </w:pPr>
            <w:r>
              <w:rPr>
                <w:sz w:val="16"/>
              </w:rPr>
            </w:r>
            <w:r>
              <w:rPr>
                <w:sz w:val="16"/>
              </w:rPr>
              <w:t>Compute</w:t>
            </w:r>
          </w:p>
        </w:tc>
        <w:tc>
          <w:tcPr>
            <w:tcW w:type="dxa" w:w="2340"/>
          </w:tcPr>
          <w:p>
            <w:pPr>
              <w:spacing w:after="0" w:before="0"/>
            </w:pPr>
            <w:r>
              <w:rPr>
                <w:sz w:val="16"/>
              </w:rPr>
            </w:r>
            <w:r>
              <w:rPr>
                <w:sz w:val="16"/>
              </w:rPr>
              <w:t>AutoDL cloud instance</w:t>
            </w:r>
          </w:p>
        </w:tc>
        <w:tc>
          <w:tcPr>
            <w:tcW w:type="dxa" w:w="2340"/>
          </w:tcPr>
          <w:p>
            <w:pPr>
              <w:spacing w:after="0" w:before="0"/>
            </w:pPr>
            <w:r>
              <w:rPr>
                <w:sz w:val="16"/>
              </w:rPr>
            </w:r>
            <w:r>
              <w:rPr>
                <w:sz w:val="16"/>
              </w:rPr>
              <w:t>NVIDIA GeForce RTX 4080 SUPER (archived hardware declaration; memory provenance unverified)</w:t>
            </w:r>
          </w:p>
        </w:tc>
      </w:tr>
    </w:tbl>
    <w:p/>
    <w:p>
      <w:pPr>
        <w:pStyle w:val="Heading2"/>
      </w:pPr>
      <w:r>
        <w:rPr>
          <w:rFonts w:ascii="Times New Roman" w:hAnsi="Times New Roman"/>
          <w:color w:val="000000"/>
        </w:rPr>
        <w:t>Notation, probes, and the instrument</w:t>
      </w:r>
    </w:p>
    <w:p>
      <w:r>
        <w:t>For m analysis units with embedding matrix X and numerical label vector y, τ_in is the in-sample Kendall association of a ridge probe with y. τ_LOO holds out one unit from probe fitting; τ_LGO (also written τ_LDO) holds out all units of a recorded group. Training-fold standardization and ridge regularization are applied within the probe. These are probe-level holdouts on representations, not a claim that the complete encoder-training pipeline was refitted in every outer fold.</w:t>
      </w:r>
    </w:p>
    <w:p>
      <w:r>
        <w:t>The archived implementation computes LDI = (τ_LOO − 0.001)/σ̂, with σ̂ estimated from B = 2,000 unit-label permutations, refitting the probe for every permutation (seed 20261010). R = τ_LOO/τ_in is the fraction of in-sample rank association retained under unit-level holdout; it is group-transferable only when units and groups coincide. Sibling-unit inflation is reported separately as Δ = τ_LOO − τ_LGO. Group-identity decoding is a separate classifier and is not what the label probe measures.</w:t>
      </w:r>
    </w:p>
    <w:p>
      <w:r>
        <w:t>The 1.645 cutoff is a one-sided standard-normal reference. Normality and exchangeability are assumptions, not consequences of estimating a permutation standard deviation. Unit-label permutation is not automatically valid for clustered observations. Where labels are constant within groups, inference requires group-preserving permutation; where labels vary within groups, a null must be chosen for the specific scientific question. The archived multi-unit results use the unit-permutation reference and are descriptive under that reference, not calibrated group-level 5% tests. Crossing below 1.645 is a reporting convention and cannot establish absence of leakage or equivalence to a clean representation. The binary-label ceiling is sqrt(n₀n₁ / C(m,2)) when predictions have no ties (0.7303 for 8 versus 8). Multiclass activity and gas identifiers are nominal: their arbitrary numerical coding makes Kendall τ encoding-dependent; class-aware metrics and recoding sensitivity are needed for a task-level conclusion.</w:t>
      </w:r>
    </w:p>
    <w:p>
      <w:pPr>
        <w:pStyle w:val="Heading2"/>
      </w:pPr>
      <w:r>
        <w:rPr>
          <w:rFonts w:ascii="Times New Roman" w:hAnsi="Times New Roman"/>
          <w:color w:val="000000"/>
        </w:rPr>
        <w:t>Relation of LDI to existing calibration procedures</w:t>
      </w:r>
    </w:p>
    <w:p>
      <w:r>
        <w:t>Refit permutation inference is established practice.[38] We use its scale to report label association, not as a novel test or causal attribution. For a fixed empirical null, larger observed τ corresponds to a smaller upper-tail permutation p-value; the numerical approximation LDI ≈ Φ⁻¹(1 − p) additionally requires a suitably centered Gaussian null and is not guaranteed by B = 2,000. The fixed 0.001 floor is not an estimated null mean. LDI remains sensitive to sample size, label coding, probe capacity, and the permutation scheme, so a common numerical scale alone does not establish transportability across cohorts. In particular LDI is the calibrated association, not the calibrated memorization gap τ_in − τ_LOO.</w:t>
      </w:r>
    </w:p>
    <w:p>
      <w:r>
        <w:t>The supplementary resolution ladder changes the number of analysis units while retaining the source sections. Its σ̂ falls as unit count grows; this illustrates resolution sensitivity rather than an independent increase in donor-level information. The archived ladder assigns section identifiers as groups (35 groups), whereas the main cervical archive reports 34 donor groups. It therefore tests section blocking, and does not verify donor-disjoint evaluation.</w:t>
      </w:r>
    </w:p>
    <w:p>
      <w:pPr>
        <w:pStyle w:val="Heading2"/>
      </w:pPr>
      <w:r>
        <w:rPr>
          <w:rFonts w:ascii="Times New Roman" w:hAnsi="Times New Roman"/>
          <w:color w:val="000000"/>
        </w:rPr>
        <w:t>Proposition 1 (precondition test for the dual gate)</w:t>
      </w:r>
    </w:p>
    <w:p>
      <w:r>
        <w:rPr>
          <w:b/>
        </w:rPr>
        <w:t>Interpretation of Proposition 1.</w:t>
      </w:r>
      <w:r>
        <w:t xml:space="preserve"> The result below describes overlap of two intervals for the same statistic τ at a fixed positive σ̂, positive τ_base and 0 &lt; c ≤ 1. Non-empty overlap is necessary for those numerical requirements to coexist; it is not sufficient for an encoder or dose to attain a point in the overlap. A baseline-only exclusion is conditional on holding σ̂ fixed, or on a prespecified bound on its post-intervention value. When the leakage axis uses τ_LOO and the fidelity axis uses a different τ_LGO, the one-dimensional equivalence does not apply. In the archived cross-domain and GeoMx runners both gates use τ_LOO; τ_LGO retention is reported separately. For the external section cohorts the published Table 2 retention counts use the cohort-mean baseline, rather than each seed's baseline. These conventions must not be mixed. The exact critical retention is (0.001 + 1.645 σ̂)/τ_base; tables retain the near-zero-floor approximation for correspondence with the archive.</w:t>
      </w:r>
    </w:p>
    <w:p>
      <w:r>
        <w:t>Stated here because it is used as a protocol element rather than reported as a result. Let LDI(τ) = (τ − τ_⊥)/σ̂ be the calibrated index, strictly increasing in τ, with gate value 1.645 and null floor τ_⊥ ≈ 0. The post-repair τ feasible set of the dual gate {LDI &lt; 1.645 ∧ τ ≥ c·τ_base} is non-empty if and only if c·τ_base &lt; τ_⊥ + 1.645·σ̂, i.e. τ_base/σ̂ &lt; 1.645/c + τ_⊥/(c·σ̂) ≈ 2.35 for c = 0.7.</w:t>
      </w:r>
    </w:p>
    <w:p>
      <w:r>
        <w:rPr>
          <w:i/>
        </w:rPr>
        <w:t>Proof.</w:t>
      </w:r>
      <w:r>
        <w:t xml:space="preserve"> Immediate from monotonicity: LDI &lt; 1.645 ⟺ τ &lt; τ_⊥ + 1.645σ̂; intersecting with [c·τ_base, τ_base] is non-empty iff c·τ_base &lt; τ_⊥ + 1.645σ̂. ∎</w:t>
      </w:r>
    </w:p>
    <w:p>
      <w:r>
        <w:rPr>
          <w:b/>
        </w:rPr>
        <w:t>Scope of the compatibility calculation.</w:t>
      </w:r>
      <w:r>
        <w:t xml:space="preserve"> With a fixed positive baseline and a decreasing null scale, the upper interval bound can fall below the retained-association requirement. The calculation does not identify a causal fairness–utility trade-off. A non-empty interval need not be reachable; a moving post-intervention null or different statistics on the two axes requires a different calculation. The approximate c_crit = 1.645 σ̂/τ_base is retained in tables for correspondence with the archive, while the exact value includes the 0.001 floor.</w:t>
      </w:r>
    </w:p>
    <w:p>
      <w:r>
        <w:rPr>
          <w:b/>
        </w:rPr>
        <w:t>Protocol.</w:t>
      </w:r>
      <w:r>
        <w:t xml:space="preserve"> Fit the unrepaired baseline once and read off c_crit = 1.645 σ̂/τ_base (equivalently, form τ_base/σ̂ and read it against 1.645/c). Where the deployer requires more retention than the cohort admits, report the separate dependence, identity-decoding and utility axes rather than interpreting a threshold as successful removal. Report c_crit and let the deployer supply c; do not tune c to obtain a preferred verdict. Observed ratios: shared-program simulation 5.8; cervical ≈ 2.4; head and neck 2.18; prostate ≈ 2.0 (Table 1).</w:t>
      </w:r>
    </w:p>
    <w:p>
      <w:r>
        <w:rPr>
          <w:b/>
        </w:rPr>
        <w:t>Degenerate regime, to be read before any accept verdict is used.</w:t>
      </w:r>
      <w:r>
        <w:t xml:space="preserve"> The fidelity axis is relative (τ_LDO ≥ c · τ_base), so where τ_base is itself indistinguishable from the permutation null the gate is satisfied almost automatically, and an "accepted" verdict then carries no information: on the spurious simulation arm, where τ_base/σ̂ was 0.35 and 0.52 under the two backbones, 2 of 12 dosed cells passed the dual gate on each (Table S12). The proposition is not wrong there; it is a statement about the existence of a feasible operating point and not about whether that point is worth using, and the two come apart precisely at this end. The operational consequence is a rule rather than a caveat, and we recommend τ_LDO ≥ 1.645 σ̂ computed under leave-one-group-out as the default absolute floor: </w:t>
      </w:r>
      <w:r>
        <w:rPr>
          <w:i/>
        </w:rPr>
        <w:t>an accept verdict is interpretable only where the baseline association is detectably above the null scale</w:t>
      </w:r>
      <w:r>
        <w:t>, and the relative gate should be paired with an absolute floor (for example τ_LDO ≥ 1.645 σ̂ computed under leave-one-group-out, or a domain-specific minimum effect size). We did not implement such a floor, so every verdict reported in this paper is conditional on the relative gate alone (the practical reporting workflow), and the cells accepted on the spurious arm should be read as illustrations of the degeneracy rather than as evidence that repair helped.</w:t>
      </w:r>
    </w:p>
    <w:p>
      <w:pPr>
        <w:pStyle w:val="Heading2"/>
      </w:pPr>
      <w:r>
        <w:rPr>
          <w:rFonts w:ascii="Times New Roman" w:hAnsi="Times New Roman"/>
          <w:color w:val="000000"/>
        </w:rPr>
        <w:t>Repair operator</w:t>
      </w:r>
    </w:p>
    <w:p>
      <w:r>
        <w:t>Encoder: two-layer graph attention (GAT;[13] GCN variant[14] in Table S5; structure-free two-layer perceptron variant, no message passing, in Table S12) over the unit-level kNN graph (k = 6, both directions; section coordinates offset by 50,000 units per section to prevent cross-section edges); decoder: linear, reconstructing log1p library-normalized expression over the union panel (top-2,000-variance genes per sample, union across samples; 6,586 genes for the head-and-neck cohort). Loss: reconstruction + λ · CE(adversary(GRL(z)), group-ID), with GRL reversal strength α = 0 during the warm-up window (W epochs), then α = min(1, 2·(epoch − W)/(epochs_total − W)) · α_cap with α_cap = 1; adversary: 2-layer MLP. The base configuration sets W = 0; the stability variant adds W = 50, gradient clipping at 1.0, and spectral normalization of the adversary. Optimization: Adam, 300 epochs, full batch. Doses λ ∈ {0, 0.5, 1, 2, 5}; three training seeds per cell (matching the simulation seed). Hardware: single NVIDIA GeForce RTX 4080 SUPER GPU (32 GB) on a cloud instance (AutoDL), ~30 s per training run on the external cohort.</w:t>
      </w:r>
    </w:p>
    <w:p>
      <w:pPr>
        <w:pStyle w:val="Heading2"/>
      </w:pPr>
      <w:r>
        <w:rPr>
          <w:rFonts w:ascii="Times New Roman" w:hAnsi="Times New Roman"/>
          <w:color w:val="000000"/>
        </w:rPr>
        <w:t>Simulations</w:t>
      </w:r>
    </w:p>
    <w:p>
      <w:r>
        <w:t>Generator (released): units on a jittered hex grid (1,500 per section), sparse log-normal background expression with group-level batch fingerprint N(0, 0.6) per gene, per-group program response coefficients; shared-program arm with planted amplitude (0.5–2.5), identity-confounding arm with class-balanced fingerprints, weak-signal arm with heterogeneity. Phase grid: groups n ∈ {4, 8, 16, 32, 64} (5:4 class ratio), k ∈ {1, 2, 4, 8} units per group, signals {1.0, 0.3}, group-invariant parameters shared across a group's units; three seeds per cell (seeds 3–4 at boundary cells in Table S6). Cell statistics: mean R = τ_LOO/τ_in over seeds. Because the generator takes only structural inputs, the same grid can be re-derived for other domains by changing the nuisance-channel configuration.</w:t>
      </w:r>
    </w:p>
    <w:p>
      <w:pPr>
        <w:pStyle w:val="Heading2"/>
      </w:pPr>
      <w:r>
        <w:rPr>
          <w:rFonts w:ascii="Times New Roman" w:hAnsi="Times New Roman"/>
          <w:color w:val="000000"/>
        </w:rPr>
        <w:t>Cross-domain (non-biological) cohorts</w:t>
      </w:r>
    </w:p>
    <w:p>
      <w:r>
        <w:t xml:space="preserve">Two public non-biological group-structured datasets were audited with the identical instrument and the identical repair family, to test whether the framework's objects and its two decision boundaries behave as predicted outside the validation domain. </w:t>
      </w:r>
      <w:r>
        <w:rPr>
          <w:b/>
        </w:rPr>
        <w:t>UCI HAR</w:t>
      </w:r>
      <w:r>
        <w:t xml:space="preserve">[23] (wearable human-activity recognition): 10,299 accelerometer and gyroscope windows of 561 engineered features from 30 subjects performing six activities; grouping variable = subject (G = 30); label = activity, scored as an ordinal 0–5 because the instrument is a rank statistic. </w:t>
      </w:r>
      <w:r>
        <w:rPr>
          <w:b/>
        </w:rPr>
        <w:t>UCI Gas Sensor Array Drift</w:t>
      </w:r>
      <w:r>
        <w:t>[24] (chemical sensing): 13,910 measurements of 128 sensor features covering six gas species, collected in 10 measurement batches over different months; grouping variable = batch (G = 10); label = gas species, ordinal 0–5. Both are from the UCI Machine Learning Repository.[25]</w:t>
      </w:r>
    </w:p>
    <w:p>
      <w:r>
        <w:t xml:space="preserve">Audit units: 299 HAR and 300 gas-drift observations drawn by within-group proportional stratified sampling (seed 20261010), which preserves each cohort's </w:t>
      </w:r>
      <w:r>
        <w:rPr>
          <w:i/>
        </w:rPr>
        <w:t>natural</w:t>
      </w:r>
      <w:r>
        <w:t xml:space="preserve"> group × label joint distribution: a (group × label) cell-mean construction would artificially balance the label across groups and destroy the very coupling under study. Group–label coupling is reported as normalized mutual information κ on the full observation set. Encoder: multilayer-perceptron autoencoder (d → 256 → h → 256 → d, ReLU; h = 64 for HAR, 32 for gas drift) with a gradient-reversal adversary (h → 128 → G, cross-entropy): the same operator family as the validation domain, with the graph-attention encoder replaced by a multilayer perceptron because these data carry no spatial graph. That substitution is itself part of the test: Proposition 1 and both decision boundaries make no use of the encoder's internal structure, so the prediction must survive it. Doses λ ∈ {0, 0.5, 1, 2, 5}; three training seeds; 40 epochs; Adam, learning rate 10⁻³, batch 512. Group-identity probe: multinomial logistic regression on the embedding (C = 1), 50/50 stratified split at the observation level capped at 2,500 observations, accuracy compared against the 1/G chance rate. All instrument quantities (τ_in, τ_LOO, τ_LGO, σ̂ at B = 2,000 seed 20261010, LDI, R) are computed by the same code used for the transcriptomic cohorts.</w:t>
      </w:r>
    </w:p>
    <w:p>
      <w:pPr>
        <w:pStyle w:val="Heading2"/>
      </w:pPr>
      <w:r>
        <w:rPr>
          <w:rFonts w:ascii="Times New Roman" w:hAnsi="Times New Roman"/>
          <w:color w:val="000000"/>
        </w:rPr>
        <w:t>Configuration manifests and reproducibility</w:t>
      </w:r>
    </w:p>
    <w:p>
      <w:r>
        <w:t xml:space="preserve">The archived runners use script arguments and record parameter dictionaries in result JSON files. A universal manifest-only interface was not verified. A manifest records: </w:t>
      </w:r>
      <w:r>
        <w:rPr>
          <w:rFonts w:ascii="Consolas" w:hAnsi="Consolas"/>
        </w:rPr>
        <w:t>cohort</w:t>
      </w:r>
      <w:r>
        <w:t xml:space="preserve"> (source identifier, and for simulations the full generator parameters: planted amplitude, identity offset, and whether the planted direction is shared or spurious); </w:t>
      </w:r>
      <w:r>
        <w:rPr>
          <w:rFonts w:ascii="Consolas" w:hAnsi="Consolas"/>
        </w:rPr>
        <w:t>split</w:t>
      </w:r>
      <w:r>
        <w:t xml:space="preserve"> (grouping variable, split scheme, number of groups and units per group); </w:t>
      </w:r>
      <w:r>
        <w:rPr>
          <w:rFonts w:ascii="Consolas" w:hAnsi="Consolas"/>
        </w:rPr>
        <w:t>label</w:t>
      </w:r>
      <w:r>
        <w:t xml:space="preserve"> (target and class sizes); </w:t>
      </w:r>
      <w:r>
        <w:rPr>
          <w:rFonts w:ascii="Consolas" w:hAnsi="Consolas"/>
        </w:rPr>
        <w:t>encoder</w:t>
      </w:r>
      <w:r>
        <w:t xml:space="preserve"> (backbone, layer widths, neighbourhood size); </w:t>
      </w:r>
      <w:r>
        <w:rPr>
          <w:rFonts w:ascii="Consolas" w:hAnsi="Consolas"/>
        </w:rPr>
        <w:t>objective</w:t>
      </w:r>
      <w:r>
        <w:t xml:space="preserve"> (method, dose λ or its Group-DRO or IRM equivalent, gradient-reversal schedule, warm-up); </w:t>
      </w:r>
      <w:r>
        <w:rPr>
          <w:rFonts w:ascii="Consolas" w:hAnsi="Consolas"/>
        </w:rPr>
        <w:t>seed</w:t>
      </w:r>
      <w:r>
        <w:t xml:space="preserve"> (training seed, recorded separately from the permutation seed); </w:t>
      </w:r>
      <w:r>
        <w:rPr>
          <w:rFonts w:ascii="Consolas" w:hAnsi="Consolas"/>
        </w:rPr>
        <w:t>probe</w:t>
      </w:r>
      <w:r>
        <w:t xml:space="preserve"> (probe family and regularisation); </w:t>
      </w:r>
      <w:r>
        <w:rPr>
          <w:rFonts w:ascii="Consolas" w:hAnsi="Consolas"/>
        </w:rPr>
        <w:t>audit</w:t>
      </w:r>
      <w:r>
        <w:t xml:space="preserve"> (permutation count B for σ̂, permutation count for p, null floor τ_⊥, gate value, retained fraction c); and </w:t>
      </w:r>
      <w:r>
        <w:rPr>
          <w:rFonts w:ascii="Consolas" w:hAnsi="Consolas"/>
        </w:rPr>
        <w:t>outputs</w:t>
      </w:r>
      <w:r>
        <w:t xml:space="preserve"> (paths of the result file and of any derived figure data). Manifests are archived together with the results they produced, to support traceability; completeness of the mapping requires verification. A complete row-level and panel-level checksum mapping must accompany any public reproducibility claim; its completeness has not been verified.</w:t>
      </w:r>
    </w:p>
    <w:p>
      <w:pPr>
        <w:pStyle w:val="Heading2"/>
      </w:pPr>
      <w:r>
        <w:rPr>
          <w:rFonts w:ascii="Times New Roman" w:hAnsi="Times New Roman"/>
          <w:color w:val="000000"/>
        </w:rPr>
        <w:t>Gene-direction readout (validation-domain check)</w:t>
      </w:r>
    </w:p>
    <w:p>
      <w:r>
        <w:t>On the four strict pairs available (λ = 2, seeds 0–2, and the λ = 5 maximal-dose seed; head-and-neck cohort, stability variant): ridge fit of the HPV direction d on section-mean embeddings (α = 1, standardized); gene loadings L = W·d through each run's own decoder W (strict pairing); enrichment computed in unique-symbol space (6,586-entry panel → 4,647 unique symbols, per-gene max |loading| across duplicate entries), by hypergeometric test against the 11-marker in-panel background, with a 2,000-draw permutation null on random 100-gene sets; all four strict pairs in Table S7. Gene names normalized (platform prefix stripped).</w:t>
      </w:r>
    </w:p>
    <w:p>
      <w:pPr>
        <w:pStyle w:val="Heading2"/>
      </w:pPr>
      <w:r>
        <w:rPr>
          <w:rFonts w:ascii="Times New Roman" w:hAnsi="Times New Roman"/>
          <w:color w:val="000000"/>
        </w:rPr>
        <w:t>Quantification and statistical analysis</w:t>
      </w:r>
    </w:p>
    <w:p>
      <w:r>
        <w:t xml:space="preserve">All reported gate decisions use the calibrated LDI with the seeds and permutation depths above; the transferable-fraction statistic is R = τ_LOO/τ_in within the same run (the group-transferable share of what the run fits in-sample). Two σ̂ perturbations are reported and are different quantities. </w:t>
      </w:r>
      <w:r>
        <w:rPr>
          <w:i/>
        </w:rPr>
        <w:t>Permutation depth:</w:t>
      </w:r>
      <w:r>
        <w:t xml:space="preserve"> gate decisions on the external cohorts were rechecked at B = 10,000 with no flips (Table S4); all other gate decisions use B = 2,000, and under the largest σ̂ perturbation observed in that recheck (4.4% on σ̂; LDI rescales reciprocally, at most +4.6% in the worst direction) no reported decision changes: the closest-to-gate value outside the directly rechecked runs (identity-confounding maximum LDI = 1.55) would move to at most ≈ 1.62, still under the gate. </w:t>
      </w:r>
      <w:r>
        <w:rPr>
          <w:i/>
        </w:rPr>
        <w:t>Dose-grid drift:</w:t>
      </w:r>
      <w:r>
        <w:t xml:space="preserve"> σ̂ is re-estimated for every run, and across the dose grid of the two external cohorts it deviates from its baseline value by at most 7.6% (head and neck) and 9.5% (prostate); because LDI is inversely proportional to σ̂, replacing a run's own σ̂ by the baseline σ̂ would move its LDI by the same percentage. Recomputing all 30 external-cohort cells that way flips no gate decision, and the smallest distance from a recomputed LDI to the 1.645 gate is 0.05 (head and neck, λ = 2: 1.59 recomputed against 1.60 observed) and 0.10 (prostate, λ = 1: 1.54 recomputed against 1.44 observed) (Table S14). At every accepted cell the change in τ_LOO exceeds the change in σ̂, so no acceptance verdict is carried by the null scale rather than by the association. The drift statistic is defined so that it can be recomputed: max over cells of |σ̂(λ) − σ̂(0)| / σ̂(0), with σ̂(0) the mean baseline σ̂ of Table 1 (0.2717 on head and neck, 0.1406 on prostate). Downstream endpoints are reported with per-seed values and standard deviations; where the number of positive groups makes the AUROC standard error comparable to the observed differences (prostate, four benign donors, SE ≈ 0.11), we report the series descriptively and draw no inference.</w:t>
      </w:r>
    </w:p>
    <w:p>
      <w:r>
        <w:rPr>
          <w:b/>
        </w:rPr>
        <w:t>What each n counts.</w:t>
      </w:r>
      <w:r>
        <w:t xml:space="preserve"> The letter n denotes two different quantities in this paper and the two are never pooled. In the real cohorts n counts </w:t>
      </w:r>
      <w:r>
        <w:rPr>
          <w:i/>
        </w:rPr>
        <w:t>groups</w:t>
      </w:r>
      <w:r>
        <w:t xml:space="preserve">, that is independent donors, patients, or cases, not units: head and neck, n = 16 sections from 16 patients (8 HPV-positive, 8 HPV-negative); prostate, n = 52 sections from 52 patients (48 tumour, 4 benign); cervix, n = 35 sections from 34 donors; GeoMx control, 186 ROIs from n = 7 cases. Each of those cohorts contributes approximately one unit per group, which is the structural fact the sibling-unit trap turns on. In simulations n counts </w:t>
      </w:r>
      <w:r>
        <w:rPr>
          <w:i/>
        </w:rPr>
        <w:t>simulated groups</w:t>
      </w:r>
      <w:r>
        <w:t xml:space="preserve"> (4, 8, 16, 32, 64) at a stated number of units per group (1, 2, 4, 8); simulation n is a design parameter rather than a sample size, and no simulation n is combined with a cohort n in any reported statistic. In the two non-biological cohorts the group is a subject (HAR, G = 30) or a measurement batch (gas drift, G = 10) while the unit is an observation window or a single measurement, with 300 audited observations per cohort, so group counts and unit counts differ by two orders of magnitude and are reported separately (Table 5).</w:t>
      </w:r>
    </w:p>
    <w:p>
      <w:r>
        <w:rPr>
          <w:b/>
        </w:rPr>
        <w:t>Seeds.</w:t>
      </w:r>
      <w:r>
        <w:t xml:space="preserve"> Two seed families are fixed and recorded separately in every manifest. Training seeds index model initialisation: three per dose-by-cohort cell (0, 1, 2; seeds 3 and 4 added at boundary cells, Table S6). The permutation seed fixes the null: 20261010 throughout, chosen independently of the training seed so that no null is correlated with a particular fit.</w:t>
      </w:r>
    </w:p>
    <w:p>
      <w:r>
        <w:rPr>
          <w:b/>
        </w:rPr>
        <w:t>Permutation depth.</w:t>
      </w:r>
      <w:r>
        <w:t xml:space="preserve"> σ̂ uses B = 2,000 refit permutations. The cross-domain and GeoMx protocol records B = 10,000 for p-values when requested; permutation-depth sensitivity is a separate analysis. Depth sensitivity was measured by recomputing the external-cohort nulls at B = 10,000 (Table S4): σ̂ moved by at most 4.4% and no gate decision changed in 15 external-cohort runs.</w:t>
      </w:r>
    </w:p>
    <w:p>
      <w:r>
        <w:rPr>
          <w:b/>
        </w:rPr>
        <w:t>Definition of σ̂ and of the gate.</w:t>
      </w:r>
      <w:r>
        <w:t xml:space="preserve"> σ̂ in the archived audit is the standard deviation of the leave-one-unit-out Kendall τ across unit-label permutations, with probe refitting. It equals a group-holdout null only where the unit-to-group mapping is one-to-one; the multi-unit null is not group-preserving. The gate value 1.645 is the one-sided 5% quantile of the standard normal distribution, applied in the archived implementation to LDI = (τ_LOO − 0.001)/σ̂. The feasibility threshold 2.35 in Proposition 1 is 1.645/c at the reading convention c = 0.7 and is not a calibrated constant of nature (Table S15).</w:t>
      </w:r>
    </w:p>
    <w:p>
      <w:r>
        <w:rPr>
          <w:b/>
        </w:rPr>
        <w:t>Restricted permutation and additional audit statistics.</w:t>
      </w:r>
      <w:r>
        <w:rPr>
          <w:b w:val="0"/>
        </w:rPr>
        <w:t xml:space="preserve"> The v28 restricted null shuffles labels independently within each recorded group, retaining group-by-label counts. It is a conditional within-group randomization scheme, not whole-group permutation. B = 2,000 and seed 20261010 were used for probe refitting and empirical tail counts. The stored LDI_group is (τ_LOO − 0.001)/σ̂_group; it is not centered using a restricted-null mean and is not interpreted as a Gaussian Z statistic. σ̂_group = 0 is reported when the scheme has no label variation; no ratio is defined then. For group-constant labels, a scientifically justified permutation of group-level label assignments may be appropriate, subject to independent-group exchangeability; its validity must be assessed rather than inferred from the degenerate within-group scheme. The archived nearest-neighbour ratio uses Σ(n_g/N)², while the random-neighbour prior with self excluded is Σn_g(n_g − 1)/[N(N − 1)]. One-versus-rest macro AUROC and balanced accuracy use recorded-group holdout. The patient-pair sensitivity enumerates merges on preprocessed raw GeoMx features, not repaired embeddings. The original outer-refit script fits preprocessing globally and averages foldwise τ; the corrected runner fits it on outer training data and reports both pooled and mean-fold τ.</w:t>
      </w:r>
    </w:p>
    <w:p>
      <w:r>
        <w:rPr>
          <w:b/>
        </w:rPr>
        <w:t>Dispersion.</w:t>
      </w:r>
      <w:r>
        <w:t xml:space="preserve"> Every spread reported here is a standard deviation (SD) across training seeds, with the seed count stated at the point of report. We do not report standard errors of the mean, because at three seeds an SEM would understate exactly the spread we are trying to convey. Where a standard error is quoted (prostate AUROC, SE approximately 0.11 at four positive donors) it is quoted only to show that the observed difference is not resolvable at that n, and no inference is drawn from it.</w:t>
      </w:r>
    </w:p>
    <w:p>
      <w:r>
        <w:rPr>
          <w:b/>
        </w:rPr>
        <w:t>Multiplicity.</w:t>
      </w:r>
      <w:r>
        <w:t xml:space="preserve"> The dose grid (λ in {0, 0.5, 1, 2, 5}) is a descriptive operating-characteristics curve, not a family of hypothesis tests. We apply no multiplicity correction across doses and we report no dose optimum: where a cohort admits an accepted region we describe it as an operating-point interval carrying its measured seed spread (prostate: a single operating point).</w:t>
      </w:r>
    </w:p>
    <w:p>
      <w:r>
        <w:rPr>
          <w:b/>
        </w:rPr>
        <w:t>Software.</w:t>
      </w:r>
      <w:r>
        <w:t xml:space="preserve"> Python 3.13.5, numpy 2.4.4, pandas 3.0.6, scipy 1.15.3, scikit-learn 1.6.1, PyTorch 2.13, matplotlib for figures, python-docx for submission files; versions are pinned in requirements-patterns.txt in the tagged release.</w:t>
      </w:r>
    </w:p>
    <w:p>
      <w:pPr>
        <w:pStyle w:val="Heading1"/>
      </w:pPr>
      <w:r>
        <w:rPr>
          <w:rFonts w:ascii="Times New Roman" w:hAnsi="Times New Roman"/>
          <w:color w:val="000000"/>
        </w:rPr>
        <w:t>FIGURE AND TABLE LEGENDS</w:t>
      </w:r>
    </w:p>
    <w:p>
      <w:r>
        <w:rPr>
          <w:b/>
        </w:rPr>
        <w:t>Symbols and interpretation.</w:t>
      </w:r>
      <w:r>
        <w:rPr>
          <w:b w:val="0"/>
        </w:rPr>
        <w:t xml:space="preserve"> τ_in is in-sample rank association; τ_LOO holds out one analysis unit, whereas τ_LGO or τ_LDO holds out its recorded group. LDI = (τ_LOO − 0.001)/σ̂ uses the archived unrestricted unit-permutation scale and does not certify identity removal. R = τ_LOO/τ_in is unit-holdout retention and Δ = τ_LOO − τ_LGO is the paired holdout difference. σ̂_group is a standard deviation of the within-group permutation distribution, not itself an index; the corresponding ratio is undefined at zero variance and is not centered on that restricted null. Figure 5 and earlier tables use logistic group-classifier accuracy divided by 1/G. The additional v28 analysis uses a separate nearest-neighbour same-group ratio and pair-distance AUROC; those values must not replace the earlier classifier values in their legends. Training seeds quantify optimization spread on fixed cohorts, not independent population replication. Mean-fold and pooled out-of-fold τ are distinct statistics.</w:t>
      </w:r>
    </w:p>
    <w:p>
      <w:pPr>
        <w:spacing w:before="200"/>
      </w:pPr>
      <w:r>
        <w:rPr>
          <w:b/>
        </w:rPr>
        <w:t>Figure 1. Auditing the tested projection intervention. (A) The auditable loop: report unit-level label association alongside group holdout;</w:t>
      </w:r>
      <w:r/>
    </w:p>
    <w:p>
      <w:r>
        <w:t>repair with a training-time group-adversarial operator; re-audit against three acceptance axes (safety of</w:t>
      </w:r>
    </w:p>
    <w:p>
      <w:r>
        <w:t>the shared signal, reduction of cross-group label dependence, non-blindness of the instrument). (B)</w:t>
      </w:r>
    </w:p>
    <w:p>
      <w:r>
        <w:t>Post-hoc projection of the group-mean subspace out of a trained representation, cervical cohort: at one</w:t>
      </w:r>
    </w:p>
    <w:p>
      <w:r>
        <w:t>removed direction the in-sample association is preserved while leave-one-out transfer is destroyed (mean</w:t>
      </w:r>
    </w:p>
    <w:p>
      <w:r>
        <w:t>τ_LOO 0.46 → −0.08); at two directions both collapse (τ_LOO → −0.44). (C) The same manipulation on a</w:t>
      </w:r>
    </w:p>
    <w:p>
      <w:r>
        <w:t>simulation with a planted shared program collapses outright at one direction (τ_LOO 0.71 → −0.71, τ_in → 0.02):</w:t>
      </w:r>
    </w:p>
    <w:p>
      <w:r>
        <w:t>after training, group identity and target signal occupy overlapping directions that no post-hoc linear</w:t>
      </w:r>
    </w:p>
    <w:p>
      <w:r>
        <w:t>filter can separate.</w:t>
      </w:r>
    </w:p>
    <w:p>
      <w:pPr>
        <w:spacing w:before="200"/>
      </w:pPr>
      <w:r>
        <w:rPr>
          <w:b/>
        </w:rPr>
        <w:t>Figure 2. Operating characteristics of the instrument, and the real-cohort dose–response.</w:t>
      </w:r>
      <w:r>
        <w:t xml:space="preserve"> (A) Safety:</w:t>
      </w:r>
    </w:p>
    <w:p>
      <w:r>
        <w:t>R = τ_LOO/τ_in at the analytic ceiling in 75 of 75 runs, across planted-program amplitudes, doses and seeds, each point one run</w:t>
      </w:r>
    </w:p>
    <w:p>
      <w:r>
        <w:t>(graph-attention encoder; graph-convolutional replication at the reference amplitude). (B) Non-blindness:</w:t>
      </w:r>
    </w:p>
    <w:p>
      <w:r>
        <w:t>on an identity-confounding control the LDI stays below the 1.645 gate in 45 of 45 runs (36 of 36 among dosed runs, no false alarms; each point is one run), while clearance of the planted in-sample fingerprint is only partial (≈ 12%). (C) External</w:t>
      </w:r>
    </w:p>
    <w:p>
      <w:r>
        <w:t>head-and-neck cohort: τ_LOO (solid) and LDI (dotted) against λ, three seeds, gate at 1.645, accepted operating</w:t>
      </w:r>
    </w:p>
    <w:p>
      <w:r>
        <w:t>points at λ ∈ {0.5, 1, 2}, analytic ceiling 0.730 marked, maximal-dose recovery point (R = 0.90) annotated.</w:t>
      </w:r>
    </w:p>
    <w:p>
      <w:r>
        <w:t>(D) Backbone replication: graph-convolutional results overlay the graph-attention stability variant (mean</w:t>
      </w:r>
    </w:p>
    <w:p>
      <w:r>
        <w:t>and range across seeds).</w:t>
      </w:r>
    </w:p>
    <w:p>
      <w:pPr>
        <w:spacing w:before="200"/>
      </w:pPr>
      <w:r>
        <w:rPr>
          <w:b/>
        </w:rPr>
        <w:t>Figure 3. The repairability phase map over group count, dose and signal strength.</w:t>
      </w:r>
      <w:r>
        <w:t xml:space="preserve"> (A) R as a function of</w:t>
      </w:r>
    </w:p>
    <w:p>
      <w:r>
        <w:t>group count n and dose λ, at planted signal amplitude 1.0 and 0.3 (three seeds per cell; n here counts simulated groups, not donors): detection is</w:t>
      </w:r>
    </w:p>
    <w:p>
      <w:r>
        <w:t>group-count-robust at λ = 0, whereas the repair-damage boundary lies between 16 and 32 groups at amplitude</w:t>
      </w:r>
    </w:p>
    <w:p>
      <w:r>
        <w:t>1.0 and between 32 and 64 at amplitude 0.3 (placements for this configuration, not transferable cut-offs; gas</w:t>
      </w:r>
    </w:p>
    <w:p>
      <w:r>
        <w:t>drift has G = 10 and still retains 0.89–0.93 of its group-level transfer under repair, Table 5). (B) Boundary placement with five-seed verification cells. (C)</w:t>
      </w:r>
    </w:p>
    <w:p>
      <w:r>
        <w:t>The sibling-unit trap: unit-level leave-one-out stays pinned at the ceiling while group-level τ_LDO collapses</w:t>
      </w:r>
    </w:p>
    <w:p>
      <w:r>
        <w:t>after repair (k ∈ {2, 4, 8} units per group), so acceptance must be measured at the group level.</w:t>
      </w:r>
    </w:p>
    <w:p>
      <w:pPr>
        <w:spacing w:before="200"/>
      </w:pPr>
      <w:r>
        <w:rPr>
          <w:b/>
        </w:rPr>
        <w:t>Figure 4. Validation-domain check: the structure that survives an audited repair matches the biology already known for the contrast.</w:t>
      </w:r>
      <w:r>
        <w:t xml:space="preserve"> Gene loadings of the surviving label direction in the validation domain</w:t>
      </w:r>
    </w:p>
    <w:p>
      <w:r>
        <w:t>(head-and-neck cohort, λ = 2, seed 0; decoder and embedding taken from the same run). Genes are ranked by</w:t>
      </w:r>
    </w:p>
    <w:p>
      <w:r>
        <w:t>absolute loading; enrichment of a curated reference marker set is computed over the top 100. In-panel</w:t>
      </w:r>
    </w:p>
    <w:p>
      <w:r>
        <w:t>HPV-positive reference markers and keratinization-family genes are highlighted, with hypergeometric and</w:t>
      </w:r>
    </w:p>
    <w:p>
      <w:r>
        <w:t>permutation-null statistics; the highest-loading stromal and plasma-cell genes are labelled. Reported as a</w:t>
      </w:r>
    </w:p>
    <w:p>
      <w:r>
        <w:t>check on the acceptance protocol, not as a biological finding.</w:t>
      </w:r>
    </w:p>
    <w:p>
      <w:pPr>
        <w:spacing w:before="200"/>
      </w:pPr>
      <w:r>
        <w:rPr>
          <w:b/>
        </w:rPr>
        <w:t>Figure 5. Test of the theory's predictions in two non-biological domains.</w:t>
      </w:r>
      <w:r>
        <w:t xml:space="preserve"> UCI HAR (wearable activity</w:t>
      </w:r>
    </w:p>
    <w:p>
      <w:r>
        <w:t>recognition; grouping variable = subject, G = 30) and UCI Gas Sensor Array Drift (chemical sensing;</w:t>
      </w:r>
    </w:p>
    <w:p>
      <w:r>
        <w:t>grouping variable = measurement batch, G = 10); three training seeds per dose and per domain, each drawn as a faint marker, with the line at the seed mean and the error bars at the standard deviation across those three seeds. (A) The LDI never approaches the 1.645 gate in either domain, as Proposition 1 predicts from the</w:t>
      </w:r>
    </w:p>
    <w:p>
      <w:r>
        <w:t>pre-repair ratio τ_base/σ̂ (13.8 and 11.0 against a threshold of ≈ 2.35). (B) Unit-level τ_LOO and group-level</w:t>
      </w:r>
    </w:p>
    <w:p>
      <w:r>
        <w:t>τ_LGO track each other within 0.01 in HAR (κ = 0.0025) but are separated by ≈ 0.05 in gas drift (κ = 0.0511).</w:t>
      </w:r>
    </w:p>
    <w:p>
      <w:r>
        <w:t>(C) Identity lift falls in both domains as the dose rises, with a multilayer-perceptron encoder. (D) The</w:t>
      </w:r>
    </w:p>
    <w:p>
      <w:r>
        <w:t>sibling-unit inflation τ_LOO − τ_LGO, the quantity decision boundary I keys on, separates the two domains at</w:t>
      </w:r>
    </w:p>
    <w:p>
      <w:r>
        <w:t>every dose and shrinks under repair in gas drift. These panels test predictions: neither cohort has a</w:t>
      </w:r>
    </w:p>
    <w:p>
      <w:r>
        <w:t>downstream endpoint, a planted control, or a domain readout.</w:t>
      </w:r>
    </w:p>
    <w:p>
      <w:pPr>
        <w:spacing w:before="200"/>
      </w:pPr>
      <w:r>
        <w:rPr>
          <w:b/>
        </w:rPr>
        <w:t>Table 1. Baseline fixed-scale compatibility of the recorded association gates.</w:t>
      </w:r>
      <w:r>
        <w:t xml:space="preserve"> For each cohort: the pre-repair association τ_base, the permutation null scale σ̂, their ratio, and the critical retention c_crit = 1.645 σ̂/τ_base at which the gate closes (overlapping at the fixed reference scale for c &lt; c_crit and non-overlapping for c ≥ c_crit; the equivalent threshold expressed as a ratio is 1.645/c, ≈ 2.35 at c = 0.7), whether the remove-and-</w:t>
      </w:r>
    </w:p>
    <w:p>
      <w:r>
        <w:t xml:space="preserve">preserve dual gate has a non-empty feasible set, and what was actually observed. Every entry in the τ_base and σ̂ columns is estimated at λ = 0, from the unrepaired baseline model alone, before any dose is chosen; no repaired run contributes to any number in this table. σ̂ is the scale of the refit permutation null (B = 2,000 permutations, seed 20261010). Two different perturbations of σ̂ appear in this paper and should not be confused. (i) </w:t>
      </w:r>
      <w:r>
        <w:rPr>
          <w:i/>
        </w:rPr>
        <w:t>Dose-grid drift</w:t>
      </w:r>
      <w:r>
        <w:t xml:space="preserve">: the LDI values reported in Table 2 are computed per cell against that cell's own σ̂, because an audit has to grade the representation as it stands after dosing; across the dose grid σ̂ deviates from its baseline value by at most 7.6% (head and neck) and 9.5% (prostate), and because LDI is inversely proportional to σ̂, a drift of that size moves LDI by the same percentage. (ii) </w:t>
      </w:r>
      <w:r>
        <w:rPr>
          <w:i/>
        </w:rPr>
        <w:t>Permutation-depth sensitivity</w:t>
      </w:r>
      <w:r>
        <w:t>: recomputing the null at B = 10,000 instead of 2,000 moved σ̂ by ≤ 4.4% and flipped no gate decision (Table S4); the 4.4% is an upper bound on the second quantity only and is not the grid drift of (i). Neither perturbation changes a verdict we report. Substituting the baseline σ̂ for the per-run σ̂ in all 30 external-cohort cells flips no gate decision, the smallest distance from any recomputed LDI to the gate being 0.05 (head and neck) and 0.10 (prostate), and at every accepted cell the movement of τ_LOO exceeds the movement of σ̂, so no acceptance verdict is carried by the null scale (Table S14). "Accepted" is counted on two axes throughout: the leakage axis (LDI &lt; 1.645) and the fidelity axis (τ_LDO ≥ 0.7 · τ_base). Where a seed count is quoted without naming the axes, the count is the leakage axis alone; counts on both axes are given alongside it. Finally, LDI at λ = 0 and the ratio τ_base/σ̂ are different statistics that happen to agree numerically here: they differ by the null-floor term τ_⊥ ≈ 0.001, which is negligible against these τ values, so cervical reads 2.4 as an LDI and 2.4 as a ratio, and head and neck reads 2.18 either way (2.2 when rounded to two digits; we quote 2.18 throughout). The ratio governs fixed-scale interval compatibility; the LDI grades whether a given run is acceptable. The three GSE316098 rows are one cohort carrying three labels, not three cohorts: the prediction attaches to a label, and the cohort is listed three times to make that visible (Table S17).</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blHeader/>
        </w:trPr>
        <w:tc>
          <w:tcPr>
            <w:tcW w:type="dxa" w:w="1170"/>
            <w:shd w:fill="E6EEF4"/>
          </w:tcPr>
          <w:p>
            <w:pPr>
              <w:keepNext/>
              <w:spacing w:after="0" w:before="0"/>
            </w:pPr>
            <w:r>
              <w:rPr>
                <w:sz w:val="16"/>
              </w:rPr>
            </w:r>
            <w:r>
              <w:rPr>
                <w:b/>
                <w:sz w:val="16"/>
              </w:rPr>
              <w:t>Cohort</w:t>
            </w:r>
          </w:p>
        </w:tc>
        <w:tc>
          <w:tcPr>
            <w:tcW w:type="dxa" w:w="1170"/>
            <w:shd w:fill="E6EEF4"/>
          </w:tcPr>
          <w:p>
            <w:pPr>
              <w:keepNext/>
              <w:spacing w:after="0" w:before="0"/>
            </w:pPr>
            <w:r>
              <w:rPr>
                <w:sz w:val="16"/>
              </w:rPr>
            </w:r>
            <w:r>
              <w:rPr>
                <w:b/>
                <w:sz w:val="16"/>
              </w:rPr>
              <w:t>Label type</w:t>
            </w:r>
          </w:p>
        </w:tc>
        <w:tc>
          <w:tcPr>
            <w:tcW w:type="dxa" w:w="1170"/>
            <w:shd w:fill="E6EEF4"/>
          </w:tcPr>
          <w:p>
            <w:pPr>
              <w:keepNext/>
              <w:spacing w:after="0" w:before="0"/>
            </w:pPr>
            <w:r>
              <w:rPr>
                <w:sz w:val="16"/>
              </w:rPr>
            </w:r>
            <w:r>
              <w:rPr>
                <w:b/>
                <w:sz w:val="16"/>
              </w:rPr>
              <w:t>τ_base</w:t>
            </w:r>
          </w:p>
        </w:tc>
        <w:tc>
          <w:tcPr>
            <w:tcW w:type="dxa" w:w="1170"/>
            <w:shd w:fill="E6EEF4"/>
          </w:tcPr>
          <w:p>
            <w:pPr>
              <w:keepNext/>
              <w:spacing w:after="0" w:before="0"/>
            </w:pPr>
            <w:r>
              <w:rPr>
                <w:sz w:val="16"/>
              </w:rPr>
            </w:r>
            <w:r>
              <w:rPr>
                <w:b/>
                <w:sz w:val="16"/>
              </w:rPr>
              <w:t>σ̂</w:t>
            </w:r>
          </w:p>
        </w:tc>
        <w:tc>
          <w:tcPr>
            <w:tcW w:type="dxa" w:w="1170"/>
            <w:shd w:fill="E6EEF4"/>
          </w:tcPr>
          <w:p>
            <w:pPr>
              <w:keepNext/>
              <w:spacing w:after="0" w:before="0"/>
            </w:pPr>
            <w:r>
              <w:rPr>
                <w:sz w:val="16"/>
              </w:rPr>
            </w:r>
            <w:r>
              <w:rPr>
                <w:b/>
                <w:sz w:val="16"/>
              </w:rPr>
              <w:t>τ_base/σ̂</w:t>
            </w:r>
          </w:p>
        </w:tc>
        <w:tc>
          <w:tcPr>
            <w:tcW w:type="dxa" w:w="1170"/>
            <w:shd w:fill="E6EEF4"/>
          </w:tcPr>
          <w:p>
            <w:pPr>
              <w:keepNext/>
              <w:spacing w:after="0" w:before="0"/>
            </w:pPr>
            <w:r>
              <w:rPr>
                <w:sz w:val="16"/>
              </w:rPr>
            </w:r>
            <w:r>
              <w:rPr>
                <w:b/>
                <w:sz w:val="16"/>
              </w:rPr>
              <w:t>Critical retention c_crit</w:t>
            </w:r>
          </w:p>
        </w:tc>
        <w:tc>
          <w:tcPr>
            <w:tcW w:type="dxa" w:w="1170"/>
            <w:shd w:fill="E6EEF4"/>
          </w:tcPr>
          <w:p>
            <w:pPr>
              <w:keepNext/>
              <w:spacing w:after="0" w:before="0"/>
            </w:pPr>
            <w:r>
              <w:rPr>
                <w:sz w:val="16"/>
              </w:rPr>
            </w:r>
            <w:r>
              <w:rPr>
                <w:b/>
                <w:sz w:val="16"/>
              </w:rPr>
              <w:t>Dual-gate window</w:t>
            </w:r>
          </w:p>
        </w:tc>
        <w:tc>
          <w:tcPr>
            <w:tcW w:type="dxa" w:w="1170"/>
            <w:shd w:fill="E6EEF4"/>
          </w:tcPr>
          <w:p>
            <w:pPr>
              <w:keepNext/>
              <w:spacing w:after="0" w:before="0"/>
            </w:pPr>
            <w:r>
              <w:rPr>
                <w:sz w:val="16"/>
              </w:rPr>
            </w:r>
            <w:r>
              <w:rPr>
                <w:b/>
                <w:sz w:val="16"/>
              </w:rPr>
              <w:t>Observed accepted operating points</w:t>
            </w:r>
          </w:p>
        </w:tc>
      </w:tr>
      <w:tr>
        <w:tc>
          <w:tcPr>
            <w:tcW w:type="dxa" w:w="1170"/>
          </w:tcPr>
          <w:p>
            <w:pPr>
              <w:spacing w:after="0" w:before="0"/>
            </w:pPr>
            <w:r>
              <w:rPr>
                <w:sz w:val="16"/>
              </w:rPr>
            </w:r>
            <w:r>
              <w:rPr>
                <w:sz w:val="16"/>
              </w:rPr>
              <w:t>Shared-program simulation</w:t>
            </w:r>
          </w:p>
        </w:tc>
        <w:tc>
          <w:tcPr>
            <w:tcW w:type="dxa" w:w="1170"/>
          </w:tcPr>
          <w:p>
            <w:pPr>
              <w:spacing w:after="0" w:before="0"/>
            </w:pPr>
            <w:r>
              <w:rPr>
                <w:sz w:val="16"/>
              </w:rPr>
            </w:r>
            <w:r>
              <w:rPr>
                <w:sz w:val="16"/>
              </w:rPr>
              <w:t>planted shared program</w:t>
            </w:r>
          </w:p>
        </w:tc>
        <w:tc>
          <w:tcPr>
            <w:tcW w:type="dxa" w:w="1170"/>
          </w:tcPr>
          <w:p>
            <w:pPr>
              <w:spacing w:after="0" w:before="0"/>
            </w:pPr>
            <w:r>
              <w:rPr>
                <w:sz w:val="16"/>
              </w:rPr>
            </w:r>
            <w:r>
              <w:rPr>
                <w:sz w:val="16"/>
              </w:rPr>
              <w:t>n/a</w:t>
            </w:r>
          </w:p>
        </w:tc>
        <w:tc>
          <w:tcPr>
            <w:tcW w:type="dxa" w:w="1170"/>
          </w:tcPr>
          <w:p>
            <w:pPr>
              <w:spacing w:after="0" w:before="0"/>
            </w:pPr>
            <w:r>
              <w:rPr>
                <w:sz w:val="16"/>
              </w:rPr>
            </w:r>
            <w:r>
              <w:rPr>
                <w:sz w:val="16"/>
              </w:rPr>
              <w:t>n/a</w:t>
            </w:r>
          </w:p>
        </w:tc>
        <w:tc>
          <w:tcPr>
            <w:tcW w:type="dxa" w:w="1170"/>
          </w:tcPr>
          <w:p>
            <w:pPr>
              <w:spacing w:after="0" w:before="0"/>
            </w:pPr>
            <w:r>
              <w:rPr>
                <w:sz w:val="16"/>
              </w:rPr>
            </w:r>
            <w:r>
              <w:rPr>
                <w:sz w:val="16"/>
              </w:rPr>
              <w:t>5.8</w:t>
            </w:r>
          </w:p>
        </w:tc>
        <w:tc>
          <w:tcPr>
            <w:tcW w:type="dxa" w:w="1170"/>
          </w:tcPr>
          <w:p>
            <w:pPr>
              <w:spacing w:after="0" w:before="0"/>
            </w:pPr>
            <w:r>
              <w:rPr>
                <w:sz w:val="16"/>
              </w:rPr>
            </w:r>
            <w:r>
              <w:rPr>
                <w:sz w:val="16"/>
              </w:rPr>
              <w:t>0.28</w:t>
            </w:r>
          </w:p>
        </w:tc>
        <w:tc>
          <w:tcPr>
            <w:tcW w:type="dxa" w:w="1170"/>
          </w:tcPr>
          <w:p>
            <w:pPr>
              <w:spacing w:after="0" w:before="0"/>
            </w:pPr>
            <w:r>
              <w:rPr>
                <w:sz w:val="16"/>
              </w:rPr>
            </w:r>
            <w:r>
              <w:rPr>
                <w:sz w:val="16"/>
              </w:rPr>
              <w:t>empty</w:t>
            </w:r>
          </w:p>
        </w:tc>
        <w:tc>
          <w:tcPr>
            <w:tcW w:type="dxa" w:w="1170"/>
          </w:tcPr>
          <w:p>
            <w:pPr>
              <w:spacing w:after="0" w:before="0"/>
            </w:pPr>
            <w:r>
              <w:rPr>
                <w:sz w:val="16"/>
              </w:rPr>
            </w:r>
            <w:r>
              <w:rPr>
                <w:sz w:val="16"/>
              </w:rPr>
              <w:t>none (by construction)</w:t>
            </w:r>
          </w:p>
        </w:tc>
      </w:tr>
      <w:tr>
        <w:tc>
          <w:tcPr>
            <w:tcW w:type="dxa" w:w="1170"/>
          </w:tcPr>
          <w:p>
            <w:pPr>
              <w:spacing w:after="0" w:before="0"/>
            </w:pPr>
            <w:r>
              <w:rPr>
                <w:sz w:val="16"/>
              </w:rPr>
            </w:r>
            <w:r>
              <w:rPr>
                <w:sz w:val="16"/>
              </w:rPr>
              <w:t>Cervical (35 sections, 34 donors)</w:t>
            </w:r>
          </w:p>
        </w:tc>
        <w:tc>
          <w:tcPr>
            <w:tcW w:type="dxa" w:w="1170"/>
          </w:tcPr>
          <w:p>
            <w:pPr>
              <w:spacing w:after="0" w:before="0"/>
            </w:pPr>
            <w:r>
              <w:rPr>
                <w:sz w:val="16"/>
              </w:rPr>
            </w:r>
            <w:r>
              <w:rPr>
                <w:sz w:val="16"/>
              </w:rPr>
              <w:t>ordinal severity</w:t>
            </w:r>
          </w:p>
        </w:tc>
        <w:tc>
          <w:tcPr>
            <w:tcW w:type="dxa" w:w="1170"/>
          </w:tcPr>
          <w:p>
            <w:pPr>
              <w:spacing w:after="0" w:before="0"/>
            </w:pPr>
            <w:r>
              <w:rPr>
                <w:sz w:val="16"/>
              </w:rPr>
            </w:r>
            <w:r>
              <w:rPr>
                <w:sz w:val="16"/>
              </w:rPr>
              <w:t>0.42</w:t>
            </w:r>
          </w:p>
        </w:tc>
        <w:tc>
          <w:tcPr>
            <w:tcW w:type="dxa" w:w="1170"/>
          </w:tcPr>
          <w:p>
            <w:pPr>
              <w:spacing w:after="0" w:before="0"/>
            </w:pPr>
            <w:r>
              <w:rPr>
                <w:sz w:val="16"/>
              </w:rPr>
            </w:r>
            <w:r>
              <w:rPr>
                <w:sz w:val="16"/>
              </w:rPr>
              <w:t>≈ 0.176</w:t>
            </w:r>
          </w:p>
        </w:tc>
        <w:tc>
          <w:tcPr>
            <w:tcW w:type="dxa" w:w="1170"/>
          </w:tcPr>
          <w:p>
            <w:pPr>
              <w:spacing w:after="0" w:before="0"/>
            </w:pPr>
            <w:r>
              <w:rPr>
                <w:sz w:val="16"/>
              </w:rPr>
            </w:r>
            <w:r>
              <w:rPr>
                <w:sz w:val="16"/>
              </w:rPr>
              <w:t>≈ 2.4</w:t>
            </w:r>
          </w:p>
        </w:tc>
        <w:tc>
          <w:tcPr>
            <w:tcW w:type="dxa" w:w="1170"/>
          </w:tcPr>
          <w:p>
            <w:pPr>
              <w:spacing w:after="0" w:before="0"/>
            </w:pPr>
            <w:r>
              <w:rPr>
                <w:sz w:val="16"/>
              </w:rPr>
            </w:r>
            <w:r>
              <w:rPr>
                <w:sz w:val="16"/>
              </w:rPr>
              <w:t>0.69</w:t>
            </w:r>
          </w:p>
        </w:tc>
        <w:tc>
          <w:tcPr>
            <w:tcW w:type="dxa" w:w="1170"/>
          </w:tcPr>
          <w:p>
            <w:pPr>
              <w:spacing w:after="0" w:before="0"/>
            </w:pPr>
            <w:r>
              <w:rPr>
                <w:sz w:val="16"/>
              </w:rPr>
            </w:r>
            <w:r>
              <w:rPr>
                <w:sz w:val="16"/>
              </w:rPr>
              <w:t>empty</w:t>
            </w:r>
          </w:p>
        </w:tc>
        <w:tc>
          <w:tcPr>
            <w:tcW w:type="dxa" w:w="1170"/>
          </w:tcPr>
          <w:p>
            <w:pPr>
              <w:spacing w:after="0" w:before="0"/>
            </w:pPr>
            <w:r>
              <w:rPr>
                <w:sz w:val="16"/>
              </w:rPr>
            </w:r>
            <w:r>
              <w:rPr>
                <w:sz w:val="16"/>
              </w:rPr>
              <w:t>none; bistable, no stable point at any dose</w:t>
            </w:r>
          </w:p>
        </w:tc>
      </w:tr>
      <w:tr>
        <w:tc>
          <w:tcPr>
            <w:tcW w:type="dxa" w:w="1170"/>
          </w:tcPr>
          <w:p>
            <w:pPr>
              <w:spacing w:after="0" w:before="0"/>
            </w:pPr>
            <w:r>
              <w:rPr>
                <w:sz w:val="16"/>
              </w:rPr>
            </w:r>
            <w:r>
              <w:rPr>
                <w:sz w:val="16"/>
              </w:rPr>
              <w:t>Head and neck (16 patients, GSE268014)</w:t>
            </w:r>
          </w:p>
        </w:tc>
        <w:tc>
          <w:tcPr>
            <w:tcW w:type="dxa" w:w="1170"/>
          </w:tcPr>
          <w:p>
            <w:pPr>
              <w:spacing w:after="0" w:before="0"/>
            </w:pPr>
            <w:r>
              <w:rPr>
                <w:sz w:val="16"/>
              </w:rPr>
            </w:r>
            <w:r>
              <w:rPr>
                <w:sz w:val="16"/>
              </w:rPr>
              <w:t>etiological (HPV)</w:t>
            </w:r>
          </w:p>
        </w:tc>
        <w:tc>
          <w:tcPr>
            <w:tcW w:type="dxa" w:w="1170"/>
          </w:tcPr>
          <w:p>
            <w:pPr>
              <w:spacing w:after="0" w:before="0"/>
            </w:pPr>
            <w:r>
              <w:rPr>
                <w:sz w:val="16"/>
              </w:rPr>
            </w:r>
            <w:r>
              <w:rPr>
                <w:sz w:val="16"/>
              </w:rPr>
              <w:t>0.59</w:t>
            </w:r>
          </w:p>
        </w:tc>
        <w:tc>
          <w:tcPr>
            <w:tcW w:type="dxa" w:w="1170"/>
          </w:tcPr>
          <w:p>
            <w:pPr>
              <w:spacing w:after="0" w:before="0"/>
            </w:pPr>
            <w:r>
              <w:rPr>
                <w:sz w:val="16"/>
              </w:rPr>
            </w:r>
            <w:r>
              <w:rPr>
                <w:sz w:val="16"/>
              </w:rPr>
              <w:t>≈ 0.27</w:t>
            </w:r>
          </w:p>
        </w:tc>
        <w:tc>
          <w:tcPr>
            <w:tcW w:type="dxa" w:w="1170"/>
          </w:tcPr>
          <w:p>
            <w:pPr>
              <w:spacing w:after="0" w:before="0"/>
            </w:pPr>
            <w:r>
              <w:rPr>
                <w:sz w:val="16"/>
              </w:rPr>
            </w:r>
            <w:r>
              <w:rPr>
                <w:sz w:val="16"/>
              </w:rPr>
              <w:t>2.18</w:t>
            </w:r>
          </w:p>
        </w:tc>
        <w:tc>
          <w:tcPr>
            <w:tcW w:type="dxa" w:w="1170"/>
          </w:tcPr>
          <w:p>
            <w:pPr>
              <w:spacing w:after="0" w:before="0"/>
            </w:pPr>
            <w:r>
              <w:rPr>
                <w:sz w:val="16"/>
              </w:rPr>
            </w:r>
            <w:r>
              <w:rPr>
                <w:sz w:val="16"/>
              </w:rPr>
              <w:t>0.75</w:t>
            </w:r>
          </w:p>
        </w:tc>
        <w:tc>
          <w:tcPr>
            <w:tcW w:type="dxa" w:w="1170"/>
          </w:tcPr>
          <w:p>
            <w:pPr>
              <w:spacing w:after="0" w:before="0"/>
            </w:pPr>
            <w:r>
              <w:rPr>
                <w:sz w:val="16"/>
              </w:rPr>
            </w:r>
            <w:r>
              <w:rPr>
                <w:sz w:val="16"/>
              </w:rPr>
              <w:t>non-empty</w:t>
            </w:r>
          </w:p>
        </w:tc>
        <w:tc>
          <w:tcPr>
            <w:tcW w:type="dxa" w:w="1170"/>
          </w:tcPr>
          <w:p>
            <w:pPr>
              <w:spacing w:after="0" w:before="0"/>
            </w:pPr>
            <w:r>
              <w:rPr>
                <w:sz w:val="16"/>
              </w:rPr>
            </w:r>
            <w:r>
              <w:rPr>
                <w:sz w:val="16"/>
              </w:rPr>
              <w:t>leakage axis 7/9 at λ ∈ {0.5, 1, 2}; both axes 1/9 (λ = 2, retention 0.73); R 0.38–0.60</w:t>
            </w:r>
          </w:p>
        </w:tc>
      </w:tr>
      <w:tr>
        <w:tc>
          <w:tcPr>
            <w:tcW w:type="dxa" w:w="1170"/>
          </w:tcPr>
          <w:p>
            <w:pPr>
              <w:spacing w:after="0" w:before="0"/>
            </w:pPr>
            <w:r>
              <w:rPr>
                <w:sz w:val="16"/>
              </w:rPr>
            </w:r>
            <w:r>
              <w:rPr>
                <w:sz w:val="16"/>
              </w:rPr>
              <w:t>Prostate (52 patients, GSE278936)</w:t>
            </w:r>
          </w:p>
        </w:tc>
        <w:tc>
          <w:tcPr>
            <w:tcW w:type="dxa" w:w="1170"/>
          </w:tcPr>
          <w:p>
            <w:pPr>
              <w:spacing w:after="0" w:before="0"/>
            </w:pPr>
            <w:r>
              <w:rPr>
                <w:sz w:val="16"/>
              </w:rPr>
            </w:r>
            <w:r>
              <w:rPr>
                <w:sz w:val="16"/>
              </w:rPr>
              <w:t>benign vs tumour</w:t>
            </w:r>
          </w:p>
        </w:tc>
        <w:tc>
          <w:tcPr>
            <w:tcW w:type="dxa" w:w="1170"/>
          </w:tcPr>
          <w:p>
            <w:pPr>
              <w:spacing w:after="0" w:before="0"/>
            </w:pPr>
            <w:r>
              <w:rPr>
                <w:sz w:val="16"/>
              </w:rPr>
            </w:r>
            <w:r>
              <w:rPr>
                <w:sz w:val="16"/>
              </w:rPr>
              <w:t>0.288</w:t>
            </w:r>
          </w:p>
        </w:tc>
        <w:tc>
          <w:tcPr>
            <w:tcW w:type="dxa" w:w="1170"/>
          </w:tcPr>
          <w:p>
            <w:pPr>
              <w:spacing w:after="0" w:before="0"/>
            </w:pPr>
            <w:r>
              <w:rPr>
                <w:sz w:val="16"/>
              </w:rPr>
            </w:r>
            <w:r>
              <w:rPr>
                <w:sz w:val="16"/>
              </w:rPr>
              <w:t>≈ 0.143</w:t>
            </w:r>
          </w:p>
        </w:tc>
        <w:tc>
          <w:tcPr>
            <w:tcW w:type="dxa" w:w="1170"/>
          </w:tcPr>
          <w:p>
            <w:pPr>
              <w:spacing w:after="0" w:before="0"/>
            </w:pPr>
            <w:r>
              <w:rPr>
                <w:sz w:val="16"/>
              </w:rPr>
            </w:r>
            <w:r>
              <w:rPr>
                <w:sz w:val="16"/>
              </w:rPr>
              <w:t>≈ 2.0</w:t>
            </w:r>
          </w:p>
        </w:tc>
        <w:tc>
          <w:tcPr>
            <w:tcW w:type="dxa" w:w="1170"/>
          </w:tcPr>
          <w:p>
            <w:pPr>
              <w:spacing w:after="0" w:before="0"/>
            </w:pPr>
            <w:r>
              <w:rPr>
                <w:sz w:val="16"/>
              </w:rPr>
            </w:r>
            <w:r>
              <w:rPr>
                <w:sz w:val="16"/>
              </w:rPr>
              <w:t>0.80</w:t>
            </w:r>
          </w:p>
        </w:tc>
        <w:tc>
          <w:tcPr>
            <w:tcW w:type="dxa" w:w="1170"/>
          </w:tcPr>
          <w:p>
            <w:pPr>
              <w:spacing w:after="0" w:before="0"/>
            </w:pPr>
            <w:r>
              <w:rPr>
                <w:sz w:val="16"/>
              </w:rPr>
            </w:r>
            <w:r>
              <w:rPr>
                <w:sz w:val="16"/>
              </w:rPr>
              <w:t>narrow</w:t>
            </w:r>
          </w:p>
        </w:tc>
        <w:tc>
          <w:tcPr>
            <w:tcW w:type="dxa" w:w="1170"/>
          </w:tcPr>
          <w:p>
            <w:pPr>
              <w:spacing w:after="0" w:before="0"/>
            </w:pPr>
            <w:r>
              <w:rPr>
                <w:sz w:val="16"/>
              </w:rPr>
            </w:r>
            <w:r>
              <w:rPr>
                <w:sz w:val="16"/>
              </w:rPr>
              <w:t>λ = 1.0 only, 2 of 3 seeds on both axes (LDI 1.51; re-run 1.46 ± 0.86; R 0.60; retention 0.74–0.76); single operating point with measured spread, see text</w:t>
            </w:r>
          </w:p>
        </w:tc>
      </w:tr>
      <w:tr>
        <w:tc>
          <w:tcPr>
            <w:tcW w:type="dxa" w:w="1170"/>
          </w:tcPr>
          <w:p>
            <w:pPr>
              <w:spacing w:after="0" w:before="0"/>
            </w:pPr>
            <w:r>
              <w:rPr>
                <w:sz w:val="16"/>
              </w:rPr>
            </w:r>
            <w:r>
              <w:rPr>
                <w:sz w:val="16"/>
              </w:rPr>
              <w:t>Cervix ROI-level, GSE316098 (186 compartments, 7 specimens, 6 patients); label: patient risk</w:t>
            </w:r>
          </w:p>
        </w:tc>
        <w:tc>
          <w:tcPr>
            <w:tcW w:type="dxa" w:w="1170"/>
          </w:tcPr>
          <w:p>
            <w:pPr>
              <w:spacing w:after="0" w:before="0"/>
            </w:pPr>
            <w:r>
              <w:rPr>
                <w:sz w:val="16"/>
              </w:rPr>
            </w:r>
            <w:r>
              <w:rPr>
                <w:sz w:val="16"/>
              </w:rPr>
              <w:t>ordinal risk stratum</w:t>
            </w:r>
          </w:p>
        </w:tc>
        <w:tc>
          <w:tcPr>
            <w:tcW w:type="dxa" w:w="1170"/>
          </w:tcPr>
          <w:p>
            <w:pPr>
              <w:spacing w:after="0" w:before="0"/>
            </w:pPr>
            <w:r>
              <w:rPr>
                <w:sz w:val="16"/>
              </w:rPr>
            </w:r>
            <w:r>
              <w:rPr>
                <w:sz w:val="16"/>
              </w:rPr>
              <w:t>0.75</w:t>
            </w:r>
          </w:p>
        </w:tc>
        <w:tc>
          <w:tcPr>
            <w:tcW w:type="dxa" w:w="1170"/>
          </w:tcPr>
          <w:p>
            <w:pPr>
              <w:spacing w:after="0" w:before="0"/>
            </w:pPr>
            <w:r>
              <w:rPr>
                <w:sz w:val="16"/>
              </w:rPr>
            </w:r>
            <w:r>
              <w:rPr>
                <w:sz w:val="16"/>
              </w:rPr>
              <w:t>≈ 0.080</w:t>
            </w:r>
          </w:p>
        </w:tc>
        <w:tc>
          <w:tcPr>
            <w:tcW w:type="dxa" w:w="1170"/>
          </w:tcPr>
          <w:p>
            <w:pPr>
              <w:spacing w:after="0" w:before="0"/>
            </w:pPr>
            <w:r>
              <w:rPr>
                <w:sz w:val="16"/>
              </w:rPr>
            </w:r>
            <w:r>
              <w:rPr>
                <w:sz w:val="16"/>
              </w:rPr>
              <w:t>9.34</w:t>
            </w:r>
          </w:p>
        </w:tc>
        <w:tc>
          <w:tcPr>
            <w:tcW w:type="dxa" w:w="1170"/>
          </w:tcPr>
          <w:p>
            <w:pPr>
              <w:spacing w:after="0" w:before="0"/>
            </w:pPr>
            <w:r>
              <w:rPr>
                <w:sz w:val="16"/>
              </w:rPr>
            </w:r>
            <w:r>
              <w:rPr>
                <w:sz w:val="16"/>
              </w:rPr>
              <w:t>0.18</w:t>
            </w:r>
          </w:p>
        </w:tc>
        <w:tc>
          <w:tcPr>
            <w:tcW w:type="dxa" w:w="1170"/>
          </w:tcPr>
          <w:p>
            <w:pPr>
              <w:spacing w:after="0" w:before="0"/>
            </w:pPr>
            <w:r>
              <w:rPr>
                <w:sz w:val="16"/>
              </w:rPr>
            </w:r>
            <w:r>
              <w:rPr>
                <w:sz w:val="16"/>
              </w:rPr>
              <w:t>empty</w:t>
            </w:r>
          </w:p>
        </w:tc>
        <w:tc>
          <w:tcPr>
            <w:tcW w:type="dxa" w:w="1170"/>
          </w:tcPr>
          <w:p>
            <w:pPr>
              <w:spacing w:after="0" w:before="0"/>
            </w:pPr>
            <w:r>
              <w:rPr>
                <w:sz w:val="16"/>
              </w:rPr>
            </w:r>
            <w:r>
              <w:rPr>
                <w:sz w:val="16"/>
              </w:rPr>
              <w:t>none (0 of 12 dosed cells on both axes; leakage axis also 0 of 12)</w:t>
            </w:r>
          </w:p>
        </w:tc>
      </w:tr>
      <w:tr>
        <w:tc>
          <w:tcPr>
            <w:tcW w:type="dxa" w:w="1170"/>
          </w:tcPr>
          <w:p>
            <w:pPr>
              <w:spacing w:after="0" w:before="0"/>
            </w:pPr>
            <w:r>
              <w:rPr>
                <w:sz w:val="16"/>
              </w:rPr>
            </w:r>
            <w:r>
              <w:rPr>
                <w:sz w:val="16"/>
              </w:rPr>
              <w:t>Cervix ROI-level, GSE316098; label: Silva invasion pattern, annotated per ROI</w:t>
            </w:r>
          </w:p>
        </w:tc>
        <w:tc>
          <w:tcPr>
            <w:tcW w:type="dxa" w:w="1170"/>
          </w:tcPr>
          <w:p>
            <w:pPr>
              <w:spacing w:after="0" w:before="0"/>
            </w:pPr>
            <w:r>
              <w:rPr>
                <w:sz w:val="16"/>
              </w:rPr>
            </w:r>
            <w:r>
              <w:rPr>
                <w:sz w:val="16"/>
              </w:rPr>
              <w:t>ordinal histologic pattern</w:t>
            </w:r>
          </w:p>
        </w:tc>
        <w:tc>
          <w:tcPr>
            <w:tcW w:type="dxa" w:w="1170"/>
          </w:tcPr>
          <w:p>
            <w:pPr>
              <w:spacing w:after="0" w:before="0"/>
            </w:pPr>
            <w:r>
              <w:rPr>
                <w:sz w:val="16"/>
              </w:rPr>
            </w:r>
            <w:r>
              <w:rPr>
                <w:sz w:val="16"/>
              </w:rPr>
              <w:t>0.80</w:t>
            </w:r>
          </w:p>
        </w:tc>
        <w:tc>
          <w:tcPr>
            <w:tcW w:type="dxa" w:w="1170"/>
          </w:tcPr>
          <w:p>
            <w:pPr>
              <w:spacing w:after="0" w:before="0"/>
            </w:pPr>
            <w:r>
              <w:rPr>
                <w:sz w:val="16"/>
              </w:rPr>
            </w:r>
            <w:r>
              <w:rPr>
                <w:sz w:val="16"/>
              </w:rPr>
              <w:t>≈ 0.077</w:t>
            </w:r>
          </w:p>
        </w:tc>
        <w:tc>
          <w:tcPr>
            <w:tcW w:type="dxa" w:w="1170"/>
          </w:tcPr>
          <w:p>
            <w:pPr>
              <w:spacing w:after="0" w:before="0"/>
            </w:pPr>
            <w:r>
              <w:rPr>
                <w:sz w:val="16"/>
              </w:rPr>
            </w:r>
            <w:r>
              <w:rPr>
                <w:sz w:val="16"/>
              </w:rPr>
              <w:t>10.39</w:t>
            </w:r>
          </w:p>
        </w:tc>
        <w:tc>
          <w:tcPr>
            <w:tcW w:type="dxa" w:w="1170"/>
          </w:tcPr>
          <w:p>
            <w:pPr>
              <w:spacing w:after="0" w:before="0"/>
            </w:pPr>
            <w:r>
              <w:rPr>
                <w:sz w:val="16"/>
              </w:rPr>
            </w:r>
            <w:r>
              <w:rPr>
                <w:sz w:val="16"/>
              </w:rPr>
              <w:t>0.16</w:t>
            </w:r>
          </w:p>
        </w:tc>
        <w:tc>
          <w:tcPr>
            <w:tcW w:type="dxa" w:w="1170"/>
          </w:tcPr>
          <w:p>
            <w:pPr>
              <w:spacing w:after="0" w:before="0"/>
            </w:pPr>
            <w:r>
              <w:rPr>
                <w:sz w:val="16"/>
              </w:rPr>
            </w:r>
            <w:r>
              <w:rPr>
                <w:sz w:val="16"/>
              </w:rPr>
              <w:t>empty</w:t>
            </w:r>
          </w:p>
        </w:tc>
        <w:tc>
          <w:tcPr>
            <w:tcW w:type="dxa" w:w="1170"/>
          </w:tcPr>
          <w:p>
            <w:pPr>
              <w:spacing w:after="0" w:before="0"/>
            </w:pPr>
            <w:r>
              <w:rPr>
                <w:sz w:val="16"/>
              </w:rPr>
            </w:r>
            <w:r>
              <w:rPr>
                <w:sz w:val="16"/>
              </w:rPr>
              <w:t>none (0 of 12 on both axes; leakage axis also 0 of 12)</w:t>
            </w:r>
          </w:p>
        </w:tc>
      </w:tr>
      <w:tr>
        <w:tc>
          <w:tcPr>
            <w:tcW w:type="dxa" w:w="1170"/>
          </w:tcPr>
          <w:p>
            <w:pPr>
              <w:spacing w:after="0" w:before="0"/>
            </w:pPr>
            <w:r>
              <w:rPr>
                <w:sz w:val="16"/>
              </w:rPr>
            </w:r>
            <w:r>
              <w:rPr>
                <w:sz w:val="16"/>
              </w:rPr>
              <w:t>Cervix ROI-level, GSE316098; label: ROI cell type, epithelium versus stroma</w:t>
            </w:r>
          </w:p>
        </w:tc>
        <w:tc>
          <w:tcPr>
            <w:tcW w:type="dxa" w:w="1170"/>
          </w:tcPr>
          <w:p>
            <w:pPr>
              <w:spacing w:after="0" w:before="0"/>
            </w:pPr>
            <w:r>
              <w:rPr>
                <w:sz w:val="16"/>
              </w:rPr>
            </w:r>
            <w:r>
              <w:rPr>
                <w:sz w:val="16"/>
              </w:rPr>
              <w:t>nominal, orthogonal to group</w:t>
            </w:r>
          </w:p>
        </w:tc>
        <w:tc>
          <w:tcPr>
            <w:tcW w:type="dxa" w:w="1170"/>
          </w:tcPr>
          <w:p>
            <w:pPr>
              <w:spacing w:after="0" w:before="0"/>
            </w:pPr>
            <w:r>
              <w:rPr>
                <w:sz w:val="16"/>
              </w:rPr>
            </w:r>
            <w:r>
              <w:rPr>
                <w:sz w:val="16"/>
              </w:rPr>
              <w:t>0.71</w:t>
            </w:r>
          </w:p>
        </w:tc>
        <w:tc>
          <w:tcPr>
            <w:tcW w:type="dxa" w:w="1170"/>
          </w:tcPr>
          <w:p>
            <w:pPr>
              <w:spacing w:after="0" w:before="0"/>
            </w:pPr>
            <w:r>
              <w:rPr>
                <w:sz w:val="16"/>
              </w:rPr>
            </w:r>
            <w:r>
              <w:rPr>
                <w:sz w:val="16"/>
              </w:rPr>
              <w:t>≈ 0.084</w:t>
            </w:r>
          </w:p>
        </w:tc>
        <w:tc>
          <w:tcPr>
            <w:tcW w:type="dxa" w:w="1170"/>
          </w:tcPr>
          <w:p>
            <w:pPr>
              <w:spacing w:after="0" w:before="0"/>
            </w:pPr>
            <w:r>
              <w:rPr>
                <w:sz w:val="16"/>
              </w:rPr>
            </w:r>
            <w:r>
              <w:rPr>
                <w:sz w:val="16"/>
              </w:rPr>
              <w:t>8.49</w:t>
            </w:r>
          </w:p>
        </w:tc>
        <w:tc>
          <w:tcPr>
            <w:tcW w:type="dxa" w:w="1170"/>
          </w:tcPr>
          <w:p>
            <w:pPr>
              <w:spacing w:after="0" w:before="0"/>
            </w:pPr>
            <w:r>
              <w:rPr>
                <w:sz w:val="16"/>
              </w:rPr>
            </w:r>
            <w:r>
              <w:rPr>
                <w:sz w:val="16"/>
              </w:rPr>
              <w:t>0.19</w:t>
            </w:r>
          </w:p>
        </w:tc>
        <w:tc>
          <w:tcPr>
            <w:tcW w:type="dxa" w:w="1170"/>
          </w:tcPr>
          <w:p>
            <w:pPr>
              <w:spacing w:after="0" w:before="0"/>
            </w:pPr>
            <w:r>
              <w:rPr>
                <w:sz w:val="16"/>
              </w:rPr>
            </w:r>
            <w:r>
              <w:rPr>
                <w:sz w:val="16"/>
              </w:rPr>
              <w:t>empty</w:t>
            </w:r>
          </w:p>
        </w:tc>
        <w:tc>
          <w:tcPr>
            <w:tcW w:type="dxa" w:w="1170"/>
          </w:tcPr>
          <w:p>
            <w:pPr>
              <w:spacing w:after="0" w:before="0"/>
            </w:pPr>
            <w:r>
              <w:rPr>
                <w:sz w:val="16"/>
              </w:rPr>
            </w:r>
            <w:r>
              <w:rPr>
                <w:sz w:val="16"/>
              </w:rPr>
              <w:t>none (0 of 12 on both axes; leakage axis also 0 of 12)</w:t>
            </w:r>
          </w:p>
        </w:tc>
      </w:tr>
    </w:tbl>
    <w:p/>
    <w:p>
      <w:pPr>
        <w:spacing w:before="200"/>
      </w:pPr>
      <w:r>
        <w:rPr>
          <w:b/>
        </w:rPr>
        <w:t>Table 2. External-cohort dose–response (three seeds, stability variant).</w:t>
      </w:r>
      <w:r>
        <w:t xml:space="preserve"> LDI against the 1.645 gate and</w:t>
      </w:r>
    </w:p>
    <w:p>
      <w:r>
        <w:t>R = τ_LDO/τ_in at each adversarial dose λ, for the head-and-neck and prostate cohorts of the validation</w:t>
      </w:r>
    </w:p>
    <w:p>
      <w:r>
        <w:t>domain. Values are from the stability-hardened three-seed graph-attention run (300 epochs). "Gate passes" counts seeds whose LDI falls below 1.645, i.e. the leakage-reduction axis of the acceptance protocol; a dose can pass that axis and still be excluded by the safety axis, which is what happens at λ = 5 on head and neck. R is reported over the seeds that pass at that dose; pooled over all seven accepted head-and-neck cells the range is 0.38–0.60, the figure quoted in the text. Primary runs are reported; the independent prostate re-run is noted. "Gate passes" is a per-seed count on both cohorts: at λ = 1.0 on prostate the three seeds give LDI 1.41, 1.44 and 1.70, i.e. two of three below the gate, for a mean of 1.51. We nonetheless carry the prostate verdict on the mean rather than on the seed count, because the spread between seeds at that dose (SD 0.16, and 0.86 in the independent re-run) is wider than the distance from the mean to the gate; the head-and-neck figure of 7/9 is quoted as a seed count because there all three seeds are sub-gate at λ = 0.5 with a spread of 0.25. Applying the fidelity axis in addition (τ_LDO ≥ 0.7 · τ_base, with τ_base = 0.59 on head and neck and 0.288 on prostate) leaves 1 of 9 head-and-neck cells accepted (seed 1 at λ = 2) and 2 of 9 prostate cells (both at λ = 1.0); realized retention τ_LDO/τ_base at leakage-passing cells is 0.46–0.73 on head and neck and 0.67–0.76 on prostate, which is why c = 0.7 binds rather than being vacuous here. The last row shows a dose the gate rejects despite carrying the numerically best endpoint. Baseline (λ = 0) LDI in this configuration is 2.18 for head and neck and 2.04 for prostate; the head-to-head comparison of Table 3 uses a cheaper configuration (single seed, 100 epochs, not stability-hardened) whose head-and-neck baseline LDI was 1.28, and the two are not interchangeable.</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rPr>
          <w:tblHeader/>
          <w:tblHeader/>
        </w:trPr>
        <w:tc>
          <w:tcPr>
            <w:tcW w:type="dxa" w:w="1337"/>
            <w:shd w:fill="E6EEF4"/>
          </w:tcPr>
          <w:p>
            <w:pPr>
              <w:keepNext/>
              <w:spacing w:after="0" w:before="0"/>
            </w:pPr>
            <w:r>
              <w:rPr>
                <w:sz w:val="16"/>
              </w:rPr>
            </w:r>
            <w:r>
              <w:rPr>
                <w:b/>
                <w:sz w:val="16"/>
              </w:rPr>
              <w:t>Cohort</w:t>
            </w:r>
          </w:p>
        </w:tc>
        <w:tc>
          <w:tcPr>
            <w:tcW w:type="dxa" w:w="1337"/>
            <w:shd w:fill="E6EEF4"/>
          </w:tcPr>
          <w:p>
            <w:pPr>
              <w:keepNext/>
              <w:spacing w:after="0" w:before="0"/>
            </w:pPr>
            <w:r>
              <w:rPr>
                <w:sz w:val="16"/>
              </w:rPr>
            </w:r>
            <w:r>
              <w:rPr>
                <w:b/>
                <w:sz w:val="16"/>
              </w:rPr>
              <w:t>λ</w:t>
            </w:r>
          </w:p>
        </w:tc>
        <w:tc>
          <w:tcPr>
            <w:tcW w:type="dxa" w:w="1337"/>
            <w:shd w:fill="E6EEF4"/>
          </w:tcPr>
          <w:p>
            <w:pPr>
              <w:keepNext/>
              <w:spacing w:after="0" w:before="0"/>
            </w:pPr>
            <w:r>
              <w:rPr>
                <w:sz w:val="16"/>
              </w:rPr>
            </w:r>
            <w:r>
              <w:rPr>
                <w:b/>
                <w:sz w:val="16"/>
              </w:rPr>
              <w:t>mean LDI</w:t>
            </w:r>
          </w:p>
        </w:tc>
        <w:tc>
          <w:tcPr>
            <w:tcW w:type="dxa" w:w="1337"/>
            <w:shd w:fill="E6EEF4"/>
          </w:tcPr>
          <w:p>
            <w:pPr>
              <w:keepNext/>
              <w:spacing w:after="0" w:before="0"/>
            </w:pPr>
            <w:r>
              <w:rPr>
                <w:sz w:val="16"/>
              </w:rPr>
            </w:r>
            <w:r>
              <w:rPr>
                <w:b/>
                <w:sz w:val="16"/>
              </w:rPr>
              <w:t>Gate passes (seeds)</w:t>
            </w:r>
          </w:p>
        </w:tc>
        <w:tc>
          <w:tcPr>
            <w:tcW w:type="dxa" w:w="1337"/>
            <w:shd w:fill="E6EEF4"/>
          </w:tcPr>
          <w:p>
            <w:pPr>
              <w:keepNext/>
              <w:spacing w:after="0" w:before="0"/>
            </w:pPr>
            <w:r>
              <w:rPr>
                <w:sz w:val="16"/>
              </w:rPr>
            </w:r>
            <w:r>
              <w:rPr>
                <w:b/>
                <w:sz w:val="16"/>
              </w:rPr>
              <w:t>τ_LDO</w:t>
            </w:r>
          </w:p>
        </w:tc>
        <w:tc>
          <w:tcPr>
            <w:tcW w:type="dxa" w:w="1337"/>
            <w:shd w:fill="E6EEF4"/>
          </w:tcPr>
          <w:p>
            <w:pPr>
              <w:keepNext/>
              <w:spacing w:after="0" w:before="0"/>
            </w:pPr>
            <w:r>
              <w:rPr>
                <w:sz w:val="16"/>
              </w:rPr>
            </w:r>
            <w:r>
              <w:rPr>
                <w:b/>
                <w:sz w:val="16"/>
              </w:rPr>
              <w:t>R</w:t>
            </w:r>
          </w:p>
        </w:tc>
        <w:tc>
          <w:tcPr>
            <w:tcW w:type="dxa" w:w="1337"/>
            <w:shd w:fill="E6EEF4"/>
          </w:tcPr>
          <w:p>
            <w:pPr>
              <w:keepNext/>
              <w:spacing w:after="0" w:before="0"/>
            </w:pPr>
            <w:r>
              <w:rPr>
                <w:sz w:val="16"/>
              </w:rPr>
            </w:r>
            <w:r>
              <w:rPr>
                <w:b/>
                <w:sz w:val="16"/>
              </w:rPr>
              <w:t>Note</w:t>
            </w:r>
          </w:p>
        </w:tc>
      </w:tr>
      <w:tr>
        <w:tc>
          <w:tcPr>
            <w:tcW w:type="dxa" w:w="1337"/>
          </w:tcPr>
          <w:p>
            <w:pPr>
              <w:spacing w:after="0" w:before="0"/>
            </w:pPr>
            <w:r>
              <w:rPr>
                <w:sz w:val="16"/>
              </w:rPr>
            </w:r>
            <w:r>
              <w:rPr>
                <w:sz w:val="16"/>
              </w:rPr>
              <w:t>Head and neck (16)</w:t>
            </w:r>
          </w:p>
        </w:tc>
        <w:tc>
          <w:tcPr>
            <w:tcW w:type="dxa" w:w="1337"/>
          </w:tcPr>
          <w:p>
            <w:pPr>
              <w:spacing w:after="0" w:before="0"/>
            </w:pPr>
            <w:r>
              <w:rPr>
                <w:sz w:val="16"/>
              </w:rPr>
            </w:r>
            <w:r>
              <w:rPr>
                <w:sz w:val="16"/>
              </w:rPr>
              <w:t>0</w:t>
            </w:r>
          </w:p>
        </w:tc>
        <w:tc>
          <w:tcPr>
            <w:tcW w:type="dxa" w:w="1337"/>
          </w:tcPr>
          <w:p>
            <w:pPr>
              <w:spacing w:after="0" w:before="0"/>
            </w:pPr>
            <w:r>
              <w:rPr>
                <w:sz w:val="16"/>
              </w:rPr>
            </w:r>
            <w:r>
              <w:rPr>
                <w:sz w:val="16"/>
              </w:rPr>
              <w:t>2.18 (1.88–2.49)</w:t>
            </w:r>
          </w:p>
        </w:tc>
        <w:tc>
          <w:tcPr>
            <w:tcW w:type="dxa" w:w="1337"/>
          </w:tcPr>
          <w:p>
            <w:pPr>
              <w:spacing w:after="0" w:before="0"/>
            </w:pPr>
            <w:r>
              <w:rPr>
                <w:sz w:val="16"/>
              </w:rPr>
            </w:r>
            <w:r>
              <w:rPr>
                <w:sz w:val="16"/>
              </w:rPr>
              <w:t>0/3</w:t>
            </w:r>
          </w:p>
        </w:tc>
        <w:tc>
          <w:tcPr>
            <w:tcW w:type="dxa" w:w="1337"/>
          </w:tcPr>
          <w:p>
            <w:pPr>
              <w:spacing w:after="0" w:before="0"/>
            </w:pPr>
            <w:r>
              <w:rPr>
                <w:sz w:val="16"/>
              </w:rPr>
            </w:r>
            <w:r>
              <w:rPr>
                <w:sz w:val="16"/>
              </w:rPr>
              <w:t>0.59 (0.50–0.68)</w:t>
            </w:r>
          </w:p>
        </w:tc>
        <w:tc>
          <w:tcPr>
            <w:tcW w:type="dxa" w:w="1337"/>
          </w:tcPr>
          <w:p>
            <w:pPr>
              <w:spacing w:after="0" w:before="0"/>
            </w:pPr>
            <w:r>
              <w:rPr>
                <w:sz w:val="16"/>
              </w:rPr>
            </w:r>
            <w:r>
              <w:rPr>
                <w:sz w:val="16"/>
              </w:rPr>
              <w:t>0.69–0.94</w:t>
            </w:r>
          </w:p>
        </w:tc>
        <w:tc>
          <w:tcPr>
            <w:tcW w:type="dxa" w:w="1337"/>
          </w:tcPr>
          <w:p>
            <w:pPr>
              <w:spacing w:after="0" w:before="0"/>
            </w:pPr>
            <w:r>
              <w:rPr>
                <w:sz w:val="16"/>
              </w:rPr>
            </w:r>
            <w:r>
              <w:rPr>
                <w:sz w:val="16"/>
              </w:rPr>
              <w:t>baseline above gate</w:t>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0.5</w:t>
            </w:r>
          </w:p>
        </w:tc>
        <w:tc>
          <w:tcPr>
            <w:tcW w:type="dxa" w:w="1337"/>
          </w:tcPr>
          <w:p>
            <w:pPr>
              <w:spacing w:after="0" w:before="0"/>
            </w:pPr>
            <w:r>
              <w:rPr>
                <w:sz w:val="16"/>
              </w:rPr>
            </w:r>
            <w:r>
              <w:rPr>
                <w:sz w:val="16"/>
              </w:rPr>
              <w:t>1.22 (1.13–1.37)</w:t>
            </w:r>
          </w:p>
        </w:tc>
        <w:tc>
          <w:tcPr>
            <w:tcW w:type="dxa" w:w="1337"/>
          </w:tcPr>
          <w:p>
            <w:pPr>
              <w:spacing w:after="0" w:before="0"/>
            </w:pPr>
            <w:r>
              <w:rPr>
                <w:sz w:val="16"/>
              </w:rPr>
            </w:r>
            <w:r>
              <w:rPr>
                <w:sz w:val="16"/>
              </w:rPr>
              <w:t>3/3</w:t>
            </w:r>
          </w:p>
        </w:tc>
        <w:tc>
          <w:tcPr>
            <w:tcW w:type="dxa" w:w="1337"/>
          </w:tcPr>
          <w:p>
            <w:pPr>
              <w:spacing w:after="0" w:before="0"/>
            </w:pPr>
            <w:r>
              <w:rPr>
                <w:sz w:val="16"/>
              </w:rPr>
            </w:r>
            <w:r>
              <w:rPr>
                <w:sz w:val="16"/>
              </w:rPr>
              <w:t>0.35 (0.32–0.39)</w:t>
            </w:r>
          </w:p>
        </w:tc>
        <w:tc>
          <w:tcPr>
            <w:tcW w:type="dxa" w:w="1337"/>
          </w:tcPr>
          <w:p>
            <w:pPr>
              <w:spacing w:after="0" w:before="0"/>
            </w:pPr>
            <w:r>
              <w:rPr>
                <w:sz w:val="16"/>
              </w:rPr>
            </w:r>
            <w:r>
              <w:rPr>
                <w:sz w:val="16"/>
              </w:rPr>
              <w:t>0.44–0.53</w:t>
            </w:r>
          </w:p>
        </w:tc>
        <w:tc>
          <w:tcPr>
            <w:tcW w:type="dxa" w:w="1337"/>
          </w:tcPr>
          <w:p>
            <w:pPr>
              <w:spacing w:after="0" w:before="0"/>
            </w:pPr>
            <w:r>
              <w:rPr>
                <w:sz w:val="16"/>
              </w:rPr>
            </w:r>
            <w:r>
              <w:rPr>
                <w:sz w:val="16"/>
              </w:rPr>
              <w:t>minimum LDI; all seeds accepted</w:t>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1</w:t>
            </w:r>
          </w:p>
        </w:tc>
        <w:tc>
          <w:tcPr>
            <w:tcW w:type="dxa" w:w="1337"/>
          </w:tcPr>
          <w:p>
            <w:pPr>
              <w:spacing w:after="0" w:before="0"/>
            </w:pPr>
            <w:r>
              <w:rPr>
                <w:sz w:val="16"/>
              </w:rPr>
            </w:r>
            <w:r>
              <w:rPr>
                <w:sz w:val="16"/>
              </w:rPr>
              <w:t>1.27 (0.95–1.82)</w:t>
            </w:r>
          </w:p>
        </w:tc>
        <w:tc>
          <w:tcPr>
            <w:tcW w:type="dxa" w:w="1337"/>
          </w:tcPr>
          <w:p>
            <w:pPr>
              <w:spacing w:after="0" w:before="0"/>
            </w:pPr>
            <w:r>
              <w:rPr>
                <w:sz w:val="16"/>
              </w:rPr>
            </w:r>
            <w:r>
              <w:rPr>
                <w:sz w:val="16"/>
              </w:rPr>
              <w:t>2/3</w:t>
            </w:r>
          </w:p>
        </w:tc>
        <w:tc>
          <w:tcPr>
            <w:tcW w:type="dxa" w:w="1337"/>
          </w:tcPr>
          <w:p>
            <w:pPr>
              <w:spacing w:after="0" w:before="0"/>
            </w:pPr>
            <w:r>
              <w:rPr>
                <w:sz w:val="16"/>
              </w:rPr>
            </w:r>
            <w:r>
              <w:rPr>
                <w:sz w:val="16"/>
              </w:rPr>
              <w:t>0.37 (0.27–0.52)</w:t>
            </w:r>
          </w:p>
        </w:tc>
        <w:tc>
          <w:tcPr>
            <w:tcW w:type="dxa" w:w="1337"/>
          </w:tcPr>
          <w:p>
            <w:pPr>
              <w:spacing w:after="0" w:before="0"/>
            </w:pPr>
            <w:r>
              <w:rPr>
                <w:sz w:val="16"/>
              </w:rPr>
            </w:r>
            <w:r>
              <w:rPr>
                <w:sz w:val="16"/>
              </w:rPr>
              <w:t>0.38–0.41</w:t>
            </w:r>
          </w:p>
        </w:tc>
        <w:tc>
          <w:tcPr>
            <w:tcW w:type="dxa" w:w="1337"/>
          </w:tcPr>
          <w:p>
            <w:pPr>
              <w:spacing w:after="0" w:before="0"/>
            </w:pPr>
            <w:r>
              <w:rPr>
                <w:sz w:val="16"/>
              </w:rPr>
            </w:r>
            <w:r>
              <w:rPr>
                <w:sz w:val="16"/>
              </w:rPr>
              <w:t>accepted</w:t>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2</w:t>
            </w:r>
          </w:p>
        </w:tc>
        <w:tc>
          <w:tcPr>
            <w:tcW w:type="dxa" w:w="1337"/>
          </w:tcPr>
          <w:p>
            <w:pPr>
              <w:spacing w:after="0" w:before="0"/>
            </w:pPr>
            <w:r>
              <w:rPr>
                <w:sz w:val="16"/>
              </w:rPr>
            </w:r>
            <w:r>
              <w:rPr>
                <w:sz w:val="16"/>
              </w:rPr>
              <w:t>1.55 (1.32–1.73)</w:t>
            </w:r>
          </w:p>
        </w:tc>
        <w:tc>
          <w:tcPr>
            <w:tcW w:type="dxa" w:w="1337"/>
          </w:tcPr>
          <w:p>
            <w:pPr>
              <w:spacing w:after="0" w:before="0"/>
            </w:pPr>
            <w:r>
              <w:rPr>
                <w:sz w:val="16"/>
              </w:rPr>
            </w:r>
            <w:r>
              <w:rPr>
                <w:sz w:val="16"/>
              </w:rPr>
              <w:t>2/3</w:t>
            </w:r>
          </w:p>
        </w:tc>
        <w:tc>
          <w:tcPr>
            <w:tcW w:type="dxa" w:w="1337"/>
          </w:tcPr>
          <w:p>
            <w:pPr>
              <w:spacing w:after="0" w:before="0"/>
            </w:pPr>
            <w:r>
              <w:rPr>
                <w:sz w:val="16"/>
              </w:rPr>
            </w:r>
            <w:r>
              <w:rPr>
                <w:sz w:val="16"/>
              </w:rPr>
              <w:t>0.44 (0.39–0.50)</w:t>
            </w:r>
          </w:p>
        </w:tc>
        <w:tc>
          <w:tcPr>
            <w:tcW w:type="dxa" w:w="1337"/>
          </w:tcPr>
          <w:p>
            <w:pPr>
              <w:spacing w:after="0" w:before="0"/>
            </w:pPr>
            <w:r>
              <w:rPr>
                <w:sz w:val="16"/>
              </w:rPr>
            </w:r>
            <w:r>
              <w:rPr>
                <w:sz w:val="16"/>
              </w:rPr>
              <w:t>0.59</w:t>
            </w:r>
          </w:p>
        </w:tc>
        <w:tc>
          <w:tcPr>
            <w:tcW w:type="dxa" w:w="1337"/>
          </w:tcPr>
          <w:p>
            <w:pPr>
              <w:spacing w:after="0" w:before="0"/>
            </w:pPr>
            <w:r>
              <w:rPr>
                <w:sz w:val="16"/>
              </w:rPr>
            </w:r>
            <w:r>
              <w:rPr>
                <w:sz w:val="16"/>
              </w:rPr>
              <w:t>accepted</w:t>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5</w:t>
            </w:r>
          </w:p>
        </w:tc>
        <w:tc>
          <w:tcPr>
            <w:tcW w:type="dxa" w:w="1337"/>
          </w:tcPr>
          <w:p>
            <w:pPr>
              <w:spacing w:after="0" w:before="0"/>
            </w:pPr>
            <w:r>
              <w:rPr>
                <w:sz w:val="16"/>
              </w:rPr>
            </w:r>
            <w:r>
              <w:rPr>
                <w:sz w:val="16"/>
              </w:rPr>
              <w:t>1.34 (0.33–2.19)</w:t>
            </w:r>
          </w:p>
        </w:tc>
        <w:tc>
          <w:tcPr>
            <w:tcW w:type="dxa" w:w="1337"/>
          </w:tcPr>
          <w:p>
            <w:pPr>
              <w:spacing w:after="0" w:before="0"/>
            </w:pPr>
            <w:r>
              <w:rPr>
                <w:sz w:val="16"/>
              </w:rPr>
            </w:r>
            <w:r>
              <w:rPr>
                <w:sz w:val="16"/>
              </w:rPr>
              <w:t>2/3</w:t>
            </w:r>
          </w:p>
        </w:tc>
        <w:tc>
          <w:tcPr>
            <w:tcW w:type="dxa" w:w="1337"/>
          </w:tcPr>
          <w:p>
            <w:pPr>
              <w:spacing w:after="0" w:before="0"/>
            </w:pPr>
            <w:r>
              <w:rPr>
                <w:sz w:val="16"/>
              </w:rPr>
            </w:r>
            <w:r>
              <w:rPr>
                <w:sz w:val="16"/>
              </w:rPr>
              <w:t>0.37 (0.09–0.64)</w:t>
            </w:r>
          </w:p>
        </w:tc>
        <w:tc>
          <w:tcPr>
            <w:tcW w:type="dxa" w:w="1337"/>
          </w:tcPr>
          <w:p>
            <w:pPr>
              <w:spacing w:after="0" w:before="0"/>
            </w:pPr>
            <w:r>
              <w:rPr>
                <w:sz w:val="16"/>
              </w:rPr>
            </w:r>
            <w:r>
              <w:rPr>
                <w:sz w:val="16"/>
              </w:rPr>
              <w:t>0.13–0.90</w:t>
            </w:r>
          </w:p>
        </w:tc>
        <w:tc>
          <w:tcPr>
            <w:tcW w:type="dxa" w:w="1337"/>
          </w:tcPr>
          <w:p>
            <w:pPr>
              <w:spacing w:after="0" w:before="0"/>
            </w:pPr>
            <w:r>
              <w:rPr>
                <w:sz w:val="16"/>
              </w:rPr>
            </w:r>
            <w:r>
              <w:rPr>
                <w:sz w:val="16"/>
              </w:rPr>
              <w:t>rebounding, seed-unstable; excluded by the safety axis</w:t>
            </w:r>
          </w:p>
        </w:tc>
      </w:tr>
      <w:tr>
        <w:tc>
          <w:tcPr>
            <w:tcW w:type="dxa" w:w="1337"/>
          </w:tcPr>
          <w:p>
            <w:pPr>
              <w:spacing w:after="0" w:before="0"/>
            </w:pPr>
            <w:r>
              <w:rPr>
                <w:sz w:val="16"/>
              </w:rPr>
            </w:r>
            <w:r>
              <w:rPr>
                <w:sz w:val="16"/>
              </w:rPr>
              <w:t>Prostate (52)</w:t>
            </w:r>
          </w:p>
        </w:tc>
        <w:tc>
          <w:tcPr>
            <w:tcW w:type="dxa" w:w="1337"/>
          </w:tcPr>
          <w:p>
            <w:pPr>
              <w:spacing w:after="0" w:before="0"/>
            </w:pPr>
            <w:r>
              <w:rPr>
                <w:sz w:val="16"/>
              </w:rPr>
            </w:r>
            <w:r>
              <w:rPr>
                <w:sz w:val="16"/>
              </w:rPr>
              <w:t>0</w:t>
            </w:r>
          </w:p>
        </w:tc>
        <w:tc>
          <w:tcPr>
            <w:tcW w:type="dxa" w:w="1337"/>
          </w:tcPr>
          <w:p>
            <w:pPr>
              <w:spacing w:after="0" w:before="0"/>
            </w:pPr>
            <w:r>
              <w:rPr>
                <w:sz w:val="16"/>
              </w:rPr>
            </w:r>
            <w:r>
              <w:rPr>
                <w:sz w:val="16"/>
              </w:rPr>
              <w:t>2.04 ± 0.25</w:t>
            </w:r>
          </w:p>
        </w:tc>
        <w:tc>
          <w:tcPr>
            <w:tcW w:type="dxa" w:w="1337"/>
          </w:tcPr>
          <w:p>
            <w:pPr>
              <w:spacing w:after="0" w:before="0"/>
            </w:pPr>
            <w:r>
              <w:rPr>
                <w:sz w:val="16"/>
              </w:rPr>
            </w:r>
            <w:r>
              <w:rPr>
                <w:sz w:val="16"/>
              </w:rPr>
              <w:t>0/3</w:t>
            </w:r>
          </w:p>
        </w:tc>
        <w:tc>
          <w:tcPr>
            <w:tcW w:type="dxa" w:w="1337"/>
          </w:tcPr>
          <w:p>
            <w:pPr>
              <w:spacing w:after="0" w:before="0"/>
            </w:pPr>
            <w:r>
              <w:rPr>
                <w:sz w:val="16"/>
              </w:rPr>
            </w:r>
            <w:r>
              <w:rPr>
                <w:sz w:val="16"/>
              </w:rPr>
              <w:t>0.288 ± 0.034</w:t>
            </w:r>
          </w:p>
        </w:tc>
        <w:tc>
          <w:tcPr>
            <w:tcW w:type="dxa" w:w="1337"/>
          </w:tcPr>
          <w:p>
            <w:pPr>
              <w:spacing w:after="0" w:before="0"/>
            </w:pPr>
            <w:r>
              <w:rPr>
                <w:sz w:val="16"/>
              </w:rPr>
            </w:r>
            <w:r>
              <w:rPr>
                <w:sz w:val="16"/>
              </w:rPr>
              <w:t>0.76</w:t>
            </w:r>
          </w:p>
        </w:tc>
        <w:tc>
          <w:tcPr>
            <w:tcW w:type="dxa" w:w="1337"/>
          </w:tcPr>
          <w:p>
            <w:pPr>
              <w:spacing w:after="0" w:before="0"/>
            </w:pPr>
            <w:r>
              <w:rPr>
                <w:sz w:val="16"/>
              </w:rPr>
            </w:r>
            <w:r>
              <w:rPr>
                <w:sz w:val="16"/>
              </w:rPr>
              <w:t>baseline above gate</w:t>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0.5</w:t>
            </w:r>
          </w:p>
        </w:tc>
        <w:tc>
          <w:tcPr>
            <w:tcW w:type="dxa" w:w="1337"/>
          </w:tcPr>
          <w:p>
            <w:pPr>
              <w:spacing w:after="0" w:before="0"/>
            </w:pPr>
            <w:r>
              <w:rPr>
                <w:sz w:val="16"/>
              </w:rPr>
            </w:r>
            <w:r>
              <w:rPr>
                <w:sz w:val="16"/>
              </w:rPr>
              <w:t>2.01</w:t>
            </w:r>
          </w:p>
        </w:tc>
        <w:tc>
          <w:tcPr>
            <w:tcW w:type="dxa" w:w="1337"/>
          </w:tcPr>
          <w:p>
            <w:pPr>
              <w:spacing w:after="0" w:before="0"/>
            </w:pPr>
            <w:r>
              <w:rPr>
                <w:sz w:val="16"/>
              </w:rPr>
            </w:r>
            <w:r>
              <w:rPr>
                <w:sz w:val="16"/>
              </w:rPr>
              <w:t>0/3</w:t>
            </w:r>
          </w:p>
        </w:tc>
        <w:tc>
          <w:tcPr>
            <w:tcW w:type="dxa" w:w="1337"/>
          </w:tcPr>
          <w:p>
            <w:pPr>
              <w:spacing w:after="0" w:before="0"/>
            </w:pPr>
            <w:r>
              <w:rPr>
                <w:sz w:val="16"/>
              </w:rPr>
            </w:r>
            <w:r>
              <w:rPr>
                <w:sz w:val="16"/>
              </w:rPr>
              <w:t>0.296</w:t>
            </w:r>
          </w:p>
        </w:tc>
        <w:tc>
          <w:tcPr>
            <w:tcW w:type="dxa" w:w="1337"/>
          </w:tcPr>
          <w:p>
            <w:pPr>
              <w:spacing w:after="0" w:before="0"/>
            </w:pPr>
            <w:r>
              <w:rPr>
                <w:sz w:val="16"/>
              </w:rPr>
            </w:r>
            <w:r>
              <w:rPr>
                <w:sz w:val="16"/>
              </w:rPr>
              <w:t>0.78</w:t>
            </w:r>
          </w:p>
        </w:tc>
        <w:tc>
          <w:tcPr>
            <w:tcW w:type="dxa" w:w="1337"/>
          </w:tcPr>
          <w:p>
            <w:pPr>
              <w:spacing w:after="0" w:before="0"/>
            </w:pPr>
            <w:r>
              <w:rPr>
                <w:sz w:val="16"/>
              </w:rPr>
            </w:r>
            <w:r>
              <w:rPr>
                <w:sz w:val="16"/>
              </w:rPr>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1.0</w:t>
            </w:r>
          </w:p>
        </w:tc>
        <w:tc>
          <w:tcPr>
            <w:tcW w:type="dxa" w:w="1337"/>
          </w:tcPr>
          <w:p>
            <w:pPr>
              <w:spacing w:after="0" w:before="0"/>
            </w:pPr>
            <w:r>
              <w:rPr>
                <w:sz w:val="16"/>
              </w:rPr>
            </w:r>
            <w:r>
              <w:rPr>
                <w:sz w:val="16"/>
              </w:rPr>
              <w:t>1.51</w:t>
            </w:r>
          </w:p>
        </w:tc>
        <w:tc>
          <w:tcPr>
            <w:tcW w:type="dxa" w:w="1337"/>
          </w:tcPr>
          <w:p>
            <w:pPr>
              <w:spacing w:after="0" w:before="0"/>
            </w:pPr>
            <w:r>
              <w:rPr>
                <w:sz w:val="16"/>
              </w:rPr>
            </w:r>
            <w:r>
              <w:rPr>
                <w:sz w:val="16"/>
              </w:rPr>
              <w:t>2/3</w:t>
            </w:r>
          </w:p>
        </w:tc>
        <w:tc>
          <w:tcPr>
            <w:tcW w:type="dxa" w:w="1337"/>
          </w:tcPr>
          <w:p>
            <w:pPr>
              <w:spacing w:after="0" w:before="0"/>
            </w:pPr>
            <w:r>
              <w:rPr>
                <w:sz w:val="16"/>
              </w:rPr>
            </w:r>
            <w:r>
              <w:rPr>
                <w:sz w:val="16"/>
              </w:rPr>
              <w:t>0.229</w:t>
            </w:r>
          </w:p>
        </w:tc>
        <w:tc>
          <w:tcPr>
            <w:tcW w:type="dxa" w:w="1337"/>
          </w:tcPr>
          <w:p>
            <w:pPr>
              <w:spacing w:after="0" w:before="0"/>
            </w:pPr>
            <w:r>
              <w:rPr>
                <w:sz w:val="16"/>
              </w:rPr>
            </w:r>
            <w:r>
              <w:rPr>
                <w:sz w:val="16"/>
              </w:rPr>
              <w:t>0.60 (0.56–0.67)</w:t>
            </w:r>
          </w:p>
        </w:tc>
        <w:tc>
          <w:tcPr>
            <w:tcW w:type="dxa" w:w="1337"/>
          </w:tcPr>
          <w:p>
            <w:pPr>
              <w:spacing w:after="0" w:before="0"/>
            </w:pPr>
            <w:r>
              <w:rPr>
                <w:sz w:val="16"/>
              </w:rPr>
            </w:r>
            <w:r>
              <w:rPr>
                <w:sz w:val="16"/>
              </w:rPr>
              <w:t>accepted; re-run 1.46 ± 0.86 (R = 0.58)</w:t>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2.0</w:t>
            </w:r>
          </w:p>
        </w:tc>
        <w:tc>
          <w:tcPr>
            <w:tcW w:type="dxa" w:w="1337"/>
          </w:tcPr>
          <w:p>
            <w:pPr>
              <w:spacing w:after="0" w:before="0"/>
            </w:pPr>
            <w:r>
              <w:rPr>
                <w:sz w:val="16"/>
              </w:rPr>
            </w:r>
            <w:r>
              <w:rPr>
                <w:sz w:val="16"/>
              </w:rPr>
              <w:t>1.73</w:t>
            </w:r>
          </w:p>
        </w:tc>
        <w:tc>
          <w:tcPr>
            <w:tcW w:type="dxa" w:w="1337"/>
          </w:tcPr>
          <w:p>
            <w:pPr>
              <w:spacing w:after="0" w:before="0"/>
            </w:pPr>
            <w:r>
              <w:rPr>
                <w:sz w:val="16"/>
              </w:rPr>
            </w:r>
            <w:r>
              <w:rPr>
                <w:sz w:val="16"/>
              </w:rPr>
              <w:t>0/3</w:t>
            </w:r>
          </w:p>
        </w:tc>
        <w:tc>
          <w:tcPr>
            <w:tcW w:type="dxa" w:w="1337"/>
          </w:tcPr>
          <w:p>
            <w:pPr>
              <w:spacing w:after="0" w:before="0"/>
            </w:pPr>
            <w:r>
              <w:rPr>
                <w:sz w:val="16"/>
              </w:rPr>
            </w:r>
            <w:r>
              <w:rPr>
                <w:sz w:val="16"/>
              </w:rPr>
              <w:t>0.262</w:t>
            </w:r>
          </w:p>
        </w:tc>
        <w:tc>
          <w:tcPr>
            <w:tcW w:type="dxa" w:w="1337"/>
          </w:tcPr>
          <w:p>
            <w:pPr>
              <w:spacing w:after="0" w:before="0"/>
            </w:pPr>
            <w:r>
              <w:rPr>
                <w:sz w:val="16"/>
              </w:rPr>
            </w:r>
            <w:r>
              <w:rPr>
                <w:sz w:val="16"/>
              </w:rPr>
              <w:t>0.69</w:t>
            </w:r>
          </w:p>
        </w:tc>
        <w:tc>
          <w:tcPr>
            <w:tcW w:type="dxa" w:w="1337"/>
          </w:tcPr>
          <w:p>
            <w:pPr>
              <w:spacing w:after="0" w:before="0"/>
            </w:pPr>
            <w:r>
              <w:rPr>
                <w:sz w:val="16"/>
              </w:rPr>
            </w:r>
            <w:r>
              <w:rPr>
                <w:sz w:val="16"/>
              </w:rPr>
            </w:r>
          </w:p>
        </w:tc>
      </w:tr>
      <w:tr>
        <w:tc>
          <w:tcPr>
            <w:tcW w:type="dxa" w:w="1337"/>
          </w:tcPr>
          <w:p>
            <w:pPr>
              <w:spacing w:after="0" w:before="0"/>
            </w:pPr>
            <w:r>
              <w:rPr>
                <w:sz w:val="16"/>
              </w:rPr>
            </w:r>
            <w:r>
              <w:rPr>
                <w:sz w:val="16"/>
              </w:rPr>
            </w:r>
          </w:p>
        </w:tc>
        <w:tc>
          <w:tcPr>
            <w:tcW w:type="dxa" w:w="1337"/>
          </w:tcPr>
          <w:p>
            <w:pPr>
              <w:spacing w:after="0" w:before="0"/>
            </w:pPr>
            <w:r>
              <w:rPr>
                <w:sz w:val="16"/>
              </w:rPr>
            </w:r>
            <w:r>
              <w:rPr>
                <w:sz w:val="16"/>
              </w:rPr>
              <w:t>5.0</w:t>
            </w:r>
          </w:p>
        </w:tc>
        <w:tc>
          <w:tcPr>
            <w:tcW w:type="dxa" w:w="1337"/>
          </w:tcPr>
          <w:p>
            <w:pPr>
              <w:spacing w:after="0" w:before="0"/>
            </w:pPr>
            <w:r>
              <w:rPr>
                <w:sz w:val="16"/>
              </w:rPr>
            </w:r>
            <w:r>
              <w:rPr>
                <w:sz w:val="16"/>
              </w:rPr>
              <w:t>2.17</w:t>
            </w:r>
          </w:p>
        </w:tc>
        <w:tc>
          <w:tcPr>
            <w:tcW w:type="dxa" w:w="1337"/>
          </w:tcPr>
          <w:p>
            <w:pPr>
              <w:spacing w:after="0" w:before="0"/>
            </w:pPr>
            <w:r>
              <w:rPr>
                <w:sz w:val="16"/>
              </w:rPr>
            </w:r>
            <w:r>
              <w:rPr>
                <w:sz w:val="16"/>
              </w:rPr>
              <w:t>0/3</w:t>
            </w:r>
          </w:p>
        </w:tc>
        <w:tc>
          <w:tcPr>
            <w:tcW w:type="dxa" w:w="1337"/>
          </w:tcPr>
          <w:p>
            <w:pPr>
              <w:spacing w:after="0" w:before="0"/>
            </w:pPr>
            <w:r>
              <w:rPr>
                <w:sz w:val="16"/>
              </w:rPr>
            </w:r>
            <w:r>
              <w:rPr>
                <w:sz w:val="16"/>
              </w:rPr>
              <w:t>0.328</w:t>
            </w:r>
          </w:p>
        </w:tc>
        <w:tc>
          <w:tcPr>
            <w:tcW w:type="dxa" w:w="1337"/>
          </w:tcPr>
          <w:p>
            <w:pPr>
              <w:spacing w:after="0" w:before="0"/>
            </w:pPr>
            <w:r>
              <w:rPr>
                <w:sz w:val="16"/>
              </w:rPr>
            </w:r>
            <w:r>
              <w:rPr>
                <w:sz w:val="16"/>
              </w:rPr>
              <w:t>0.86</w:t>
            </w:r>
          </w:p>
        </w:tc>
        <w:tc>
          <w:tcPr>
            <w:tcW w:type="dxa" w:w="1337"/>
          </w:tcPr>
          <w:p>
            <w:pPr>
              <w:spacing w:after="0" w:before="0"/>
            </w:pPr>
            <w:r>
              <w:rPr>
                <w:sz w:val="16"/>
              </w:rPr>
            </w:r>
            <w:r>
              <w:rPr>
                <w:sz w:val="16"/>
              </w:rPr>
              <w:t>gate rejects the numerically best endpoint</w:t>
            </w:r>
          </w:p>
        </w:tc>
      </w:tr>
    </w:tbl>
    <w:p/>
    <w:p>
      <w:pPr>
        <w:spacing w:before="200"/>
      </w:pPr>
      <w:r>
        <w:rPr>
          <w:b/>
        </w:rPr>
        <w:t>Table 3. Head-to-head comparison of deconfounding methods (three seeds).</w:t>
      </w:r>
      <w:r>
        <w:t xml:space="preserve"> Two scale-matched simulations</w:t>
      </w:r>
    </w:p>
    <w:p>
      <w:r>
        <w:t>differing only in the nature of the between-group signal: cohort A carries a strong shared target program</w:t>
      </w:r>
    </w:p>
    <w:p>
      <w:r>
        <w:t>(safety arm: repair must not destroy a real, transferable signal); cohort C carries only an identity</w:t>
      </w:r>
    </w:p>
    <w:p>
      <w:r>
        <w:t>fingerprint confounded with the label (leakage arm: repair must remove it). Columns give LDI, τ_LDO and R</w:t>
      </w:r>
    </w:p>
    <w:p>
      <w:r>
        <w:t>for each arm. Adversarial repair (MRP) removes the cohort-C confound while leaving cohort-A signal at the</w:t>
      </w:r>
    </w:p>
    <w:p>
      <w:r>
        <w:t>ceiling; Group-DRO reduces the in-sample gap but leaves or increases cross-group label dependence; IRM</w:t>
      </w:r>
    </w:p>
    <w:p>
      <w:r>
        <w:t>amplifies the group fingerprint. Cohort C's baseline LDI is +0.345, already below the 1.645 gate, so repair moves the index from a small positive to a small negative value: the confound is removed and the sign flips, but this is not a gate crossing and cannot be read as one, because no gate separated the two states.</w:t>
      </w:r>
    </w:p>
    <w:p>
      <w:pPr>
        <w:spacing w:before="200"/>
      </w:pPr>
      <w:r>
        <w:rPr>
          <w:b/>
        </w:rPr>
        <w:t>Table 4. Cross-domain map for identity leakage.</w:t>
      </w:r>
      <w:r>
        <w:t xml:space="preserve"> The grouping variable is the identity to be removed; the</w:t>
      </w:r>
    </w:p>
    <w:p>
      <w:r>
        <w:t>observation unit is what the model consumes. The final column states the level of evidence for each row:</w:t>
      </w:r>
    </w:p>
    <w:p>
      <w:r>
        <w:t>“validated” means the complete loop of repair, acceptance, endpoint, planted controls and domain readout was</w:t>
      </w:r>
    </w:p>
    <w:p>
      <w:r>
        <w:t>run; “audited” means the instrument and the two decision boundaries were tested on real data in that domain</w:t>
      </w:r>
    </w:p>
    <w:p>
      <w:r>
        <w:t>but without endpoint, planted control or domain readout; “not tested” means the row is a structural</w:t>
      </w:r>
    </w:p>
    <w:p>
      <w:r>
        <w:t>mapping of the same objects, stating conditions under which the protocol would apply, with no experiment</w:t>
      </w:r>
    </w:p>
    <w:p>
      <w:r>
        <w:t>performed. Six of the nine rows are in the last category and carry no claim of transfer.</w:t>
      </w:r>
    </w:p>
    <w:p>
      <w:pPr>
        <w:spacing w:before="200"/>
      </w:pPr>
      <w:r>
        <w:rPr>
          <w:b/>
        </w:rPr>
        <w:t>Table 5. Test of the framework's predictions in two non-biological domains.</w:t>
      </w:r>
      <w:r>
        <w:t xml:space="preserve"> Both cohorts were audited</w:t>
      </w:r>
    </w:p>
    <w:p>
      <w:r>
        <w:t>with the instrument of the validation domain; the encoder was a multilayer-perceptron autoencoder with a</w:t>
      </w:r>
    </w:p>
    <w:p>
      <w:r>
        <w:t>gradient-reversal adversary rather than the graph encoder used in the validation domain. κ is the</w:t>
      </w:r>
    </w:p>
    <w:p>
      <w:r>
        <w:t>normalized mutual information between group and label over all observations. The “dual gate predicted”</w:t>
      </w:r>
    </w:p>
    <w:p>
      <w:r>
        <w:t>column is the prediction made from τ_base/σ̂ before any dose was chosen, and “accepted cells” is what was</w:t>
      </w:r>
    </w:p>
    <w:p>
      <w:r>
        <w:t>observed out of the 12 dosed seed × dose cells (λ &gt; 0); λ = 0 is the unrepaired baseline, not a repair point,</w:t>
      </w:r>
    </w:p>
    <w:p>
      <w:r>
        <w:t>and is excluded from the count. Identity lift is reported as λ = 0 → the most aggressive dose that</w:t>
      </w:r>
    </w:p>
    <w:p>
      <w:r>
        <w:t>reduced it. “τ_LGO retained” is the minimum over doses relative to baseline. “Gap reduction” is the fall in</w:t>
      </w:r>
    </w:p>
    <w:p>
      <w:r>
        <w:t>τ_in − τ_LOO at the best dose. These are tests of predictions, not demonstrations that repair is useful in</w:t>
      </w:r>
    </w:p>
    <w:p>
      <w:r>
        <w:t>these domains.</w:t>
      </w:r>
    </w:p>
    <w:p>
      <w:pPr>
        <w:pStyle w:val="Heading1"/>
      </w:pPr>
      <w:r>
        <w:rPr>
          <w:rFonts w:ascii="Times New Roman" w:hAnsi="Times New Roman"/>
          <w:color w:val="000000"/>
        </w:rPr>
        <w:t>DATA AND CODE AVAILABILITY</w:t>
      </w:r>
    </w:p>
    <w:p>
      <w:r>
        <w:rPr>
          <w:b w:val="0"/>
        </w:rPr>
        <w:t>The public source accessions used for the transcriptomic analyses are GSE208654, GSE217237, GSE268014, GSE278936 and GSE316098, together with the stated 10x Genomics example. HAR and Gas Sensor Array Drift are obtained from the UCI repository. A manuscript snapshot and an associated code snapshot are publicly archived at https://doi.org/10.5281/zenodo.23640979[44], with the linked repository at https://github.com/WorldBMW/pathway-anchored-risk-benchmark (release v1.0.0; commit 73ad0f1710953651c43055afc693f7a18ce93c6f). This deposit is a historical snapshot: its code archive does not contain the cross-domain audit, v28 reanalysis, or main-figure generation scripts used for the present revision. It must not be treated as the complete reproducibility archive for the current results. The additional analysis code, result tables and file-level checksum manifest are provided in the accompanying revision package; public deposition of that package is required for a complete version-matched archive. Source licences and participant-data restrictions remain those of the original deposits; no new participant data were collected.</w:t>
      </w:r>
    </w:p>
    <w:p>
      <w:pPr>
        <w:pStyle w:val="Heading1"/>
      </w:pPr>
      <w:r>
        <w:rPr>
          <w:rFonts w:ascii="Times New Roman" w:hAnsi="Times New Roman"/>
          <w:color w:val="000000"/>
        </w:rPr>
        <w:t>ACKNOWLEDGMENTS</w:t>
      </w:r>
    </w:p>
    <w:p>
      <w:r>
        <w:t>We acknowledge the investigators and participants responsible for the public datasets.</w:t>
      </w:r>
    </w:p>
    <w:p>
      <w:pPr>
        <w:pStyle w:val="Heading1"/>
      </w:pPr>
      <w:r>
        <w:rPr>
          <w:rFonts w:ascii="Times New Roman" w:hAnsi="Times New Roman"/>
          <w:color w:val="000000"/>
        </w:rPr>
        <w:t>AUTHOR CONTRIBUTIONS</w:t>
      </w:r>
    </w:p>
    <w:p>
      <w:r>
        <w:t>M.B.: conceptualization, methodology, software, experiments, writing (original draft). Z.G.: data curation, validation. Y.Z.: investigation, review. Z.N.: resources, review. L.G.: supervision, project administration, writing (review and editing). All authors read and approved the final manuscript.</w:t>
      </w:r>
    </w:p>
    <w:p>
      <w:pPr>
        <w:pStyle w:val="Heading1"/>
      </w:pPr>
      <w:r>
        <w:rPr>
          <w:rFonts w:ascii="Times New Roman" w:hAnsi="Times New Roman"/>
          <w:color w:val="000000"/>
        </w:rPr>
        <w:t>DECLARATION OF INTERESTS</w:t>
      </w:r>
    </w:p>
    <w:p>
      <w:r>
        <w:t>The authors declare no competing interests.</w:t>
      </w:r>
    </w:p>
    <w:p>
      <w:pPr>
        <w:pStyle w:val="Heading1"/>
      </w:pPr>
      <w:r>
        <w:rPr>
          <w:rFonts w:ascii="Times New Roman" w:hAnsi="Times New Roman"/>
          <w:color w:val="000000"/>
        </w:rPr>
        <w:t>DECLARATION OF GENERATIVE AI USE</w:t>
      </w:r>
    </w:p>
    <w:p>
      <w:r>
        <w:t>During manuscript preparation, AI-assisted tools were used for language editing and code review. OpenAI Codex also assisted in drafting and checking analysis scripts. Numerical results were obtained by executing the documented scripts rather than generated as narrative values. Script versions, inputs and outputs are supplied for independent verification. The authors remain responsible for the code, scientific claims and submitted content.</w:t>
      </w:r>
    </w:p>
    <w:p>
      <w:pPr>
        <w:pStyle w:val="Heading1"/>
      </w:pPr>
      <w:r>
        <w:rPr>
          <w:rFonts w:ascii="Times New Roman" w:hAnsi="Times New Roman"/>
          <w:color w:val="000000"/>
        </w:rPr>
        <w:t>SUPPLEMENTAL INFORMATION</w:t>
      </w:r>
    </w:p>
    <w:p>
      <w:pPr>
        <w:spacing w:before="200"/>
      </w:pPr>
      <w:r>
        <w:rPr>
          <w:b/>
        </w:rPr>
        <w:t>Table S1.</w:t>
      </w:r>
      <w:r>
        <w:t xml:space="preserve"> Weak-signal arm: baseline detectability and the λ = 0.5 preconditioning effect (three seeds).</w:t>
      </w:r>
    </w:p>
    <w:p>
      <w:pPr>
        <w:spacing w:before="200"/>
      </w:pPr>
      <w:r>
        <w:rPr>
          <w:b/>
        </w:rPr>
        <w:t>Table S2.</w:t>
      </w:r>
      <w:r>
        <w:t xml:space="preserve"> Identity-confounding arm across stability variants: LDI non-blindness (45 runs) and partial fingerprint clearance.</w:t>
      </w:r>
    </w:p>
    <w:p>
      <w:pPr>
        <w:spacing w:before="200"/>
      </w:pPr>
      <w:r>
        <w:rPr>
          <w:b/>
        </w:rPr>
        <w:t>Table S3.</w:t>
      </w:r>
      <w:r>
        <w:t xml:space="preserve"> Cervical cohort dose–response, stability variant: bistability across seeds (LDI ranges; retention 27–50% at high-dose below-gate runs).</w:t>
      </w:r>
    </w:p>
    <w:p>
      <w:pPr>
        <w:spacing w:before="200"/>
      </w:pPr>
      <w:r>
        <w:rPr>
          <w:b/>
        </w:rPr>
        <w:t>Table S4.</w:t>
      </w:r>
      <w:r>
        <w:t xml:space="preserve"> External cohort: independent non-hardened replication and permutation-depth recheck (B = 2,000 → 10,000; 0 of 15 external-cohort runs changed gate decision; σ̂ change ≤ 4.4%). This recheck concerns permutation depth only; dose-grid drift of σ̂ is a separate quantity and is checked in Table S14.</w:t>
      </w:r>
    </w:p>
    <w:p>
      <w:pPr>
        <w:spacing w:before="200"/>
      </w:pPr>
      <w:r>
        <w:rPr>
          <w:b/>
        </w:rPr>
        <w:t>Table S5.</w:t>
      </w:r>
      <w:r>
        <w:t xml:space="preserve"> GCN backbone: safety (15/15 at ceiling), non-blindness (15/15), external-cohort dose–response.</w:t>
      </w:r>
    </w:p>
    <w:p>
      <w:pPr>
        <w:spacing w:before="200"/>
      </w:pPr>
      <w:r>
        <w:rPr>
          <w:b/>
        </w:rPr>
        <w:t>Table S6.</w:t>
      </w:r>
      <w:r>
        <w:t xml:space="preserve"> Boundary robustness: five seeds at n ∈ {16, 32} (both signals); boundary placement unchanged; signal 1.0: worst repair-dose cell mean 0.56 at n = 16 (damaged) versus 0.90 at n = 32 (intact; boundary in (16, 32]); signal 0.3: 0.16 at n = 16, 0.84 at n = 32 (both damaged; boundary in (32, 64]).</w:t>
      </w:r>
    </w:p>
    <w:p>
      <w:pPr>
        <w:spacing w:before="200"/>
      </w:pPr>
      <w:r>
        <w:rPr>
          <w:b/>
        </w:rPr>
        <w:t>Table S7.</w:t>
      </w:r>
      <w:r>
        <w:t xml:space="preserve"> Gene-direction readout, multi-seed strict pairs: per-seed enrichment of the surviving HPV direction.</w:t>
      </w:r>
    </w:p>
    <w:p>
      <w:pPr>
        <w:spacing w:before="200"/>
      </w:pPr>
      <w:r>
        <w:rPr>
          <w:b/>
        </w:rPr>
        <w:t>Table S8.</w:t>
      </w:r>
      <w:r>
        <w:t xml:space="preserve"> Per-seed phase-grid values for all panels (source data).</w:t>
      </w:r>
    </w:p>
    <w:p>
      <w:pPr>
        <w:spacing w:before="200"/>
      </w:pPr>
      <w:r>
        <w:rPr>
          <w:b/>
        </w:rPr>
        <w:t>Table S9.</w:t>
      </w:r>
      <w:r>
        <w:t xml:space="preserve"> Downstream endpoint under repair: leave-one-donor-out HPV AUROC on the head-and-neck cohort, per seed and dose (baseline 0.906 versus 0.766–0.813 under repair).</w:t>
      </w:r>
    </w:p>
    <w:p>
      <w:pPr>
        <w:spacing w:before="200"/>
      </w:pPr>
      <w:r>
        <w:rPr>
          <w:b/>
        </w:rPr>
        <w:t>Table S10.</w:t>
      </w:r>
      <w:r>
        <w:t xml:space="preserve"> Real-cohort head-to-head comparison on the prostate cohort (GSE278936, 52 patients, three seeds): LDI and τ_LDO for Group-DRO, IRM, and the adversarial repair under a common encoder and dose schedule.</w:t>
      </w:r>
    </w:p>
    <w:p>
      <w:pPr>
        <w:spacing w:before="200"/>
      </w:pPr>
      <w:r>
        <w:rPr>
          <w:b/>
        </w:rPr>
        <w:t>Table S11.</w:t>
      </w:r>
      <w:r>
        <w:t xml:space="preserve"> Downstream endpoints on the cervical and prostate cohorts: leave-one-donor-out AUROC by dose, with in-sample values for reference.</w:t>
      </w:r>
    </w:p>
    <w:p>
      <w:pPr>
        <w:spacing w:before="200"/>
      </w:pPr>
      <w:r>
        <w:rPr>
          <w:b/>
        </w:rPr>
        <w:t>Table S12. Backbone control in the validation domain.</w:t>
      </w:r>
      <w:r>
        <w:t xml:space="preserve"> Two simulated donor cohorts of the validation domain (32 donors, 800 units each, 3,000 genes; arm A: program amplitude 2.5, identity offset 0.3, shared direction; arm C: amplitude 1.2, offset 0.5, spurious direction), three seeds each, dose grid λ ∈ {0, 0.5, 1, 2, 5}, 150 epochs, identical decoder, adversary, gradient-reversal schedule and audit instrument. Only the encoder differs: two-layer graph attention over the unit-level k-nearest-neighbour graph (k = 6) versus a two-layer perceptron of the same widths that performs no message passing, which is the encoder family used in the cross-domain audit. τ_base/σ̂ is computed at λ = 0, before any repair is attempted, and is compared against the Proposition 1 threshold of 2.35 for a retained fraction of c = 0.7. "Accepted cells" counts dosed (λ &gt; 0) seed × dose cells passing both gates: leakage (LDI &lt; 1.645) and fidelity (τ_LDO ≥ 0.7 · τ_base); λ = 0 is the unrepaired baseline and is not a repair point. The two backbones agree on the prediction and on the outcome in both arms.</w:t>
      </w:r>
    </w:p>
    <w:p>
      <w:pPr>
        <w:spacing w:before="200"/>
      </w:pPr>
      <w:r>
        <w:rPr>
          <w:b/>
        </w:rPr>
        <w:t>Table S13.</w:t>
      </w:r>
      <w:r>
        <w:t xml:space="preserve"> Cross-domain sibling-unit inflation, per seed and per dose: τ_LOO, τ_LGO, their difference Δ, LDI, and the dual-gate verdict for all 30 seed × dose cells of the two non-biological cohorts.</w:t>
      </w:r>
    </w:p>
    <w:p>
      <w:pPr>
        <w:spacing w:before="200"/>
      </w:pPr>
      <w:r>
        <w:rPr>
          <w:b/>
        </w:rPr>
        <w:t>Table S14.</w:t>
      </w:r>
      <w:r>
        <w:t xml:space="preserve"> Dose-grid drift of σ̂ and the gate-robustness check that supports the pre-computability claim: for every external-cohort cell, the run's own σ̂, the LDI computed against it, the LDI recomputed against the baseline σ̂, whether the gate decision changes, and the movement of τ_LOO alongside that of σ̂.</w:t>
      </w:r>
    </w:p>
    <w:p>
      <w:pPr>
        <w:spacing w:before="200"/>
      </w:pPr>
      <w:r>
        <w:rPr>
          <w:b/>
        </w:rPr>
        <w:t>Table S15.</w:t>
      </w:r>
      <w:r>
        <w:t xml:space="preserve"> Sensitivity of the feasibility threshold to the retained fraction c: threshold 1.645/c for c ∈ {0.5, 0.6, 0.7, 0.8, 0.9}, and for each cohort whether the dual gate is predicted feasible at that value, together with the realized retention τ_LDO/τ_base observed at leakage-passing cells.</w:t>
      </w:r>
    </w:p>
    <w:p>
      <w:pPr>
        <w:spacing w:before="200"/>
      </w:pPr>
      <w:r>
        <w:rPr>
          <w:b/>
        </w:rPr>
        <w:t>Table S16.</w:t>
      </w:r>
      <w:r>
        <w:t xml:space="preserve"> Unit-resolution control: redefining the unit does not open a sibling channel. The cervical cohort, the spot embedding, the grouping variable and the donor-level severity label are held fixed and only the definition of the unit changes: at K = 1 the unit is the whole section mean-pooled over its spots, so every section is assigned its own group in this control and leave-one-unit-out is identical to leave-one-group-out, making the sibling inflation zero by construction; at K = 3 and K = 8 the spots of each section are partitioned at random into K blocks and each block is mean-pooled into a unit, so each section contributes K sibling units sharing its label. Reported per K, dose and seed: τ_LOO, τ_LGO, their difference Δ, σ̂, LDI, and the group-identity accuracy and lift of a classifier fitted on the same embedding, which is what shows that the absence of a channel is not explained by the embedding having lost donor identity. σ̂ is the null scale at the declared resolution and falls as the number of units rises, so LDI is comparable across cohorts at a fixed resolution and not across resolutions of the same data.</w:t>
      </w:r>
    </w:p>
    <w:p>
      <w:pPr>
        <w:spacing w:before="200"/>
      </w:pPr>
      <w:r>
        <w:t>Table S17. Within-group label variation: the same data, the same grouping, three labels. GSE316098[42] is a NanoString GeoMx cohort of HPV-associated endocervical adenocarcinoma: 186 compartment measurements from 93 ROIs across 7 specimens (6 patients), each ROI carrying its own pathology annotation, so the label varies within a group rather than being a donor-level value broadcast to every unit. Counts were converted to CPM, log1p-transformed and restricted to the 2,000 most variable genes. The feature matrix and the grouping variable are held fixed and only the label changes, along a gradient of group-label coupling: patient risk stratum (κ = 0.225), Silva invasion pattern annotated per ROI (κ = 0.273), and ROI cell type, epithelium versus stroma, balanced within every case and therefore orthogonal to the group (κ = 0.000). At λ = 0 the three arms share one embedding, so encoded identity is identical rather than merely comparable across arms (group-identity lift 6.55x chance in all three), which is what makes this a cleaner test of boundary I than the cross-domain comparison, where identifiability was matched only approximately. Reported per arm, dose and seed: τ_LOO, τ_LGO, their difference Δ, σ̂, LDI, R, the retention of τ_LGO and τ_LOO relative to baseline, group-identity lift, and the verdict on the leakage axis and on both axes. Baseline Δ was +0.3736, +0.3955 and +0.0075 for risk, Silva pattern and cell type, respectively and the per-cell distributions do not overlap; τ_base/σ̂ was 9.34, 10.39 and 8.49 for risk, Silva pattern and cell type, respectively against the 2.35 threshold, the dual gate was predicted empty on all three arms, and 0 of 12 dosed cells passed it on each. Cell type is binary; these results remain descriptive under the recorded unit-permutation reference and case-level grouping.</w:t>
      </w:r>
    </w:p>
    <w:p>
      <w:pPr>
        <w:pStyle w:val="Heading1"/>
      </w:pPr>
      <w:r>
        <w:rPr>
          <w:rFonts w:ascii="Times New Roman" w:hAnsi="Times New Roman"/>
          <w:color w:val="000000"/>
        </w:rPr>
        <w:t>REFERENCES</w:t>
      </w:r>
    </w:p>
    <w:p>
      <w:pPr>
        <w:ind w:left="432" w:hanging="432"/>
      </w:pPr>
      <w:r>
        <w:t>1. Kaufman, S., Rosset, S., Perlich, C., and Stitelman, O. Leakage in data mining: formulation, detection, and avoidance. ACM Trans. Knowl. Discov. Data 6, 1–21 (2012).</w:t>
      </w:r>
    </w:p>
    <w:p>
      <w:pPr>
        <w:ind w:left="432" w:hanging="432"/>
      </w:pPr>
      <w:r>
        <w:t>2. Ganin, Y., and Lempitsky, V. Unsupervised domain adaptation by backpropagation. In Proceedings of the 32nd International Conference on Machine Learning, 1180–1189 (2015).</w:t>
      </w:r>
    </w:p>
    <w:p>
      <w:pPr>
        <w:ind w:left="432" w:hanging="432"/>
      </w:pPr>
      <w:r>
        <w:t>3. Ganin, Y. et al. Domain-adversarial training of neural networks. J. Mach. Learn. Res. 17, 1–35 (2016).</w:t>
      </w:r>
    </w:p>
    <w:p>
      <w:pPr>
        <w:ind w:left="432" w:hanging="432"/>
      </w:pPr>
      <w:r>
        <w:t>4. Geirhos, R. et al. Shortcut learning in deep neural networks. Nat. Mach. Intell. 2, 665–673 (2020).</w:t>
      </w:r>
    </w:p>
    <w:p>
      <w:pPr>
        <w:ind w:left="432" w:hanging="432"/>
      </w:pPr>
      <w:r>
        <w:t>5. Roberts, M. et al. Common pitfalls and recommendations for using machine learning to detect and prognosticate for COVID-19 using chest radiographs and CT scans. Nat. Mach. Intell. 3, 199–217 (2021).</w:t>
      </w:r>
    </w:p>
    <w:p>
      <w:pPr>
        <w:ind w:left="432" w:hanging="432"/>
      </w:pPr>
      <w:r>
        <w:t>6. Zech, J.R. et al. Variable generalization performance of a deep learning model to detect pneumonia in chest radiographs: a cross-sectional study. PLoS Med. 15, e1002683 (2018).</w:t>
      </w:r>
    </w:p>
    <w:p>
      <w:pPr>
        <w:ind w:left="432" w:hanging="432"/>
      </w:pPr>
      <w:r>
        <w:t>7. Saeb, S., Lonini, L., Jayaraman, A., Mohr, D.C., and Kording, K.P. The need to approximate the use-case in clinical machine learning. GigaScience 6, 1–9 (2017).</w:t>
      </w:r>
    </w:p>
    <w:p>
      <w:pPr>
        <w:ind w:left="432" w:hanging="432"/>
      </w:pPr>
      <w:r>
        <w:t>8. Golchin, A., and Surdeanu, M. Time travel in LLMs: tracing data contamination in large language models. In International Conference on Learning Representations (2024).</w:t>
      </w:r>
    </w:p>
    <w:p>
      <w:pPr>
        <w:ind w:left="432" w:hanging="432"/>
      </w:pPr>
      <w:r>
        <w:t>9. Sagawa, S. et al. Distributionally robust neural networks for group shifts: on the importance of regularization for worst-case generalization. In International Conference on Learning Representations (2020).</w:t>
      </w:r>
    </w:p>
    <w:p>
      <w:pPr>
        <w:ind w:left="432" w:hanging="432"/>
      </w:pPr>
      <w:r>
        <w:t>10. Arjovsky, M., Bottou, L., Gulrajani, I., and Lopez-Paz, D. Invariant risk minimization. arXiv:1907.02893 (2019).</w:t>
      </w:r>
    </w:p>
    <w:p>
      <w:pPr>
        <w:ind w:left="432" w:hanging="432"/>
      </w:pPr>
      <w:r>
        <w:t>11. Korsunsky, I. et al. Fast, sensitive and accurate integration of single-cell data with Harmony. Nat. Methods 16, 1289–1296 (2019).</w:t>
      </w:r>
    </w:p>
    <w:p>
      <w:pPr>
        <w:ind w:left="432" w:hanging="432"/>
      </w:pPr>
      <w:r>
        <w:t>12. Lopez, R., Regier, J., Cole, M.B., Jordan, M.I., and Yosef, N. Deep generative modeling for single-cell transcriptomics. Nat. Methods 15, 1053–1058 (2018).</w:t>
      </w:r>
    </w:p>
    <w:p>
      <w:pPr>
        <w:ind w:left="432" w:hanging="432"/>
      </w:pPr>
      <w:r>
        <w:t>13. Veličković, P. et al. Graph attention networks. In International Conference on Learning Representations (2018).</w:t>
      </w:r>
    </w:p>
    <w:p>
      <w:pPr>
        <w:ind w:left="432" w:hanging="432"/>
      </w:pPr>
      <w:r>
        <w:t>14. Kipf, T.N., and Welling, M. Semi-supervised classification with graph convolutional networks. In International Conference on Learning Representations (2017).</w:t>
      </w:r>
    </w:p>
    <w:p>
      <w:pPr>
        <w:ind w:left="432" w:hanging="432"/>
      </w:pPr>
      <w:r>
        <w:t>15. Puram, S.V. et al. Single-cell transcriptomic analysis of primary and metastatic tumor ecosystems in head and neck cancer. Cell 171, 1611–1624 (2017).</w:t>
      </w:r>
    </w:p>
    <w:p>
      <w:pPr>
        <w:ind w:left="432" w:hanging="432"/>
      </w:pPr>
      <w:r>
        <w:t>16. [Dataset] Simkin, D. et al. Spatial analysis of head and neck cancer identifies two ecosystems with distinct modes of epithelial-to-mesenchymal transition. Nat. Genet. 58(9), 2240–2253 (2026). https://doi.org/10.1038/s41588-026-02723-7. GSE268014.</w:t>
      </w:r>
    </w:p>
    <w:p>
      <w:pPr>
        <w:ind w:left="432" w:hanging="432"/>
      </w:pPr>
      <w:r>
        <w:t>17. [Dataset] GSE217237: Spatially resolved transcriptomics of human cervical tissue. Gene Expression Omnibus.</w:t>
      </w:r>
    </w:p>
    <w:p>
      <w:pPr>
        <w:ind w:left="432" w:hanging="432"/>
      </w:pPr>
      <w:r>
        <w:t>18. [Dataset] GSE278936: Spatial transcriptomics of prostate cancer. Gene Expression Omnibus.</w:t>
      </w:r>
    </w:p>
    <w:p>
      <w:pPr>
        <w:ind w:left="432" w:hanging="432"/>
      </w:pPr>
      <w:r>
        <w:t>19. Nishimura, K., Bise, R., and Kojima, Y. Towards spatial transcriptomics-guided pathological image recognition with a batch-agnostic encoder. ISBI (2025). arXiv:2503.07173.</w:t>
      </w:r>
    </w:p>
    <w:p>
      <w:pPr>
        <w:ind w:left="432" w:hanging="432"/>
      </w:pPr>
      <w:r>
        <w:t>20. Mehrabi, N., Morstatter, F., Saxena, N., Lerman, K., and Galstyan, A. A survey on bias and fairness in machine learning. ACM Comput. Surv. 54, 1–35 (2021).</w:t>
      </w:r>
    </w:p>
    <w:p>
      <w:pPr>
        <w:ind w:left="432" w:hanging="432"/>
      </w:pPr>
      <w:r>
        <w:t>21. Wilkinson, M.D. et al. The FAIR guiding principles for scientific data management and stewardship. Sci. Data 3, 160018 (2016).</w:t>
      </w:r>
    </w:p>
    <w:p>
      <w:pPr>
        <w:ind w:left="432" w:hanging="432"/>
      </w:pPr>
      <w:r>
        <w:t>22. Kapoor, S., and Narayanan, A. Leakage and the reproducibility crisis in machine-learning-based science. Patterns 4, 100804 (2023). https://doi.org/10.1016/j.patter.2023.100804.</w:t>
      </w:r>
    </w:p>
    <w:p>
      <w:pPr>
        <w:ind w:left="432" w:hanging="432"/>
      </w:pPr>
      <w:r>
        <w:t>23. [Dataset] Anguita, D., Ghio, A., Oneto, L., Parra, X., and Reyes-Ortiz, J.L. A public domain dataset for human activity recognition using smartphones. In Proceedings of the 21st European Symposium on Artificial Neural Networks, 437–442 (2013).</w:t>
      </w:r>
    </w:p>
    <w:p>
      <w:pPr>
        <w:ind w:left="432" w:hanging="432"/>
      </w:pPr>
      <w:r>
        <w:t>24. [Dataset] Vergara, A., Vembu, S., Ayhan, T., Ryan, M.A., Homer, M.L., and Huerta, R. Chemical gas sensor drift compensation using classifier ensembles. Sens. Actuators B Chem. 166–167, 320–329 (2012).</w:t>
      </w:r>
    </w:p>
    <w:p>
      <w:pPr>
        <w:ind w:left="432" w:hanging="432"/>
      </w:pPr>
      <w:r>
        <w:t>25. [Dataset] Dua, D., and Graff, C. UCI Machine Learning Repository. University of California, Irvine, School of Information and Computer Science (2019).</w:t>
      </w:r>
    </w:p>
    <w:p>
      <w:pPr>
        <w:ind w:left="432" w:hanging="432"/>
      </w:pPr>
      <w:r>
        <w:t>26. Edwards, H., and Storkey, A. Censoring representations with an adversary. arXiv:1511.05897 (2015).</w:t>
      </w:r>
    </w:p>
    <w:p>
      <w:pPr>
        <w:ind w:left="432" w:hanging="432"/>
      </w:pPr>
      <w:r>
        <w:t>27. Xie, Q., Dai, Z., Du, Y., Hovy, E., and Neubig, G. Controllable invariance through adversarial feature learning. In Advances in Neural Information Processing Systems 30 (2017).</w:t>
      </w:r>
    </w:p>
    <w:p>
      <w:pPr>
        <w:ind w:left="432" w:hanging="432"/>
      </w:pPr>
      <w:r>
        <w:t>28. Madras, D., Creager, E., Pitassi, T., and Zemel, R. Learning adversarially fair and transferable representations. In Proceedings of the 35th International Conference on Machine Learning, 3384–3393 (2018).</w:t>
      </w:r>
    </w:p>
    <w:p>
      <w:pPr>
        <w:ind w:left="432" w:hanging="432"/>
      </w:pPr>
      <w:r>
        <w:t>29. Elazar, Y., and Goldberg, Y. Adversarial removal of demographic attributes from text data. In Proceedings of the 2018 Conference on Empirical Methods in Natural Language Processing, 11–21 (2018).</w:t>
      </w:r>
    </w:p>
    <w:p>
      <w:pPr>
        <w:ind w:left="432" w:hanging="432"/>
      </w:pPr>
      <w:r>
        <w:t>30. Alvi, M., Zisserman, A., and Nellåker, C. Turning a blind eye: explicit removal of biases and variation from deep neural network embeddings. In Proceedings of the European Conference on Computer Vision, 556–572 (2018).</w:t>
      </w:r>
    </w:p>
    <w:p>
      <w:pPr>
        <w:ind w:left="432" w:hanging="432"/>
      </w:pPr>
      <w:r>
        <w:t>31. Ravfogel, S., Elazar, Y., Gonen, H., Twiton, M., and Goldberg, Y. Null it out: guarding protected attributes by iterative nullspace projection. In Proceedings of the 58th Annual Meeting of the Association for Computational Linguistics, 7237–7256 (2020).</w:t>
      </w:r>
    </w:p>
    <w:p>
      <w:pPr>
        <w:ind w:left="432" w:hanging="432"/>
      </w:pPr>
      <w:r>
        <w:t>32. Wang, D. et al. iMAP: integration of multiple single-cell datasets by adversarial paired transfer networks. Genome Biol. 22, 63 (2021).</w:t>
      </w:r>
    </w:p>
    <w:p>
      <w:pPr>
        <w:ind w:left="432" w:hanging="432"/>
      </w:pPr>
      <w:r>
        <w:t>33. Guo, T., Chen, Y., Shi, M., Li, X., and Zhang, M.Q. Integration of single cell data by disentangled representation learning. Nucleic Acids Res. 50, e8 (2022).</w:t>
      </w:r>
    </w:p>
    <w:p>
      <w:pPr>
        <w:ind w:left="432" w:hanging="432"/>
      </w:pPr>
      <w:r>
        <w:t>34. Hu, J., Zhong, Y., and Shang, X. A versatile and scalable single-cell data integration algorithm based on domain-adversarial and variational approximation. Brief. Bioinform., bbab400 (2021).</w:t>
      </w:r>
    </w:p>
    <w:p>
      <w:pPr>
        <w:ind w:left="432" w:hanging="432"/>
      </w:pPr>
      <w:r>
        <w:t>35. Zemel, R., Wu, Y., Swersky, K., Pitassi, T., and Dwork, C. Learning fair representations. In Proceedings of the 30th International Conference on Machine Learning, 325–333 (2013).</w:t>
      </w:r>
    </w:p>
    <w:p>
      <w:pPr>
        <w:ind w:left="432" w:hanging="432"/>
      </w:pPr>
      <w:r>
        <w:t>36. Louizos, C., Swersky, K., Li, Y., Welling, M., and Zemel, R. The variational fair autoencoder. arXiv:1511.00830 (2015).</w:t>
      </w:r>
    </w:p>
    <w:p>
      <w:pPr>
        <w:ind w:left="432" w:hanging="432"/>
      </w:pPr>
      <w:r>
        <w:t>37. Barocas, S., Hardt, M., and Narayanan, A. Fairness and Machine Learning: Limitations and Opportunities. MIT Press (2023).</w:t>
      </w:r>
    </w:p>
    <w:p>
      <w:pPr>
        <w:ind w:left="432" w:hanging="432"/>
      </w:pPr>
      <w:r>
        <w:t>38. Ojala, M., and Garriga, G. Permutation tests for studying classifier performance. J. Mach. Learn. Res. 11, 1833–1863 (2010).</w:t>
      </w:r>
    </w:p>
    <w:p>
      <w:pPr>
        <w:ind w:left="432" w:hanging="432"/>
      </w:pPr>
      <w:r>
        <w:t>39. Roberts, D.R., Bahn, V., Ciuti, S., Boyce, M.S., Elith, J., Guillera-Arroita, G., Hauenstein, S., Lahoz-Monfort, J.J., Schröder, B., Thuiller, W., Warton, D.I., Wintle, B.A., Hartig, F., and Dormann, C.F. Cross-validation strategies for data with temporal, spatial, hierarchical, or phylogenetic structure. Ecography 40, 913–929 (2017). https://doi.org/10.1111/ecog.02881.</w:t>
      </w:r>
    </w:p>
    <w:p>
      <w:pPr>
        <w:ind w:left="432" w:hanging="432"/>
      </w:pPr>
      <w:r>
        <w:t>40. Ploton, P., Mortier, F., Réjou-Méchain, M., Barbier, N., Picard, N., Rossi, V., Dormann, C., Cornu, G., Viennois, G., Bayol, N., Lyapustin, A., Gourlet-Fleury, S., and Pélissier, R. Spatial validation reveals poor predictive performance of large-scale ecological mapping models. Nat. Commun. 11, 4540 (2020). https://doi.org/10.1038/s41467-020-18321-y.</w:t>
      </w:r>
    </w:p>
    <w:p>
      <w:pPr>
        <w:ind w:left="432" w:hanging="432"/>
      </w:pPr>
      <w:r>
        <w:t>41. Yagis, E., Atnafu, S.W., García Seco de Herrera, A., Marzi, C., Scheda, R., Giannelli, M., Tessa, C., Citi, L., and Diciotti, S. Effect of data leakage in brain MRI classification using 2D convolutional neural networks. Sci. Rep. 11, 22544 (2021). https://doi.org/10.1038/s41598-021-01681-w.</w:t>
      </w:r>
    </w:p>
    <w:p>
      <w:pPr>
        <w:ind w:left="432" w:hanging="432"/>
      </w:pPr>
      <w:r>
        <w:t>42. [Dataset] Axelrod, M.L., Zhou, R., and Sun, L. Spatial transcriptomic landscape of invasion patterns in human papillomavirus-associated endocervical adenocarcinoma. Sci. Rep. 16, 13246 (2026). https://doi.org/10.1038/s41598-026-43717-z. GSE316098.</w:t>
      </w:r>
    </w:p>
    <w:p>
      <w:pPr>
        <w:ind w:left="432" w:hanging="432"/>
      </w:pPr>
      <w:r>
        <w:t>43. [Dataset] Guo, C., Qu, X., Tang, X., Song, Y., Wang, J., Hua, K., and Qiu, J. Spatiotemporally deciphering the mysterious mechanism of persistent HPV-induced malignant transition and immune remodelling from HPV-infected normal cervix, precancer to cervical cancer: integrating single-cell RNA-sequencing and spatial transcriptome. Clin. Transl. Med. 13, e1219 (2023). https://doi.org/10.1002/ctm2.1219. GSE208654.</w:t>
      </w:r>
    </w:p>
    <w:p>
      <w:r>
        <w:t>44. [Software and manuscript snapshot] WorldBMW. WorldBMW/pathway-anchored-risk-benchmark: v1.0 - MRP-ST Audit Evidence Package (v1.0.0). Zenodo (2026). https://doi.org/10.5281/zenodo.23640979.</w:t>
      </w:r>
    </w:p>
    <w:p>
      <w:r>
        <w:br w:type="page"/>
      </w:r>
    </w:p>
    <w:p>
      <w:pPr>
        <w:pStyle w:val="Heading1"/>
      </w:pPr>
      <w:r>
        <w:rPr>
          <w:color w:val="000000"/>
        </w:rPr>
        <w:t>Figures</w:t>
      </w:r>
    </w:p>
    <w:p>
      <w:r>
        <w:t>Figure 1</w:t>
      </w:r>
    </w:p>
    <w:p>
      <w:r>
        <w:drawing>
          <wp:inline xmlns:a="http://schemas.openxmlformats.org/drawingml/2006/main" xmlns:pic="http://schemas.openxmlformats.org/drawingml/2006/picture">
            <wp:extent cx="5760720" cy="248031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720" cy="2480310"/>
                    </a:xfrm>
                    <a:prstGeom prst="rect"/>
                  </pic:spPr>
                </pic:pic>
              </a:graphicData>
            </a:graphic>
          </wp:inline>
        </w:drawing>
      </w:r>
    </w:p>
    <w:p>
      <w:r>
        <w:t>See the corresponding numbered legend. LDI denotes the archived unit-level label-association index; reference crossing does not certify identity removal. The Results interpretation applies to these archived panels.</w:t>
      </w:r>
    </w:p>
    <w:p>
      <w:r>
        <w:br w:type="page"/>
      </w:r>
    </w:p>
    <w:p>
      <w:r>
        <w:t>Figure 2</w:t>
      </w:r>
    </w:p>
    <w:p>
      <w:r>
        <w:drawing>
          <wp:inline xmlns:a="http://schemas.openxmlformats.org/drawingml/2006/main" xmlns:pic="http://schemas.openxmlformats.org/drawingml/2006/picture">
            <wp:extent cx="5760720" cy="496062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760720" cy="4960620"/>
                    </a:xfrm>
                    <a:prstGeom prst="rect"/>
                  </pic:spPr>
                </pic:pic>
              </a:graphicData>
            </a:graphic>
          </wp:inline>
        </w:drawing>
      </w:r>
    </w:p>
    <w:p>
      <w:r>
        <w:t>See the corresponding numbered legend. LDI denotes the archived unit-level label-association index; reference crossing does not certify identity removal. The Results interpretation applies to these archived panels.</w:t>
      </w:r>
    </w:p>
    <w:p>
      <w:r>
        <w:br w:type="page"/>
      </w:r>
    </w:p>
    <w:p>
      <w:r>
        <w:t>Figure 3</w:t>
      </w:r>
    </w:p>
    <w:p>
      <w:r>
        <w:drawing>
          <wp:inline xmlns:a="http://schemas.openxmlformats.org/drawingml/2006/main" xmlns:pic="http://schemas.openxmlformats.org/drawingml/2006/picture">
            <wp:extent cx="5760720" cy="528066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720" cy="5280660"/>
                    </a:xfrm>
                    <a:prstGeom prst="rect"/>
                  </pic:spPr>
                </pic:pic>
              </a:graphicData>
            </a:graphic>
          </wp:inline>
        </w:drawing>
      </w:r>
    </w:p>
    <w:p>
      <w:r>
        <w:t>See the corresponding numbered legend. LDI denotes the archived unit-level label-association index; reference crossing does not certify identity removal. The Results interpretation applies to these archived panels.</w:t>
      </w:r>
    </w:p>
    <w:p>
      <w:r>
        <w:br w:type="page"/>
      </w:r>
    </w:p>
    <w:p>
      <w:r>
        <w:t>Figure 4</w:t>
      </w:r>
    </w:p>
    <w:p>
      <w:r>
        <w:drawing>
          <wp:inline xmlns:a="http://schemas.openxmlformats.org/drawingml/2006/main" xmlns:pic="http://schemas.openxmlformats.org/drawingml/2006/picture">
            <wp:extent cx="5760720" cy="596646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760720" cy="5966460"/>
                    </a:xfrm>
                    <a:prstGeom prst="rect"/>
                  </pic:spPr>
                </pic:pic>
              </a:graphicData>
            </a:graphic>
          </wp:inline>
        </w:drawing>
      </w:r>
    </w:p>
    <w:p>
      <w:r>
        <w:t>See the corresponding numbered legend. LDI denotes the archived unit-level label-association index; reference crossing does not certify identity removal. The Results interpretation applies to these archived panels.</w:t>
      </w:r>
    </w:p>
    <w:p>
      <w:r>
        <w:br w:type="page"/>
      </w:r>
    </w:p>
    <w:p>
      <w:r>
        <w:t>Figure 5</w:t>
      </w:r>
    </w:p>
    <w:p>
      <w:r>
        <w:drawing>
          <wp:inline xmlns:a="http://schemas.openxmlformats.org/drawingml/2006/main" xmlns:pic="http://schemas.openxmlformats.org/drawingml/2006/picture">
            <wp:extent cx="5760720" cy="4203255"/>
            <wp:docPr id="5" name="Picture 5"/>
            <wp:cNvGraphicFramePr>
              <a:graphicFrameLocks noChangeAspect="1"/>
            </wp:cNvGraphicFramePr>
            <a:graphic>
              <a:graphicData uri="http://schemas.openxmlformats.org/drawingml/2006/picture">
                <pic:pic>
                  <pic:nvPicPr>
                    <pic:cNvPr id="0" name="fig5_crossdomain.png"/>
                    <pic:cNvPicPr/>
                  </pic:nvPicPr>
                  <pic:blipFill>
                    <a:blip r:embed="rId13"/>
                    <a:stretch>
                      <a:fillRect/>
                    </a:stretch>
                  </pic:blipFill>
                  <pic:spPr>
                    <a:xfrm>
                      <a:off x="0" y="0"/>
                      <a:ext cx="5760720" cy="4203255"/>
                    </a:xfrm>
                    <a:prstGeom prst="rect"/>
                  </pic:spPr>
                </pic:pic>
              </a:graphicData>
            </a:graphic>
          </wp:inline>
        </w:drawing>
      </w:r>
    </w:p>
    <w:p>
      <w:r>
        <w:t>See the corresponding numbered legend. LDI denotes the archived unit-level label-association index; reference crossing does not certify identity removal. The Results interpretation applies to these archived panels.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