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2"/>
        </w:rPr>
        <w:t>Cover Letter (Patterns)</w:t>
      </w:r>
    </w:p>
    <w:p>
      <w:r>
        <w:t>[Date]</w:t>
      </w:r>
    </w:p>
    <w:p>
      <w:r>
        <w:t>Dear Editors of Patterns,</w:t>
      </w:r>
    </w:p>
    <w:p>
      <w:r>
        <w:t>We are pleased to submit our manuscript, "An auditable instrument for identity leakage in group-structured data: the sibling-unit trap, decision boundaries, and validation in spatial transcriptomics," for consideration as a Research Article in Patterns.</w:t>
      </w:r>
    </w:p>
    <w:p>
      <w:r>
        <w:t xml:space="preserve">Most real datasets are group-structured: patients contribute several tissue sections, speakers many utterances, hospitals many scans, subjects thousands of sensor windows. When a group contributes more than one observation, a model trained on observation-level splits has a shortcut available: it can encode </w:t>
      </w:r>
      <w:r>
        <w:rPr>
          <w:i/>
        </w:rPr>
        <w:t>which group</w:t>
      </w:r>
      <w:r>
        <w:t xml:space="preserve"> an observation came from rather than the property it is meant to predict. We call this </w:t>
      </w:r>
      <w:r>
        <w:rPr>
          <w:b/>
        </w:rPr>
        <w:t>identity leakage</w:t>
      </w:r>
      <w:r>
        <w:t>, and we treat it as a general data-science failure mode rather than a peculiarity of any single field. We believe this framing, and what it lets us prove, is what makes the work a fit for Patterns rather than for a domain journal.</w:t>
      </w:r>
    </w:p>
    <w:p>
      <w:r>
        <w:rPr>
          <w:b/>
        </w:rPr>
        <w:t>Why this is a Patterns paper and not a spatial-transcriptomics paper.</w:t>
      </w:r>
      <w:r>
        <w:t xml:space="preserve"> We put this first, because the answer to "is this broadly interesting" is not a list of results. First, the object of the paper is a failure of </w:t>
      </w:r>
      <w:r>
        <w:rPr>
          <w:i/>
        </w:rPr>
        <w:t>evaluation</w:t>
      </w:r>
      <w:r>
        <w:t>, not a result in a field. Group structure is present wherever patients, sites, speakers, subjects or batches contribute more than one observation, which is most of applied machine learning; what we measure is a property of the split rather than of the modality, and what we prescribe is a rule about where acceptance is measured, which a practitioner can adopt at no cost and which errs in one direction only. Second, the deliverable is a measurement rather than a model. It takes a representation, a grouping variable, a label and a leave-one-group-out probe, and returns a number in permutation-null units; nothing in the index, in either decision boundary or in the acceptance protocol refers to anything that a transcriptomic cohort specifically supplies. In that respect the paper sits with the cross-field leakage taxonomy of Kapoor and Narayanan (Patterns 4, 100804, 2023), which Patterns published and which remains among the journal's most-read articles: an instrument for measuring and reporting a failure that recurs across fields. Third, spatial transcriptomics is the testbed we chose and not the subject we studied. It offers clean group structure, labels whose coupling to identity varies in kind, public cohorts for external replication, and a simulator with known ground truth, which is what an instrument needs in order to be calibrated rather than merely demonstrated. What that buys, and what it does not, is stated in tiers below: validated end to end in one domain, audited against real data in two non-biological domains that carry no endpoint, and declared untested in the six remaining rows of Table 4.</w:t>
      </w:r>
    </w:p>
    <w:p>
      <w:r>
        <w:t>One point of positioning should be stated at the outset, because it determines how the contribution should be read. Group leakage is not an unrecognised failure mode. It is one of the eight types in the leakage taxonomy of Kapoor and Narayanan (Patterns 4, 100804, 2023), documented there across 294 papers in 17 fields, and blocked or group-disjoint cross-validation is the established prescription wherever data carry temporal, spatial or hierarchical structure. The magnitude is not in dispute either: on brain MRI, splitting at slice level rather than subject level raised reported accuracy by 29 to 55 percentage points across four datasets (Yagis et al., Sci. Rep. 11, 22544, 2021). Those are design-time remedies, and they are the right ones for someone who has not trained yet. The case we address is the one they do not cover, and it is not a rare one: the representation already exists. That taxonomy documents leakage in 294 papers that had already been published when it was compiled, and for every one of them the design-time remedy is retroactively inapplicable, because the split that produced a number cannot be redesigned once the number is in print. A practitioner has inherited a model or an embedding that reports high held-out performance, the split that produced the number was at observation level, and neither the split nor the training run can be redone cheaply. Re-running under a group-disjoint split is a different experiment, and it estimates what the performance would have been rather than how much of the number already reported is group-driven; a checklist returns a disclosure rather than a measurement. The label-dependence index is the counterfactual measurement taken on the representation as it stands, and the sibling-unit trap is the effect it exists to detect.</w:t>
      </w:r>
    </w:p>
    <w:p>
      <w:r>
        <w:t>One sentence is worth making concrete, because it is the whole argument. A clinical researcher inherits an imaging model trained on data from ten hospitals that reports a high held-out AUROC. The training pipeline is gone, the compute budget is spent, and the split that produced the number was at image level. Group-disjoint splitting cannot help her: it is an instruction for a training run she is not going to perform. A checklist cannot help her either: it would have her disclose something she does not yet know. What she needs is a number, namely of the AUROC she is looking at, how much would survive if whole hospitals were held out, expressed against what permutation alone would have produced. That is the quantity the label-dependence index returns, and the sibling-unit trap is the reason to expect the published figure to be optimistic in the first place.</w:t>
      </w:r>
    </w:p>
    <w:p>
      <w:r>
        <w:t xml:space="preserve">The second gap we close is between </w:t>
      </w:r>
      <w:r>
        <w:rPr>
          <w:i/>
        </w:rPr>
        <w:t>detecting</w:t>
      </w:r>
      <w:r>
        <w:t xml:space="preserve"> the failure and </w:t>
      </w:r>
      <w:r>
        <w:rPr>
          <w:i/>
        </w:rPr>
        <w:t>repairing</w:t>
      </w:r>
      <w:r>
        <w:t xml:space="preserve"> it. Detection has become quantitative (our companion study introduced a calibrated label-dependence index, LDI), but detection leaves the practitioner with no remedy, and the obvious remedy is self-defeating: we show that projecting the group-mean subspace out of a trained embedding removes the transferable signal together with the leak, because after training the two occupy the same directions. This paper supplies the missing half, and the emphasis is deliberate: the deliverable is an </w:t>
      </w:r>
      <w:r>
        <w:rPr>
          <w:b/>
        </w:rPr>
        <w:t>instrument</w:t>
      </w:r>
      <w:r>
        <w:t>, not an operator. We use a standard gradient-reversal adversarial head, we say so explicitly in the manuscript, and we claim no novelty for it, because the literature on adversarial attribute removal has established that a defeated adversary is not evidence of removal (removed attributes remain recoverable by a post-hoc classifier). What is missing is a way to grade the result. Our contributions are ordered, and the order is the point. The first is a rule about evaluation, not a method: whenever a group contributes more than one unit, unit-level cross-validation overstates generalization, because a held-out unit is re-identified through the siblings its group left in training, and acceptance must be measured at the group level. That rule is independent of everything else in the paper and costs nothing to adopt. The second is the instrument itself: a calibrated index with operating characteristics measured on controls with known ground truth, an acceptance protocol, and two decision boundaries that say in advance whether repair is even coherent for a given cohort. Those first two are halves of one object rather than two results: a post-hoc audit needs both a reason to measure after training and a measurement that can be shown still to work, and neither half is the operator. The third is a precondition test (Proposition 1) that makes the choice of acceptance criterion a check rather than a tuning exercise. The operator is what those objects are demonstrated on, and a reader who takes it away keeps the rule about the split, the instrument and the boundaries.</w:t>
      </w:r>
    </w:p>
    <w:p>
      <w:r>
        <w:t>Five results, in the order we would ask a reader to weigh them. The first is the one we would want to survive if everything else were withdrawn, because it is a statement about evaluation rather than about any method. We note at the outset that the last of them tests predictions rather than validating utility, and that we consider the scope condition reported in the manuscript a feature of the instrument rather than a defect of the method:</w:t>
      </w:r>
    </w:p>
    <w:p>
      <w:pPr>
        <w:ind w:left="432" w:hanging="432"/>
      </w:pPr>
      <w:r>
        <w:t xml:space="preserve">1. </w:t>
      </w:r>
      <w:r>
        <w:rPr>
          <w:b/>
        </w:rPr>
        <w:t>The sibling-unit trap: unit-level evaluation is optimistic whenever a group contributes more than one unit, and we give the first calibrated measure of how much.</w:t>
      </w:r>
      <w:r>
        <w:t xml:space="preserve"> A held-out unit is re-identified through the siblings its group left in training, so unit-level cross-validation stays pinned at ceiling while group-level holdout collapses: the split that looks more conservative is the one that flatters the model. Our increment is the calibrated magnitude: a number in permutation-null units that says how much of a reported result the shortcut accounts for, is comparable across cohorts and domains, stays valid for a representation whose split can no longer be redesigned, and remains interpretable after an intervention has been applied, which is what makes it usable as an acceptance criterion rather than as a design rule. We produce the effect with one knob (units per group k ∈ {2, 4, 8} at 16 groups): in 45 of 45 runs the unit-level statistic stayed at ceiling at every dose while the group-level statistic fell to 0.230 at k = 2 and λ = 5. It is not an artefact of simulation: on the two real cross-domain cohorts below, where a subject contributes about 343 windows and a batch about 1,391 measurements, τ_LOO − τ_LGO is positive in all 15 seed × dose cells of each, with per-cohort ranges that do not overlap. The remedy is a rule, not a method: measure acceptance at the group level.</w:t>
      </w:r>
    </w:p>
    <w:p>
      <w:pPr>
        <w:ind w:left="432" w:hanging="432"/>
      </w:pPr>
      <w:r>
        <w:t xml:space="preserve">2. </w:t>
      </w:r>
      <w:r>
        <w:rPr>
          <w:b/>
        </w:rPr>
        <w:t>Auditability as the deliverable.</w:t>
      </w:r>
      <w:r>
        <w:t xml:space="preserve"> Every verdict in the paper is produced by a calibrated instrument that is itself tested after repair against cohorts with known ground truth: 75/75 positive-control runs retain the shared program at every dose, and 45/45 identity-confounding runs are correctly graded unsupported (no false alarms). A repair evaluated only on the metric it optimises cannot distinguish "the leak is gone" from "the model is empty"; ours can.</w:t>
      </w:r>
    </w:p>
    <w:p>
      <w:pPr>
        <w:ind w:left="432" w:hanging="432"/>
      </w:pPr>
      <w:r>
        <w:t xml:space="preserve">3. </w:t>
      </w:r>
      <w:r>
        <w:rPr>
          <w:b/>
        </w:rPr>
        <w:t>Two decision boundaries, both estimable in advance.</w:t>
      </w:r>
      <w:r>
        <w:t xml:space="preserve"> Label–identity coupling decides whether a repairable operating point exists at all (etiological labels retain a transferable fraction R = 0.38–0.60 at accepted points; an ordinal severity label admits none, and a random-label control on the same cohort shows the coupling is causal). Group count decides whether the program can survive the dose needed: the boundary lies between 16 and 32 groups at reference signal and moves rightward as signal weakens.</w:t>
      </w:r>
    </w:p>
    <w:p>
      <w:pPr>
        <w:ind w:left="432" w:hanging="432"/>
      </w:pPr>
      <w:r>
        <w:t xml:space="preserve">4. </w:t>
      </w:r>
      <w:r>
        <w:rPr>
          <w:b/>
        </w:rPr>
        <w:t>A failure-mode taxonomy that discriminates between methods that look alike on standard metrics.</w:t>
      </w:r>
      <w:r>
        <w:t xml:space="preserve"> Group-DRO reduces the in-sample memorization gap while leaving cross-group leakage intact; IRM treats the group fingerprint as an invariant causal feature and amplifies it (LDI +3.2). Both patterns replicate on a second real cohort. The corollary is practical: in-sample metrics are not sufficient for leakage-repair acceptance.</w:t>
      </w:r>
    </w:p>
    <w:p>
      <w:pPr>
        <w:ind w:left="432" w:hanging="432"/>
      </w:pPr>
      <w:r>
        <w:t xml:space="preserve">5. </w:t>
      </w:r>
      <w:r>
        <w:rPr>
          <w:b/>
        </w:rPr>
        <w:t>The predictions are tested outside the life sciences, not merely asserted to transfer.</w:t>
      </w:r>
      <w:r>
        <w:t xml:space="preserve"> Because Proposition 1 and both boundaries refer only to a grouping variable, a label, an encoder and a leave-one-group-out probe, they can be falsified. On two public non-biological cohorts, wearable activity recognition (30 subjects) and chemical gas-sensor drift (10 measurement batches), with the graph encoder swapped for a multilayer perceptron and nothing else changed, the pre-repair ratio correctly predicted an empty dual gate in both (0/15 seed × dose cells accepted in each; LDI never fell below 9.1), and boundary I reproduced: sibling-unit inflation was eight-fold larger where group–label coupling was twenty-fold larger, at nearly identical identity identifiability. Identity lift fell under the adversary in both while group-level transfer was retained (≥ 0.89 of baseline). We describe this as an audit of the theory's predictions, not as a second validation of the framework: neither cohort carries a downstream endpoint, a planted control, or a domain readout, so the evidence speaks to the instrument, the two boundaries and the operator's behaviour, not to utility.</w:t>
      </w:r>
    </w:p>
    <w:p>
      <w:r>
        <w:t>One further item is a tool rather than a result and is therefore not numbered above. Proposition 1 is a precondition test: from the unrepaired baseline alone it tells a practitioner which acceptance criterion is coherent for their cohort, before any repaired model is trained. We report it as a critical retention c_crit (the largest retention requirement under which a feasible dose can exist; 0.28 on our simulation, 0.69 cervical, 0.75 head and neck, 0.80 prostate) rather than as a verdict taken at a threshold we chose, so the normative choice stays with the deployer. Its proof is a one-line monotonicity check and we count it as part of the protocol.</w:t>
      </w:r>
    </w:p>
    <w:p>
      <w:r>
        <w:t xml:space="preserve">We use spatial transcriptomics as the validation domain because it is a demanding test: clear group structure, labels whose coupling to identity varies in kind, public cohorts for external replication, and a simulator with known ground truth. Nothing in the framework, the theory, or the protocol uses domain-specific structure, so we treat it as the worked instantiation of a general protocol rather than as the subject of the paper. To keep the evidentiary reach of the claims explicit, the manuscript distinguishes three levels throughout, and the graphical abstract carries them in a dedicated band: </w:t>
      </w:r>
      <w:r>
        <w:rPr>
          <w:i/>
        </w:rPr>
        <w:t>validated</w:t>
      </w:r>
      <w:r>
        <w:t xml:space="preserve"> end-to-end in spatial transcriptomics only; </w:t>
      </w:r>
      <w:r>
        <w:rPr>
          <w:i/>
        </w:rPr>
        <w:t>audited</w:t>
      </w:r>
      <w:r>
        <w:t xml:space="preserve"> on real data in two non-biological domains, where the instrument and both boundaries were tested but no endpoint exists; and </w:t>
      </w:r>
      <w:r>
        <w:rPr>
          <w:i/>
        </w:rPr>
        <w:t>untested</w:t>
      </w:r>
      <w:r>
        <w:t>, the remaining rows of the cross-domain map (Table 4): medical imaging, speech, electronic health records, remote sensing, recommender systems, multi-centre trials, which are structural mappings of the same objects and for which we claim no transfer. One further control bears on how the cross-domain audit should be read. Because that audit replaces the graph encoder with a perceptron, a referee could ask whether the encoder change is an untested confound. We therefore ran the validation domain's own simulated cohorts under both encoders, holding every other component fixed: the two backbones agreed on τ_base/σ̂ and on the verdict in both arms and in opposite directions (3.54 versus 3.60, both predicting and producing an empty dual gate on the strong-signal arm; 0.35 versus 0.52, both below the threshold, on the spurious arm), with backbone-to-backbone differences smaller than seed-to-seed spread within a backbone (Table S12). We also report where this control exposes a real weakness: because the fidelity gate is relative, it degenerates when the baseline association is near zero, and we say so (limitation x).</w:t>
      </w:r>
    </w:p>
    <w:p>
      <w:r>
        <w:t>One objection to scope deserves an answer rather than a deflection, because it is the one we would raise as a referee: the complete loop of repair, acceptance, endpoint, planted control and domain readout is closed in one application domain, two further domains are audited for predictions only, and six rows of Table 4 are untested mappings. We think that shape is correct for this contribution rather than a shortfall in it, for three reasons. First, the instrument is domain-agnostic by construction and not by assertion: its inputs are a grouping variable, an observation-level label, an encoder and a leave-one-group-out probe, and none of Proposition 1, the two decision boundaries or the acceptance protocol refers to anything that a transcriptomic cohort specifically supplies. Second, the cross-domain claims were falsification-tested rather than asserted: on two public non-biological cohorts, with the encoder swapped and nothing else changed, one prediction, an ordering between cohorts at comparable encoded identity, could have failed and did not, and the other, an empty dual gate, was confirmed in both. Third, and most to the point for a data-science journal, the readership for this work is defined by the failure mode and not by the modality: group structure is present wherever patients, sites, speakers, subjects or batches contribute more than one observation, which is most of applied machine learning, and the evaluation rule in our first finding costs nothing to adopt and errs in one direction only. In this respect the paper sits in the same genre as the cross-field leakage taxonomy of Kapoor and Narayanan (Patterns 4, 100804, 2023), which Patterns published and which remains among the journal's most-read articles: a measurement and reporting instrument for a failure that recurs across fields, validated rigorously where validation is possible and declared untested where it is not.</w:t>
      </w:r>
    </w:p>
    <w:p>
      <w:r>
        <w:t>We also discuss the connection to group fairness: the feasibility algebra gives a way to recognise fairness–utility conflicts as structural rather than as optimiser failures.</w:t>
      </w:r>
    </w:p>
    <w:p>
      <w:r>
        <w:t>We report one result as a scope condition rather than as a headline: no accepted repair improved a downstream clinical endpoint, and on the head-and-neck cohort it made the endpoint materially worse (leave-one-donor-out AUROC 0.906 to 0.766–0.813 across three seeds). The manuscript reconciles this explicitly at two resolutions, because otherwise it reads as a contradiction. At the representation unit (the spot, ~3,617 per section) there is a real donor-identity channel and the adversarial head measurably reduces it. At the consumption unit (the section, one per donor) there is no sibling channel to close, τ_LOO and τ_LDO coincide, and what repair removes there is label-associated signal rather than leakage, which is exactly what R = 0.38–0.60 at accepted cells records. The channel that exists is not the one the endpoint was paying for. Our framework predicts this in advance, and the correct action it prescribes for cohorts of that shape is group-disjoint splitting and the audit, not repair. We think stating that plainly is more useful to readers than burying it, and we have made it one of the five highlights.</w:t>
      </w:r>
    </w:p>
    <w:p>
      <w:r>
        <w:t>One control bears on how that scope condition should be read, because the obvious objection is that our cohorts look free of a sibling channel only because we declared one section per donor to be the unit. We re-ran the cervical cohort with the embedding, the grouping variable and the donor-level label held fixed and the unit redefined as a block of spots inside a section, so that each donor contributes three or eight sibling units sharing its label. The channel still did not open (τ_LOO 0.455 to 0.458 at every resolution; sibling inflation within +0.0072 at every dose and seed), while an identity classifier fitted on the same embedding kept a lift of 16 to 28 times chance, so the embedding had not lost donor identity. The same control fixes a limit we would rather state than be told: σ̂ is the null scale at the declared resolution, so LDI is comparable across cohorts and domains at a fixed number of units and not across resolutions of the same data, and the unit of analysis has to be declared before the audit is run (Table S16).</w:t>
      </w:r>
    </w:p>
    <w:p>
      <w:r>
        <w:t>A second control asks what actually opens the channel, because the cross-domain comparison that supports boundary I holds identifiability only approximately (10.4x versus 9.1x chance) and an identifiability-based account would have predicted no ordering there. We ran it on a NanoString GeoMx cohort of HPV-associated endocervical adenocarcinoma (GSE316098: 186 regions of interest from 7 cases) in which each ROI carries its own pathology annotation and the source study deliberately selected cases containing two distinct invasion patterns inside the same tumour, so the label is not a donor-level value broadcast to every unit of a donor. Holding the data and the grouping fixed and changing only the label gives three arms whose group-label coupling is kappa = 0.000, 0.225 and 0.273 and which share one and the same baseline embedding, so encoded identity is identical rather than merely matched (6.55x chance in all three). Sibling inflation then tracked coupling and nothing else: +0.0075, +0.3736 and +0.3955 at baseline, with no overlap between the per-cell distributions of the arms, and the transferable association that repair preserved fell from 0.989 to 0.806 to 0.717 of baseline in the same order. Two consequences follow that we prefer to state up front. The trap is conditional rather than universal: where the label carries no information about the group there is no channel to open and no repair to justify, which is the scope condition in positive form. And the dual gate is uninformative at both ends, empty where the pre-repair signal is strong and vacuous where it is indistinguishable from the null, so a small accepted set on strong-signal clinical labels is a predicted outcome rather than a shortfall of the experiment (Table S17).</w:t>
      </w:r>
    </w:p>
    <w:p>
      <w:r>
        <w:t>In keeping with Patterns' emphasis on open, reproducible science, all code, the domain-agnostic cohort simulator, configuration manifests, and seeds are released at GitHub under the tagged release v1.0.0, with a Zenodo archive of that identical state deposited before publication and its DOI reported in the version of record, and every reported number is reproducible from a manifest. The submission carries the full STAR-Methods framework: Resource availability is split into lead contact, materials availability and data and code availability; a key resources table lists every deposited dataset with its accession, the simulator, and the exact version of every package that produced the reported numbers; and the quantification and statistical analysis section states what each n counts (groups versus units, simulation versus cohort), both seed families, the permutation depths used (B = 2,000, with a B = 10,000 sensitivity check), how the null scale is estimated, where the 1.645 gate comes from, and that all reported dispersion is SD rather than SEM.</w:t>
      </w:r>
    </w:p>
    <w:p>
      <w:r>
        <w:t xml:space="preserve">Preprints and related work. Consistent with your instructions, we list the preprint status of everything connected to this submission. The manuscript itself will be posted as a preprint before or at submission; the link will be added to this letter and to the manuscript metadata. The companion audit study on which the detection statistic's operating characteristics partly rest is cited as reference [1]; it is being posted to a preprint server; reference [1] records the tagged code release as interim access, so the cohort definition behind it is verifiable from this submission alone. </w:t>
      </w:r>
      <w:r>
        <w:rPr>
          <w:b/>
        </w:rPr>
        <w:t>Division of labour.</w:t>
      </w:r>
      <w:r>
        <w:t xml:space="preserve"> The division of labour between the two papers is as follows, and we state it in this much detail because reference [1] is the only cited work that is not independently published and because a question about salami slicing is better pre-empted than answered. The two papers share no result, table or figure. Reference [1] introduced the label-dependence index and reports the motivating cervical observation, in-sample AUROC 1.00 collapsing to 0.497 under leave-one-donor-out evaluation; that observation is not one of this paper's results and is not used as evidence here, and it is reported in units that are not commensurable with the rank statistics used throughout: on the cohort we analyse, the in-sample association is almost entirely retained under donor holdout (τ_in = 0.462 against τ_LOO of about 0.42), so the manuscript now cites reference [1] as the origin of the phenomenon and not as corroboration of a measurement made here. This paper re-derives the index, fixes the permutation depth and the gate, and re-measures its operating characteristics on its own planted controls, 75 of 75 positive-control runs and 45 of 45 identity-confounding runs, both reported in the manuscript. Every cervical number that carries one of our findings, including the leave-one-out association of approximately 0.42 against a null scale of about 0.17 and the bistable dose response, was produced by our own runs on the public accession GSE217237 rather than taken from the companion study, and no result in this submission becomes unreproducible if reference [1] were withdrawn. No other unpublished manuscript from this group shares its aims, methods, or datasets.</w:t>
      </w:r>
    </w:p>
    <w:p>
      <w:r>
        <w:t>One evidentiary point is stated in the cover letter because it bounds how the operator should be read, and the same statement appears in the Discussion. The instrument issued a verdict in every cohort from pre-repair quantities alone, and the verdict matched what was subsequently observed in seven of seven cohorts; that calibration is the positive result and it does not depend on cohort size. The accepted set on real clinical data is correspondingly small: three of eighteen dosed seed × dose cells across two cohorts of the validation domain (head and neck, 16 patients; prostate, 52 patients), which is what the framework predicts in advance for single-section-per-donor cohorts. The count is explained and not merely reported: Proposition 1 makes the dual gate empty wherever the pre-repair association exceeds about 2.35 null scales, the control above shows that repair damages the transferable signal in proportion to how much the label shares with the group (0.989 of baseline retained where coupling is zero, 0.717 where it is highest), and the fidelity axis is satisfied almost automatically when the baseline association is itself indistinguishable from the null, so the band in which an accepted cell carries information is narrow by construction. On prostate the point estimate passes with a seed spread (SD 0.16 primary, 0.86 on an independent re-run) wider than the distance from the mean to the gate, so we grade it as a single operating point with measured spread rather than as a replicated acceptance. The two non-biological cohorts, which do have multi-unit identity channels, were used to test the instrument and the boundaries and carry no endpoint, so they provide no evidence about benefit. We claim that the instrument works there; we do not claim that repair has been shown to help on real multi-unit data. For the same reason we would ask the referees to read the head-to-head comparison as a demonstration of the instrument rather than as a ranking of removal methods: the operator inside our loop is a standard adversarial head, we benchmarked only Group-DRO and IRM alongside it, we did not benchmark null-space projection, contrastive or reweighting families, and we claim no superiority for it over any of them. The protocol (the calibrated index, the three axes and group-level acceptance) reads a representation rather than a training objective, so it can be run on the output of any deconfounding method a practitioner already uses, and we regard a study that does so across those families as a direct extension.</w:t>
      </w:r>
    </w:p>
    <w:p>
      <w:r>
        <w:t xml:space="preserve">Two matters we raise ourselves rather than leave to the referees. </w:t>
      </w:r>
      <w:r>
        <w:rPr>
          <w:b/>
        </w:rPr>
        <w:t>Length.</w:t>
      </w:r>
      <w:r>
        <w:t xml:space="preserve"> The main text, Introduction through Discussion, is approximately 17,500 words, above the 5,000–7,000 words typical of a Patterns research article. We did not compress it further because the additional length is almost entirely the per-cohort dose–response enumeration and the three-tier evidence labelling that let a referee check which claim rests on which cohort. If the editorial team would prefer a shorter paper, the dose–response tables and the cross-domain audit detail can move to the supplement, returning a main text of roughly 9,000–10,000 words with no result removed; we would do that at revision. </w:t>
      </w:r>
      <w:r>
        <w:rPr>
          <w:b/>
        </w:rPr>
        <w:t>External instantiation.</w:t>
      </w:r>
      <w:r>
        <w:t xml:space="preserve"> Every experiment in the manuscript was run on our own simulator, encoder and repair operator. The instrument is operator-agnostic by construction, because LDI and the three axes read a representation rather than a training objective, but operator-agnostic in principle is not the same as demonstrated on a second implementation, and we have not run it on a third-party pipeline. If the reviewers deem it necessary, we can add a minimal proof-of-concept during revision: on one public pipeline with an exposed configuration and a recorded grouping variable, run the group-shuffle null and the group-count escalation, and report whether LDI orders its runs as it orders ours. That test needs no repair training and no access to another group's objective.</w:t>
      </w:r>
    </w:p>
    <w:p>
      <w:r>
        <w:t>Important declarations: (i) This manuscript is a new methods paper and is not a resubmission of any previously rejected manuscript; our companion audit study is cited within the manuscript as reference [1], and its status is stated in the paragraph above. (ii) This manuscript is not under consideration by any other journal, and all authors have approved the submission. (iii) During manuscript preparation we used AI-assisted tools (Trae, Z.ai GLM; OpenAI Codex for editorial review), as declared in the manuscript; all content was reviewed, verified, and edited by the authors, who take full responsibility for the content.</w:t>
      </w:r>
    </w:p>
    <w:p>
      <w:r>
        <w:t>Thank you for your consideration.</w:t>
      </w:r>
    </w:p>
    <w:p>
      <w:r>
        <w:t>Sincerely,</w:t>
      </w:r>
    </w:p>
    <w:p>
      <w:r>
        <w:t>Lang Guo, on behalf of all authors</w:t>
      </w:r>
    </w:p>
    <w:p>
      <w:r>
        <w:t>School of Pharmacy, Shenyang Medical College, Shenyang 110034, China</w:t>
      </w:r>
    </w:p>
    <w:p>
      <w:r>
        <w:t>guolang1016@symc.edu.cn | +86 13555707001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