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32"/>
        </w:rPr>
        <w:t>An auditable instrument for identity leakage in group-structured data: the sibling-unit trap, decision boundaries, and validation in spatial transcriptomics</w:t>
      </w:r>
    </w:p>
    <w:p>
      <w:r>
        <w:rPr>
          <w:b/>
        </w:rPr>
        <w:t>Authors:</w:t>
      </w:r>
      <w:r>
        <w:t xml:space="preserve"> Mingwei Bai¹, Zhengmin Gu², Ye Zhang², Zhiping Ni¹, Lang Guo³</w:t>
      </w:r>
    </w:p>
    <w:p>
      <w:r>
        <w:rPr>
          <w:b/>
        </w:rPr>
        <w:t>Affiliations:</w:t>
      </w:r>
      <w:r>
        <w:t xml:space="preserve"> ¹JiMei Technology Group Co., Ltd., Shenyang 110002, China; ²Medical Record Management Center, The First Hospital of China Medical University, Shenyang 110002, China; ³School of Pharmacy, Shenyang Medical College, Shenyang 110034, China</w:t>
      </w:r>
    </w:p>
    <w:p>
      <w:r>
        <w:rPr>
          <w:b/>
        </w:rPr>
        <w:t>Correspondence:</w:t>
      </w:r>
      <w:r>
        <w:t xml:space="preserve"> Lang Guo, School of Pharmacy, Shenyang Medical College, 146 Huanghe North Avenue, Shenyang 110034, China. Tel: +86 13555707001; E-mail: guolang1016@symc.edu.cn</w:t>
      </w:r>
    </w:p>
    <w:p>
      <w:r>
        <w:rPr>
          <w:b/>
        </w:rPr>
        <w:t>Author e-mails:</w:t>
      </w:r>
      <w:r>
        <w:t xml:space="preserve"> Mingwei Bai, baimingwei@jm360.cn; Zhengmin Gu, guzm@cmulh.com; Ye Zhang, 13332457636@163.com; Zhiping Ni, nizhiping@jm360.cn; Lang Guo, guolang1016@symc.edu.cn</w:t>
      </w:r>
    </w:p>
    <w:p>
      <w:r>
        <w:rPr>
          <w:b/>
        </w:rPr>
        <w:t>Manuscript type:</w:t>
      </w:r>
      <w:r>
        <w:t xml:space="preserve"> Original research article. Lang Guo is the corresponding author.</w:t>
      </w:r>
    </w:p>
    <w:p>
      <w:pPr>
        <w:pStyle w:val="Heading1"/>
      </w:pPr>
      <w:r>
        <w:rPr>
          <w:rFonts w:ascii="Times New Roman" w:hAnsi="Times New Roman"/>
          <w:color w:val="000000"/>
        </w:rPr>
        <w:t>HIGHLIGHTS</w:t>
      </w:r>
    </w:p>
    <w:p>
      <w:pPr>
        <w:ind w:left="432" w:hanging="432"/>
      </w:pPr>
      <w:r>
        <w:t>1. Sibling units re-identify held-out units, so unit splits overstate skill</w:t>
      </w:r>
    </w:p>
    <w:p>
      <w:pPr>
        <w:ind w:left="432" w:hanging="432"/>
      </w:pPr>
      <w:r>
        <w:t>2. One post-hoc audit grades the leak after training; no retraining needed</w:t>
      </w:r>
    </w:p>
    <w:p>
      <w:pPr>
        <w:ind w:left="432" w:hanging="432"/>
      </w:pPr>
      <w:r>
        <w:t>3. A pre-computed retention bound says if any repair dose can pay off</w:t>
      </w:r>
    </w:p>
    <w:p>
      <w:pPr>
        <w:ind w:left="432" w:hanging="432"/>
      </w:pPr>
      <w:r>
        <w:t>4. Passing the gate means leakage is below threshold, not that group is gone</w:t>
      </w:r>
    </w:p>
    <w:p>
      <w:pPr>
        <w:ind w:left="432" w:hanging="432"/>
      </w:pPr>
      <w:r>
        <w:t>5. Validated in one domain; two cohorts test predictions, not repair utility</w:t>
      </w:r>
    </w:p>
    <w:p>
      <w:pPr>
        <w:pStyle w:val="Heading1"/>
      </w:pPr>
      <w:r>
        <w:rPr>
          <w:rFonts w:ascii="Times New Roman" w:hAnsi="Times New Roman"/>
          <w:color w:val="000000"/>
        </w:rPr>
        <w:t>IN BRIEF</w:t>
      </w:r>
    </w:p>
    <w:p>
      <w:r>
        <w:t>Group-structured data let a model win by recognising the group. Bai and colleagues supply an auditable instrument: a calibrated index, a rule for the split, and boundaries saying in advance whether repair pays. Validated in one domain; elsewhere only predictions are audited, and no accepted repair improved an endpoint.</w:t>
      </w:r>
    </w:p>
    <w:p>
      <w:pPr>
        <w:pStyle w:val="Heading1"/>
      </w:pPr>
      <w:r>
        <w:rPr>
          <w:rFonts w:ascii="Times New Roman" w:hAnsi="Times New Roman"/>
          <w:color w:val="000000"/>
        </w:rPr>
        <w:t>SUMMARY</w:t>
      </w:r>
    </w:p>
    <w:p>
      <w:r>
        <w:t>When one person, site, or device contributes many observations, a model can win by recognising the group, not the property it should predict. We call this identity leakage. Where a group contributes several units, unit-level cross-validation stays at ceiling while group-level holdout collapses: held-out units are re-identified through siblings. Around this sits an auditable instrument: a calibrated index of label dependence under leave-one-group-out, tested against planted controls after repair; a pre-computed condition saying whether any dose can remove identity and keep signal; and two boundaries saying which cohorts are repairable. The repair operator is standard and we claim no superiority for it. Validation is end-to-end in spatial transcriptomics alone; two non-biological cohorts audit predictions, the rest are untested mappings. Where each group contributes one unit, no accepted repair improved a downstream endpoint, which the framework predicts in advance.</w:t>
      </w:r>
    </w:p>
    <w:p>
      <w:r>
        <w:rPr>
          <w:b/>
        </w:rPr>
        <w:t>Keywords:</w:t>
      </w:r>
      <w:r>
        <w:t xml:space="preserve"> identity leakage; group-structured data; model auditing; adversarial training; evaluation integrity; decision boundaries; reproducibility; spatial transcriptomics</w:t>
      </w:r>
    </w:p>
    <w:p>
      <w:pPr>
        <w:pStyle w:val="Heading1"/>
      </w:pPr>
      <w:r>
        <w:rPr>
          <w:rFonts w:ascii="Times New Roman" w:hAnsi="Times New Roman"/>
          <w:color w:val="000000"/>
        </w:rPr>
        <w:t>GRAPHICAL ABSTRACT</w:t>
      </w:r>
    </w:p>
    <w:p>
      <w:r>
        <w:rPr>
          <w:b/>
        </w:rPr>
        <w:t>Graphical abstract.</w:t>
      </w:r>
      <w:r>
        <w:t xml:space="preserve"> Three bands, and the third is part of the argument rather than decoration. </w:t>
      </w:r>
      <w:r>
        <w:rPr>
          <w:i/>
        </w:rPr>
        <w:t>(1) The problem.</w:t>
      </w:r>
      <w:r>
        <w:t xml:space="preserve"> Four groups (person, site, speaker, subject, each labelled only as G) contribute several observations apiece, so the observations are not exchangeable. A model fits the training set and collapses under leave-one-group-out: it recognised the group, not the target property. Split at the unit level the collapse is invisible, because a held-out unit is re-identified through the siblings its group left in training. </w:t>
      </w:r>
      <w:r>
        <w:rPr>
          <w:i/>
        </w:rPr>
        <w:t>(2) The auditable loop.</w:t>
      </w:r>
      <w:r>
        <w:t xml:space="preserve"> Split at the group level; detect with the calibrated index under leave-one-group-out; pre-compute the signal-to-null ratio and test it against the precondition 1.645/c to learn whether any dose can remove identity and preserve signal; repair at training time at dose λ; re-audit on three axes. Acceptance is a verdict the instrument produces, and rejection can be predicted before a dose is chosen. The two decision boundaries sit beneath the loop because they determine its two failure modes: label–identity coupling decides whether a repairable point exists at all, and group count decides whether the signal survives the dose needed to remove identity. </w:t>
      </w:r>
      <w:r>
        <w:rPr>
          <w:i/>
        </w:rPr>
        <w:t>(3) Three levels of evidence, drawn in the band and not interchangeable.</w:t>
      </w:r>
      <w:r>
        <w:t xml:space="preserve"> </w:t>
      </w:r>
      <w:r>
        <w:rPr>
          <w:i/>
        </w:rPr>
        <w:t>Validated</w:t>
      </w:r>
      <w:r>
        <w:t xml:space="preserve">: the complete loop, in one domain only, spatial transcriptomics, three real cohorts plus a simulator with known ground truth. </w:t>
      </w:r>
      <w:r>
        <w:rPr>
          <w:i/>
        </w:rPr>
        <w:t>Audited, predictions only</w:t>
      </w:r>
      <w:r>
        <w:t xml:space="preserve">: two non-biological cohorts (wearable activity recognition, chemical gas-sensor drift) on which the instrument and both boundaries were run against real data but which carry no endpoint, no planted control and no domain readout, so they test whether the theory's predictions hold and not whether repair delivers utility. </w:t>
      </w:r>
      <w:r>
        <w:rPr>
          <w:i/>
        </w:rPr>
        <w:t>Not tested</w:t>
      </w:r>
      <w:r>
        <w:t>: the six remaining rows of Table 4, structural mappings only, for which we claim no transfer. The band is placed in the figure deliberately, so that the domain in which the method was developed appears next to the domains in which nothing has been shown. Every claim in the paper carries the tag of the band it belongs to.</w:t>
      </w:r>
    </w:p>
    <w:p>
      <w:pPr>
        <w:pStyle w:val="Heading1"/>
      </w:pPr>
      <w:r>
        <w:rPr>
          <w:rFonts w:ascii="Times New Roman" w:hAnsi="Times New Roman"/>
          <w:color w:val="000000"/>
        </w:rPr>
        <w:t>BIGGER PICTURE</w:t>
      </w:r>
    </w:p>
    <w:p>
      <w:r>
        <w:t>Most datasets scientists analyse are not collections of independent measurements. They are collections of clusters: one patient contributes several tissue sections, one hospital contributes many scans, one speaker contributes many utterances, one station contributes thousands of readings. Standard practice treats the measurements as exchangeable and splits them at random, keeping members of one cluster on both sides. A model can then score well by recognising the cluster a measurement came from rather than the property of interest, reporting excellent held-out performance while collapsing on any cluster it has not seen. We call this identity leakage. Three features make it worth naming. It is invisible to the metrics normally reported, so it is usually discovered as a reproducibility failure rather than a mechanism. It is a property of how the data were collected, not of any model, so no tuning removes it. And the cluster is frequently a person or an institution, so a model that reads it performs unevenly across the people it was trained on, which makes the failure a fairness problem as well as an accuracy one. This paper offers neither a better model nor a better deconfounding operator: the repair operator below is standard and we claim no superiority for it. What it offers is an instrument: a calibrated statistic asking how much of a model's reported performance survives removal of the cluster, together with a test of whether the instrument still works once a repair has been applied. With it come a feasibility condition and two decision boundaries that let a practitioner decide, before spending compute, whether attempting a repair is worth it at all, and one worked case in which the answer is that it is not. It needs only a recorded grouping variable, a label, and a linear probe.</w:t>
      </w:r>
    </w:p>
    <w:p>
      <w:pPr>
        <w:pStyle w:val="Heading1"/>
      </w:pPr>
      <w:r>
        <w:rPr>
          <w:rFonts w:ascii="Times New Roman" w:hAnsi="Times New Roman"/>
          <w:color w:val="000000"/>
        </w:rPr>
        <w:t>INTRODUCTION</w:t>
      </w:r>
    </w:p>
    <w:p>
      <w:r>
        <w:t>Most real datasets are group-structured. The units of analysis are not independent observations but clusters nested inside a much smaller number of groups: patients contributing several tissue sections, speakers contributing many utterances, hospitals contributing many scans, subjects contributing thousands of sensor windows, field plots contributing many image tiles. Standard machine-learning practice (split the observations, train, report held-out accuracy) treats those observations as exchangeable. They are not.</w:t>
      </w:r>
    </w:p>
    <w:p>
      <w:r>
        <w:t xml:space="preserve">Whenever a group contributes more than one observation, a shortcut becomes available. A model can encode the identity of the group (which patient, which site, which speaker) and satisfy the training objective by recognizing the group rather than the target property. We call this </w:t>
      </w:r>
      <w:r>
        <w:rPr>
          <w:b/>
        </w:rPr>
        <w:t>identity leakage</w:t>
      </w:r>
      <w:r>
        <w:t>. It is distinct from the classical train/test contamination studied in data mining,[2] because nothing is duplicated across the split: the leakage lives in a latent variable (group membership) that a random split silently preserves, and it is distinct from domain shift,[3,4] because the training and deployment distributions need not differ for the failure to occur.</w:t>
      </w:r>
    </w:p>
    <w:p>
      <w:r>
        <w:t>The consequences are well documented across fields and are mostly reported as reproducibility failures rather than as a single named mechanism,[23] which is part of why the problem is usually patched case by case rather than measured. Leakage of correlated or duplicated records invalidates published performance estimates;[2] shortcut solutions let models pass benchmarks while failing on the intended task;[5] chest-radiograph models trained across hospitals degrade on unseen sites and partly encode site and patient identity;[6,7] leave-one-subject-out evaluation, rather than record-level cross-validation, is the correct protocol for wearable and clinical time-series data, and using the wrong one inflates accuracy systematically.[8] Ecological and remote-sensing modelling reached the same conclusion from the opposite direction: blocked cross-validation, in which whole spatial, temporal, hierarchical or phylogenetic blocks are held out rather than individual records, is nearly universally more appropriate than random cross-validation wherever a dependence structure exists,[40] and re-validating a large-scale forest-biomass map with spatially disjoint blocks collapsed an apparent predictive R2 above 0.5 to quasi-null predictive power.[41] A cross-field survey finds leakage affecting 294 papers across 17 fields and supplies a taxonomy of eight leakage types together with model info sheets for preventing them.[23]</w:t>
      </w:r>
    </w:p>
    <w:p>
      <w:r>
        <w:t>What these reports share is a structural precondition (multiple observations per group, observation-level splitting) and an evaluation that cannot tell whether a model learned the target property or the group. Group leakage is not unrecognised. It is one of the eight leakage types in the cross-field taxonomy of ref [23], which documents it across 294 papers in 17 fields, and the remedies that literature offers are the right ones for the situation it addresses: construct the split so that no group straddles it,[8,40,41] and disclose what you did.[23] The size of the effect has been measured too, field by field: on brain MRI, splitting a volume at slice level rather than subject level raised reported accuracy by 30, 29, 48 and 55 percentage points on four datasets, and a randomly relabelled dataset still returned about 96% accuracy under the slice-level split against about 50% under the subject-level one.[42] Both are design-time remedies, and both are instructions for someone who has not trained yet.</w:t>
      </w:r>
    </w:p>
    <w:p>
      <w:r>
        <w:t>What none of them supplies is a number that travels: the inflation is reported in each dataset's own accuracy units, against a null specific to that model and that split, so the 30 and the 55 cannot be compared with each other, carried into a new cohort, or set against a threshold that decides anything. The case this paper addresses is the one they do not cover, and it is not a rare one: the representation already exists. The taxonomy of ref [23] documents leakage in 294 papers that had already been published when it was compiled, and for every one of them the design-time remedy is retroactively inapplicable, because the split that produced a number cannot be redesigned once the number is in print; the reassessments that do get published, ref [41] among them, re-evaluate the model under a corrected protocol rather than measuring the figure that was reported. A practitioner has inherited a model or an embedding that reports high held-out performance, the split that produced the number was at observation level, and neither the split nor the training run can be redone cheaply. Neither remedy answers that practitioner's question. Re-running with a group-disjoint split is a different experiment: it estimates what the performance would have been, not how much of the number already reported is group-driven, and it cannot be run at all on a representation that is being reused or fine-tuned downstream. A checklist returns a disclosure, not a measurement. What is needed instead is a counterfactual measurement taken on the representation as it stands: how much of its reported association survives when whole groups are held out, expressed in the units of what permutation alone would have produced, and carried out with an instrument that can itself be shown still to see something after the representation has been modified. That is a different object from a splitting protocol, and it is the object built below: the sibling-unit trap and the label-dependence index are its two components, and the acceptance protocol, the precondition test and the two decision boundaries are what make it usable.</w:t>
      </w:r>
    </w:p>
    <w:p>
      <w:r>
        <w:t>Detection of this failure mode has recently become quantitative. In a companion study[1] we introduced a calibrated label-dependence index (LDI), a permutation-refit statistic that detects group-block leakage and, in a cervical neoplasia cohort, showed that a model with in-sample AUROC 1.00 collapses to chance (0.497) under leave-one-donor-out evaluation. That observation is where the problem we take up comes from and it carries no result below: every number reported in this paper is recomputed by our own runs on the public accessions listed in the resource table, and reference [1] is cited only here and in that table. Related detection work exists in language-model evaluation, where temporal train–test partitioning traces test-set contamination.[9] Detection, however, only tells a practitioner that a model is compromised. It supplies no remedy, and the obvious remedy does not work.</w:t>
      </w:r>
    </w:p>
    <w:p>
      <w:r>
        <w:t>The naive repair is post-hoc: train first, then project the group-mean subspace out of the learned representation. We show below that this is mechanistically self-defeating. After training, group identity and target signal occupy overlapping directions, so any linear filter strong enough to remove one removes the other. On the two cohorts we tested, one projection direction preserved the in-sample association while destroying the part that transfers across groups; two directions collapsed both. This is the reason the repair we propose is a training-time operator, and it is the first of our results.</w:t>
      </w:r>
    </w:p>
    <w:p>
      <w:r>
        <w:t>Adversarial removal of an attribute from a learned representation is a mature idea, and we place ourselves inside that literature rather than beside it. Censoring representations with an adversary,[27] controllable invariance through adversarial feature learning,[28] adversarially fair and transferable representations,[29] and the domain-adversarial machinery we build on[3,4] all attach a predictor to a representation and train the encoder to make that predictor fail. Our repair operator is deliberately an instance of this standard design: a group-identity classifier attached through a gradient-reversal layer. We claim no novelty for it, and we say so here because the alternative reading, that this paper proposes a new debiasing method, would misdescribe the contribution. The reason is that this literature has also established, repeatedly, that a defeated adversary is not evidence of removal: attributes that an adversary drove to chance during training remain recoverable by a post-hoc classifier trained on the same representation,[30] and the same gap has been reported for explicit bias removal in image embeddings[31] and for iterative nullspace projection.[32] What is missing is therefore not another operator but an instrument: something that asks, after any removal attempt, whether what remains still transfers across groups and whether it exceeds what permutation alone would produce. Our contributions sit at exactly that point, and they are properties of the audit rather than of the adversary. The consequence appears inside our own results below: on the simulated identity-confounding control the planted fingerprint was cleared only partially, and in the two cross-domain cohorts group identity remained five to eight times more recoverable than chance after repair. We read both as the gap of ref [30] reproduced by our own operator, which is precisely why the acceptance decision is delegated to an instrument rather than to the adversary's loss.</w:t>
      </w:r>
    </w:p>
    <w:p>
      <w:r>
        <w:t xml:space="preserve">The nearest prior work each solves a neighbouring problem. Batch- and patient-robust contrastive encoders produce group-consistent representations but provide no leakage metric, no calibrated acceptance criterion, and no operating characteristics. Group-robustness objectives (Group-DRO,[10] invariant risk minimization[11]) suppress spurious correlations but ship without any instrument to verify that label dependence was actually removed: a gap we show is not cosmetic. Batch-correction and alignment tools (Harmony,[12] conditional generative models,[13] spatial-alignment methods) align distributions across batches, which is orthogonal to removing label dependence nested </w:t>
      </w:r>
      <w:r>
        <w:rPr>
          <w:i/>
        </w:rPr>
        <w:t>within</w:t>
      </w:r>
      <w:r>
        <w:t xml:space="preserve"> groups; the adversarial members of that family (iMAP,[33] SCIDRL,[34] DAVAE[35]) use the same gradient-reversal machinery as our operator but optimise cross-batch mixing and are scored by integration metrics such as batch entropy and the adjusted Rand index, not by a calibrated group-level label-dependence statistic. Domain-adversarial training[3,4] is the closest machinery to ours, but it is used to transfer across domains, not to remove a group identity that is confounded with the label inside a single training set. Group-disjoint splitting[8] is a preventive practice, not a remediation of an already-trained model. In fairness research, adversarial and constrained objectives learn representations independent of a sensitive attribute,[27–29,36,37] and the fairness–accuracy trade-offs they navigate are the same shape as the one our feasibility condition makes explicit; the surveys of that literature[21,38] document the trade-off, whereas our contribution is the pre-computable diagnosis of when it has no feasible point.</w:t>
      </w:r>
    </w:p>
    <w:p>
      <w:r>
        <w:t xml:space="preserve">This paper contributes an </w:t>
      </w:r>
      <w:r>
        <w:rPr>
          <w:b/>
        </w:rPr>
        <w:t>auditable instrument for identity leakage</w:t>
      </w:r>
      <w:r>
        <w:t xml:space="preserve"> (a calibrated statistic with measured operating characteristics, an acceptance protocol, a feasibility condition, and two decision boundaries) together with a repair operator that instantiates it and a validation of the whole loop in one application domain. We use the term </w:t>
      </w:r>
      <w:r>
        <w:rPr>
          <w:i/>
        </w:rPr>
        <w:t>auditable</w:t>
      </w:r>
      <w:r>
        <w:t xml:space="preserve"> in a specific sense: every acceptance decision is produced by a calibrated statistic that is itself tested against known positive and negative controls after repair, so a practitioner can verify not only that leakage was reduced but that the instrument used to certify the reduction was not blinded by the repair.</w:t>
      </w:r>
    </w:p>
    <w:p>
      <w:r>
        <w:rPr>
          <w:b/>
        </w:rPr>
        <w:t>The claim, in one sentence.</w:t>
      </w:r>
      <w:r>
        <w:t xml:space="preserve"> We supply the post-hoc audit that design-time remedies do not. Given a grouping variable, a label and a trained representation, and without retraining or redesigning any split, the instrument returns three things: how much of the reported association is group-driven, in units that say what permutation alone would have produced; whether an intervention that removed it left anything that transfers across groups; and whether the instrument making the measurement was itself blinded by that intervention. Group-disjoint splitting prevents the shortcut; this grades it after the fact, and the grading is what an acceptance decision has to rest on, because by then prevention is no longer available.</w:t>
      </w:r>
    </w:p>
    <w:p>
      <w:r>
        <w:t>The contribution has two tiers. The first tier is one object with two components rather than two independent results: a post-hoc audit needs both a reason to measure and a measurement, and neither component is the repair operator. Five further findings are the diagnostics and the intervention that make the audit usable:</w:t>
      </w:r>
    </w:p>
    <w:p>
      <w:r>
        <w:rPr>
          <w:b/>
        </w:rPr>
        <w:t>First tier: the post-hoc audit, a measurement and its certification.</w:t>
      </w:r>
      <w:r>
        <w:t xml:space="preserve"> These two are halves of one object rather than separate results: the first says there is something to measure, the second measures it and certifies that the measurement still works after the thing measured has been changed.</w:t>
      </w:r>
    </w:p>
    <w:p>
      <w:pPr>
        <w:ind w:left="432" w:hanging="432"/>
      </w:pPr>
      <w:r>
        <w:t xml:space="preserve">1. </w:t>
      </w:r>
      <w:r>
        <w:rPr>
          <w:b/>
        </w:rPr>
        <w:t>The sibling-unit trap: unit-level evaluation is optimistic whenever a group contributes more than one unit.</w:t>
      </w:r>
      <w:r>
        <w:t xml:space="preserve"> This is the first of our two claims and it depends on none of the machinery below: not on the repair, not on the index, and not on the domain. When a group contributes several units, a held-out unit is re-identified through the siblings its group left in training, so unit-level cross-validation stays pinned at ceiling while group-level holdout collapses. The split that looks more conservative is the one that flatters the model. We produce the effect with a single knob (units per group k ∈ {2, 4, 8} at 16 groups, dose λ, three seeds): in 45 of 45 runs unit-level leave-one-out stayed at its class-size ceiling at every dose while the group-level statistic collapsed (0.713 → 0.230 at k = 2, λ = 5). It is not an artefact of the simulator. On the two real cross-domain cohorts audited below, where a subject contributes about 343 windows and a measurement batch about 1,391 measurements, τ_LOO − τ_LGO is positive in all 15 seed × dose cells of each cohort, and the two cohorts’ per-cell ranges do not overlap (+0.0010 to +0.0095 on HAR against +0.0209 to +0.0697 on gas drift; Table 5, Table S13). The companion study’s leave-one-donor-out AUROC collapse from 1.00 to 0.497 is the same effect in the wild.[1] The remedy is a rule rather than a method: </w:t>
      </w:r>
      <w:r>
        <w:rPr>
          <w:b/>
        </w:rPr>
        <w:t>whenever a group contributes more than one unit, acceptance must be measured at the group level, never the unit level.</w:t>
      </w:r>
      <w:r>
        <w:t xml:space="preserve"> It costs nothing, it applies to any model on any group-structured dataset, and it is the part of this paper that survives if every other claim is withdrawn.</w:t>
      </w:r>
    </w:p>
    <w:p>
      <w:pPr>
        <w:ind w:left="432" w:hanging="432"/>
      </w:pPr>
      <w:r>
        <w:t xml:space="preserve">2. </w:t>
      </w:r>
      <w:r>
        <w:rPr>
          <w:b/>
        </w:rPr>
        <w:t>An auditable instrument: a calibrated statistic with measured operating characteristics and an acceptance protocol.</w:t>
      </w:r>
      <w:r>
        <w:t xml:space="preserve"> The label-dependence index grades a model under leave-one-group-out against its own refit permutation null, and the instrument is itself tested on controls with known ground truth: across 75 positive-control runs the shared, group-transferable program survived every dose, while the detector remained non-blind on 45 identity-confounding runs (36 of them dosed; no false alarms). The operator being graded is deliberately standard (a group-identity classifier trained jointly with the encoder through a gradient-reversal layer[3,4]) and we claim no novelty for it. The operating characteristics above are what make any verdict below interpretable, and they are reported for the instrument rather than for the operator. A practical corollary, established head-to-head below: in-sample criteria cannot certify acceptance, because methods that are indistinguishable on the in-sample memorization gap differ in kind on the group-level statistic.</w:t>
      </w:r>
    </w:p>
    <w:p>
      <w:r>
        <w:rPr>
          <w:b/>
        </w:rPr>
        <w:t>Second tier: diagnostics and one intervention.</w:t>
      </w:r>
    </w:p>
    <w:p>
      <w:pPr>
        <w:ind w:left="432" w:hanging="432"/>
      </w:pPr>
      <w:r>
        <w:t xml:space="preserve">3. </w:t>
      </w:r>
      <w:r>
        <w:rPr>
          <w:b/>
        </w:rPr>
        <w:t>Decision boundary I: label–identity coupling determines repairability.</w:t>
      </w:r>
      <w:r>
        <w:t xml:space="preserve"> Under identical operators, doses, seeds, and stability interventions, three real cohorts gave three different verdicts, and the deciding variable was the coupling between the label and group identity. Etiological labels (HPV status; benign-versus-tumour provenance) admit accepted operating points that retain a transferable fraction R = 0.38–0.60; an ordinal severity label admits none at any dose. A random-label control on the same cohort establishes the coupling as causal.</w:t>
      </w:r>
    </w:p>
    <w:p>
      <w:pPr>
        <w:ind w:left="432" w:hanging="432"/>
      </w:pPr>
      <w:r>
        <w:t xml:space="preserve">4. </w:t>
      </w:r>
      <w:r>
        <w:rPr>
          <w:b/>
        </w:rPr>
        <w:t>Decision boundary II: a group-count feasibility boundary.</w:t>
      </w:r>
      <w:r>
        <w:t xml:space="preserve"> On a two-dimensional phase grid, repair is infeasible below a group-count threshold that lies between 16 and 32 groups at reference signal and moves rightward as signal weakens (verified over five seeds). That interval is a placement for this configuration and not a transferable cut-off: gas drift has G = 10, below it, and still retained 0.89–0.93 of its group-level transfer under repair (Table 5). The consequence for practice is a precondition rather than a guarantee: repair needs a group budget, the budget grows as the signal weakens, and the budget has to be re-derived on the user's own simulator rather than quoted from ours.</w:t>
      </w:r>
    </w:p>
    <w:p>
      <w:pPr>
        <w:ind w:left="432" w:hanging="432"/>
      </w:pPr>
      <w:r>
        <w:t xml:space="preserve">5. </w:t>
      </w:r>
      <w:r>
        <w:rPr>
          <w:b/>
        </w:rPr>
        <w:t>Auditability as a discriminator: a failure-mode taxonomy.</w:t>
      </w:r>
      <w:r>
        <w:t xml:space="preserve"> Head-to-head comparison shows that Group-DRO reduces the in-sample memorization gap while leaving cross-group leakage intact (a surface-improvement failure), and that IRM preserves and amplifies the group fingerprint as if it were an invariant causal feature (an invariance-misalignment failure). The point of the comparison is not that our operator wins it: the operator is a standard adversarial head, and any removal method that clears the group-level statistic would score the same. It is that only an instrument graded at the group level separates these three outcomes at all, since on the in-sample gap that Group-DRO optimises the methods are indistinguishable. Both patterns replicate on a second real cohort. A practical corollary: in-sample metrics are not sufficient for leakage-repair acceptance.</w:t>
      </w:r>
    </w:p>
    <w:p>
      <w:pPr>
        <w:ind w:left="432" w:hanging="432"/>
      </w:pPr>
      <w:r>
        <w:t xml:space="preserve">6. </w:t>
      </w:r>
      <w:r>
        <w:rPr>
          <w:b/>
        </w:rPr>
        <w:t>A scope condition, stated as such.</w:t>
      </w:r>
      <w:r>
        <w:t xml:space="preserve"> On cohorts with one observation unit per group there is no sibling-leakage channel to remove, and repair pays a pure fidelity cost: no accepted repair improved a downstream endpoint. We report this as a boundary on claims, not as a defect, and, more importantly, as something the framework predicts in advance rather than discovers afterwards.</w:t>
      </w:r>
    </w:p>
    <w:p>
      <w:pPr>
        <w:ind w:left="432" w:hanging="432"/>
      </w:pPr>
      <w:r>
        <w:t xml:space="preserve">7. </w:t>
      </w:r>
      <w:r>
        <w:rPr>
          <w:b/>
        </w:rPr>
        <w:t>The predictions hold outside the life sciences, and one of them is a consistency check.</w:t>
      </w:r>
      <w:r>
        <w:t xml:space="preserve"> Because Proposition 1 and both boundaries refer only to a grouping variable, a label, an encoder and a leave-one-group-out probe, they can be falsified elsewhere. On two non-biological cohorts (wearable activity recognition (30 subjects) and chemical gas-sensor drift (10 measurement batches)) with the graph encoder replaced by a multilayer perceptron, the pre-repair ratio correctly predicted an empty dual gate in both (0 of 12 dosed cells accepted in each; counting the three undosed baselines the figure is 0 of 15, and the two counts differ only because λ = 0 is not a repair point), and boundary I reproduced: sibling-unit inflation, τ_LOO − τ_LGO at λ = 0, was +0.0061 on HAR (per-seed +0.0036 to +0.0095) against +0.0494 on the gas-sensor cohort (per-seed +0.0294 to +0.0697), the cohort whose group–label coupling κ is twenty times larger, despite comparable identity identifiability (10.4× versus 9.1× chance). The gap is not sampling variation. Across all 15 seed × dose cells of each cohort the two distributions do not overlap at all (HAR +0.0010 to +0.0095, gas +0.0209 to +0.0697), and a bootstrap 95% interval on the difference of means is +0.024 to +0.063 using baseline cells and +0.032 to +0.047 using all 15 cells, neither interval containing zero. We quote the factor of eight from the baseline means because it is the more conservative of the two ratios; over all cells the ratio is twelve (Table 5, Figure 5; Table S13). This is a test of </w:t>
      </w:r>
      <w:r>
        <w:rPr>
          <w:i/>
        </w:rPr>
        <w:t>predictions</w:t>
      </w:r>
      <w:r>
        <w:t>, not a second full validation: neither cohort carries a downstream endpoint, a planted control, or a domain readout.</w:t>
      </w:r>
    </w:p>
    <w:p>
      <w:r>
        <w:rPr>
          <w:b/>
        </w:rPr>
        <w:t>Two results are tools, not findings.</w:t>
      </w:r>
      <w:r>
        <w:t xml:space="preserve"> Proposition 1 (the precondition test) is deliberately absent from the list above. Its proof is a one-line monotonicity check, and we count it as part of the protocol rather than as a contribution: it is derived in Results, quoted in Experimental Procedures, and used in every cohort below. The configuration manifests are in the same category.</w:t>
      </w:r>
    </w:p>
    <w:p>
      <w:r>
        <w:rPr>
          <w:b/>
        </w:rPr>
        <w:t>Where the novelty lies, stated plainly.</w:t>
      </w:r>
      <w:r>
        <w:t xml:space="preserve"> Finding 1 is the claim we would want to survive if everything else here were withdrawn: it is a statement about evaluation rather than about any method, it errs in one direction only (a unit-level split flatters a model rather than penalising it), and adopting the fix requires nothing new. What is new about it is not the direction of the error, which the blocked-cross-validation literature established,[40,41] but its calibrated magnitude: a number, expressed in null-scale units, that says how much of a reported result the shortcut accounts for, is comparable across cohorts and domains, and stays interpretable after an intervention has been applied. Finding 2 is the instrument that makes findings 3 to 7 readable; the operator inside it is a standard adversarial head, chosen deliberately, because a familiar operator makes the verdict easier to audit and easier to distrust. Findings 3 to 8 are diagnostics and one intervention: they say when repair is worth attempting, when it is provably not, and how far the predictions travel, and they are the parts a better operator or a larger cohort would revise first. A reader who takes the operator away keeps the trap, the instrument and the boundaries; a reader who takes the instrument away still keeps the rule about the split, which costs nothing and applies everywhere.</w:t>
      </w:r>
    </w:p>
    <w:p>
      <w:r>
        <w:rPr>
          <w:b/>
        </w:rPr>
        <w:t>Scope of the claims.</w:t>
      </w:r>
      <w:r>
        <w:t xml:space="preserve"> Three levels of evidence appear in this paper, and we keep them separate throughout. </w:t>
      </w:r>
      <w:r>
        <w:rPr>
          <w:i/>
        </w:rPr>
        <w:t>Validated</w:t>
      </w:r>
      <w:r>
        <w:t xml:space="preserve"> (the complete loop of repair, acceptance, downstream endpoint, planted controls and domain readout) exists in one application domain: spatial transcriptomics, on three real cohorts plus a simulator with known ground truth. </w:t>
      </w:r>
      <w:r>
        <w:rPr>
          <w:i/>
        </w:rPr>
        <w:t>Audited</w:t>
      </w:r>
      <w:r>
        <w:t xml:space="preserve"> (the instrument, both decision boundaries, and the operator's behaviour) extends to two non-biological cohorts (Table 5). These are real experiments on real data, but they test whether the theory's predictions hold elsewhere; they do not establish that repair delivers utility in those domains. </w:t>
      </w:r>
      <w:r>
        <w:rPr>
          <w:i/>
        </w:rPr>
        <w:t>Structural</w:t>
      </w:r>
      <w:r>
        <w:t>: the six remaining rows of Table 4 (medical imaging, speech, electronic health records, remote sensing, recommender systems, multi-centre trials) state the conditions under which the protocol would apply. None of those rows has been tested, and we claim no transfer to them.</w:t>
      </w:r>
    </w:p>
    <w:p>
      <w:r>
        <w:t>Our validation domain is spatial transcriptomics (ST). We chose it because it is a demanding test rather than a convenient one: groups (donors) contribute tens of thousands of observations, the label–identity coupling varies in kind across cohorts, ground-truth simulations with known program amplitude and known leakage channels are available for calibration, public cohorts allow external replication, and the modality is already being pushed towards pathology-grade decision support,[20] so an audit failure there has a downstream consumer. Nothing in the framework, the theory, or the acceptance protocol uses domain-specific structure: the objects are a grouping variable, an observation-level label, an encoder, and an adversary. We therefore treat ST as the worked instantiation of a general protocol rather than as the subject of the paper, and we report the biological results it yields only as checks on the protocol, not as contributions in their own right.</w:t>
      </w:r>
    </w:p>
    <w:p>
      <w:pPr>
        <w:pStyle w:val="Heading1"/>
      </w:pPr>
      <w:r>
        <w:rPr>
          <w:rFonts w:ascii="Times New Roman" w:hAnsi="Times New Roman"/>
          <w:color w:val="000000"/>
        </w:rPr>
        <w:t>RESULTS</w:t>
      </w:r>
    </w:p>
    <w:p>
      <w:pPr>
        <w:pStyle w:val="Heading2"/>
      </w:pPr>
      <w:r>
        <w:rPr>
          <w:rFonts w:ascii="Times New Roman" w:hAnsi="Times New Roman"/>
          <w:color w:val="000000"/>
        </w:rPr>
        <w:t>Identity leakage in group-structured data, and why post-hoc repair cannot fix it</w:t>
      </w:r>
    </w:p>
    <w:p>
      <w:r>
        <w:t>We formalise the setting so that the results transfer. Data are generated by an unobserved set of groups g = 1 … G; each group contributes n_g observation units; each unit carries a label y. Splitting at the unit level leaves sibling units of the same group on both sides of the split, so a model can attain held-out accuracy by matching a group fingerprint. The quantities we use throughout are defined for any encoder and any domain: τ_in, the in-sample association between a linear probe's score and the label; τ_LOO, its leave-one-unit-out counterpart; and τ_LDO, the leave-one-</w:t>
      </w:r>
      <w:r>
        <w:rPr>
          <w:i/>
        </w:rPr>
        <w:t>group</w:t>
      </w:r>
      <w:r>
        <w:t>-out variant in which all units of a held-out group leave jointly. The label-dependence index LDI = (τ_LOO − τ_⊥)/σ̂ calibrates τ_LOO against its own permutation null (refit inference, B = 2,000 permutations), with detection gate LDI &lt; 1.645 (one-sided 5%). The transferable fraction R = τ_LOO/τ_in is the share of what a run fits in-sample that still transfers across groups. Full definitions are in Experimental Procedures.</w:t>
      </w:r>
    </w:p>
    <w:p>
      <w:r>
        <w:rPr>
          <w:b/>
        </w:rPr>
        <w:t>Two units of analysis.</w:t>
      </w:r>
      <w:r>
        <w:t xml:space="preserve"> Every number in this paper belongs to one of two resolutions. The </w:t>
      </w:r>
      <w:r>
        <w:rPr>
          <w:b/>
        </w:rPr>
        <w:t>representation unit</w:t>
      </w:r>
      <w:r>
        <w:t xml:space="preserve"> is the spot: the encoder, the reconstruction decoder and the adversarial head are defined per spot, and repair acts there (thousands of spots per section; the counts are given where the scope condition is developed). The </w:t>
      </w:r>
      <w:r>
        <w:rPr>
          <w:b/>
        </w:rPr>
        <w:t>consumption unit</w:t>
      </w:r>
      <w:r>
        <w:t xml:space="preserve"> is the section: every statistic we report is computed on section-mean embeddings, one vector per donor, because that is the resolution at which a downstream user consumes the representation. The distinction becomes load-bearing at one point only, the scope condition in which we report that no accepted repair improved a downstream endpoint, and we develop it there rather than here.</w:t>
      </w:r>
    </w:p>
    <w:p>
      <w:r>
        <w:t>The cheapest repair for an already-trained model is a post-hoc projection removing the group-mean subspace from the embedding (identity residualization). We tested this first because it requires no retraining, on a real cohort and on simulation arms, and it fails mechanistically. On the cervical cohort, projecting out a single group-mean direction (k = 1) left the in-sample label association intact (τ_in unchanged at 0.46) while the leave-one-out association (the part that transfers across groups) was destroyed (mean τ_LOO 0.46 → −0.08; per-seed −0.38 to +0.19); pushing to k = 2 collapsed both together (τ_LOO −0.44, τ_in 0.05). On the shared-program simulation (whose target program is a shared, group-transferable signal of known amplitude) the collapse was immediate and total (τ_LOO 0.71 → −0.71, τ_in → 0.02 at k = 1). In other words, the projection deleted both the group-specific nuisance fingerprints and the generalisable target information, because after training they occupy the same subspace (Figure 1B–1C): the encoder has already folded group identity and target signal into joint directions that a post-hoc linear filter cannot disentangle. The in-sample metric, which only measures memorization capacity, stays high while the transferable signal is already gone and gives no warning.</w:t>
      </w:r>
    </w:p>
    <w:p>
      <w:r>
        <w:t>This negative result sets the design space for everything that follows and is the first of the two reasons our framework is auditable rather than merely corrective: the acceptance instrument must be able to see the difference between "the leak is gone" and "everything is gone", and it can only do so if the repair is shaped during training.</w:t>
      </w:r>
    </w:p>
    <w:p>
      <w:pPr>
        <w:pStyle w:val="Heading2"/>
      </w:pPr>
      <w:r>
        <w:rPr>
          <w:rFonts w:ascii="Times New Roman" w:hAnsi="Times New Roman"/>
          <w:color w:val="000000"/>
        </w:rPr>
        <w:t>An auditable repair framework: operator, acceptance protocol, and operating characteristics</w:t>
      </w:r>
    </w:p>
    <w:p>
      <w:r>
        <w:rPr>
          <w:b/>
        </w:rPr>
        <w:t>Repair operator.</w:t>
      </w:r>
      <w:r>
        <w:t xml:space="preserve"> We train a graph-attention encoder[14] on the unit-level spatial graph (k-nearest-neighbour, k = 6, with a large coordinate offset that prevents cross-slide edges) with a linear decoder reconstructing expression, and attach a group-identity classifier through a gradient-reversal layer[3,4] with ramped reversal strength α = min(1, 2·epoch/T) (a stability-hardened variant ramps only after a 50-epoch adversary warm-up, with α = 0 before it). The adversary maximizes group-identity accuracy; the encoder, through the reversal, minimizes it. A single hyperparameter λ scales the adversarial term: λ = 0 recovers the un-repaired baseline, and increasing λ doses the repair. In our validation domain the grouping variable is the donor, the units are tissue spots, and the released software instantiation is MRP-ST-Repair.</w:t>
      </w:r>
    </w:p>
    <w:p>
      <w:r>
        <w:rPr>
          <w:b/>
        </w:rPr>
        <w:t>Safety: a strong shared program survives every dose.</w:t>
      </w:r>
      <w:r>
        <w:t xml:space="preserve"> A method that claims to remove leakage must first prove that it does not remove everything. We ran a safety panel on the shared-program positive-control cohort across program amplitudes {0.5, 1.0, 1.5, 2.5}, adversarial doses λ ∈ {0, 0.5, 1, 2, 5}, and three seeds with the GAT encoder (60 runs), plus a graph-convolutional encoder[15] at the reference amplitude (15 runs). In 75 of 75 runs the post-repair leave-one-out association stayed at the analytic ceiling for the cohort's class sizes (τ = 0.707 for 50-versus-40 groups; R ≥ 0.989 in every run), and the LDI stayed at its high baseline (≈ 5.8 at the reference amplitude; 5.6–6.1 across all amplitudes) at every dose (Figure 2A). The safety panel and the matched simulation cohorts of Table 3 are two different parameterisations of the same generator and should not be read as one cohort: the panel uses 50-versus-40 label classes and sits at LDI 5.6–6.1, whereas the matched cohorts of Table 3 use 32 donors in 18-versus-14 classes (800 units each) and sit at +3.54 on the safety arm; the difference in level is a difference of configuration. This is the correct outcome, not a failure: a shared, group-transferable program should survive de-identification, and the detector should keep flagging it as genuine label dependence. Repair does not extinguish real signal; it extinguishes group identity.</w:t>
      </w:r>
    </w:p>
    <w:p>
      <w:r>
        <w:rPr>
          <w:b/>
        </w:rPr>
        <w:t>Non-blindness: the auditor still separates true from spurious after repair.</w:t>
      </w:r>
      <w:r>
        <w:t xml:space="preserve"> Auditability requires more than a working repair: the acceptance instrument must survive the repair it is grading. On the identity-confounding control cohort (where every group, regardless of class, carries a group-specific fingerprint of identical amplitude, so labels can only be fit by memorizing identity) repaired models were correctly graded unsupported in 45 of 45 runs (three configurations × three seeds × five doses; 36 of them carry λ &gt; 0, and the nine undosed baselines are graded unsupported on the same criterion). The largest LDI seen in any configuration, including λ = 0, is 1.554, so the result does not depend on counting baselines: restricting to dosed cells leaves 36 of 36 (Table S2; Figure 2B). The instrument's false-alarm behaviour is therefore preserved under repair. On a weak-signal-plus-heterogeneity cohort, where only one of three seeds was detectable at baseline, moderate repair (λ = 0.5) raised the association in all three seeds (mean τ 0.05 → 0.145, the two previously undetectable seeds moving from −0.03 to +0.13) though none crossed the calibrated gate (per-seed LDI 1.08–1.39; Table S1). This is a small but consistent de-identification-as-preconditioning effect; we report its magnitude honestly and build no claims on it.</w:t>
      </w:r>
    </w:p>
    <w:p>
      <w:r>
        <w:rPr>
          <w:b/>
        </w:rPr>
        <w:t>Backbone generality: the verdict is not an artifact of spatial message passing.</w:t>
      </w:r>
      <w:r>
        <w:t xml:space="preserve"> Two replications ask whether any of this depends on the encoder. Replacing the graph-attention encoder with a graph-convolutional one reproduced the safety panel (15/15 at ceiling), the non-blindness result (15/15 no false alarms) and the external-cohort dose–response shape (Table S5). The stronger test replaces it with a two-layer perceptron of the same widths that performs no message passing at all: the encoder family used in the cross-domain audit below, which is what makes this replication load-bearing rather than decorative. Holding decoder, adversary, gradient-reversal schedule, dose grid, seeds and audit instrument fixed and changing only the encoder, the two backbones agreed both on the quantity Proposition 1 keys on and on the outcome it predicts, in both simulated arms and in opposite directions. On the strong-signal arm, τ_base/σ̂ was 3.54 under graph attention and 3.60 under the perceptron (three seeds each; LDI 3.54 ± 0.06 and 3.60 ± 0.06 at λ = 0): both above the 2.35 threshold, so both predicted an empty dual gate and both produced one (0/12 and 0/12 dosed seed × dose cells accepted), with τ_LDO identical to four decimals (0.7128) at every dose under both. On the spurious arm, where the label carries no transferable program, τ_base/σ̂ was 0.35 and 0.52 (both below the threshold) and both produced accepted cells (2/12 and 2/12). Two readings matter. The accepted cells on the spurious arm are not evidence that repair helped: they occur where the baseline association is itself near zero, so the relative fidelity gate (τ_LDO ≥ 0.7 · τ_base) is satisfied almost automatically. Proposition 1 is a statement about the existence of a feasible operating point, not about whether that point is worth using, and this is precisely the regime where the difference bites: a useful caution for anyone deploying the gate. And the backbone-to-backbone difference (0.06 LDI on the strong-signal arm, 0.18 on the spurious arm, at λ = 0) is smaller than the seed-to-seed spread within a backbone on the same arm (SD 0.02–0.07 and 0.11–1.25 respectively), which is the honest scale at which to read the comparison. What the replication licenses is narrow but important: the perceptron used in the cross-domain audit gives the same verdict as the graph encoder on the validation domain's own data, so that audit's change of encoder is a replication rather than an untested confound (Table S12).</w:t>
      </w:r>
    </w:p>
    <w:p>
      <w:r>
        <w:rPr>
          <w:b/>
        </w:rPr>
        <w:t>The three-axis acceptance protocol.</w:t>
      </w:r>
      <w:r>
        <w:t xml:space="preserve"> Because repair changes the very statistic used to grade it, acceptance cannot be a single threshold. We use three axes: (i) </w:t>
      </w:r>
      <w:r>
        <w:rPr>
          <w:i/>
        </w:rPr>
        <w:t>safety</w:t>
      </w:r>
      <w:r>
        <w:t xml:space="preserve">: the transferable association is preserved relative to baseline on positive controls; (ii) </w:t>
      </w:r>
      <w:r>
        <w:rPr>
          <w:i/>
        </w:rPr>
        <w:t>leakage reduction</w:t>
      </w:r>
      <w:r>
        <w:t xml:space="preserve">: the in-sample memorization gap (τ_in − τ_LOO) shrinks, and on identity-confounding controls the planted fingerprint contribution is reduced; (iii) </w:t>
      </w:r>
      <w:r>
        <w:rPr>
          <w:i/>
        </w:rPr>
        <w:t>non-blindness</w:t>
      </w:r>
      <w:r>
        <w:t xml:space="preserve">: the instrument still grades known controls correctly after repair (true program: supported; identity-confounding: unsupported). Acceptance is then a statement about </w:t>
      </w:r>
      <w:r>
        <w:rPr>
          <w:i/>
        </w:rPr>
        <w:t>which kind</w:t>
      </w:r>
      <w:r>
        <w:t xml:space="preserve"> of label dependence remains, not a demand that all label dependence vanish. This is also the sense in which the word "repaired" is used throughout: passing the gate means the measured group dependence has been brought below a calibrated threshold, not that group identity has been erased. On the audited cohorts repair lowered group-identity lift from 10.0x to 5.4x chance (wearable) and from 9.2x to 7.2x (gas sensor), and it cleared only about 12% of the planted in-sample fingerprint on the identity-confounding control, so a downstream consumer must not assume the group is unrecoverable from the representation. Stated in the form used everywhere in this paper: passing the audit gate means group-dependent leakage has been reduced below a calibrated threshold; it does not mean group identity is fully unrecoverable, and in our own experiments group-identity lift remains several-fold above chance after accepted repair. The next section shows why the second formulation is necessary and not merely preferable.</w:t>
      </w:r>
    </w:p>
    <w:p>
      <w:r>
        <w:t>One quantitative honesty note belongs here. On the identity-confounding control, in-sample fingerprint clearance under repair was partial (≈ 12% reduction at the strongest dose, stable across seeds and across the stability-hardened variant; Table S2): memorized identity rides not only on the fingerprint we planted but also on unplanned group-specific components (batch offsets, spatial-field phase). In-sample τ is therefore a memorization-capacity bound rather than a calibrated leakage measure, which is why the group-level LDI, not τ_in, is the referee.</w:t>
      </w:r>
    </w:p>
    <w:p>
      <w:pPr>
        <w:pStyle w:val="Heading2"/>
      </w:pPr>
      <w:r>
        <w:rPr>
          <w:rFonts w:ascii="Times New Roman" w:hAnsi="Times New Roman"/>
          <w:color w:val="000000"/>
        </w:rPr>
        <w:t>The sibling-unit trap: unit-level evaluation is optimistic whenever a group contributes more than one unit</w:t>
      </w:r>
    </w:p>
    <w:p>
      <w:r>
        <w:t>We place this result immediately after the instrument because it is the most transferable finding in the paper and it does not depend on the repair. We generated a second phase grid that differs from the group-count grid of Decision boundary II in one respect: units per group k ∈ {2, 4, 8} at 16 groups, with the shared group fingerprint as the sole leakage channel and dose λ on the third axis, three seeds per cell, and we evaluated two statistics side by side: the unit-level leave-one-out τ used so far, and the group-level τ_LDO in which every unit of a held-out group is removed jointly. At λ = 0 the two coincide at the ceiling (0.713 for the 18-versus-14 unit classes): the shared program transfers across groups, as it should. After repair they separate dramatically (Figure 3C): unit-level leave-one-out stayed pinned at the ceiling in all 45 runs across k ∈ {2, 4, 8} (each k at its own class-size ceiling), while τ_LDO collapsed (at k = 2: 0.713 → 0.585 at λ = 2 and → 0.230 at λ = 5). The unit-level split is silently rescued by sibling units: the held-out unit's group remains in training through its siblings, so "generalization" is partly a re-identification match. The companion study's leave-one-donor-out AUROC collapse is exactly this effect in the wild; here it is produced and controlled with a single knob.</w:t>
      </w:r>
    </w:p>
    <w:p>
      <w:r>
        <w:t>The effect is not confined to simulation. On the two real cross-domain cohorts audited below, a subject contributes about 343 windows and a measurement batch about 1,391 measurements, and τ_LOO − τ_LGO is positive in all 15 seed × dose cells of each cohort, with per-cell ranges that do not overlap between cohorts (HAR +0.0010 to +0.0095; gas drift +0.0209 to +0.0697; Table 5, Table S13). The trap therefore rests on three independent supports: 45 of 45 simulated runs, 30 of 30 real cross-domain cells, and a clinical cohort in the companion study.[1] None of them is one of the two small cohorts that carry the repair result, which is why we separate this claim from the question of how far the positive repair evidence extends.</w:t>
      </w:r>
    </w:p>
    <w:p>
      <w:r>
        <w:t xml:space="preserve">Our repairability claims are therefore computed at k = 1, where the two statistics coincide by construction, and we state the resulting recommendation as a protocol rule: </w:t>
      </w:r>
      <w:r>
        <w:rPr>
          <w:b/>
        </w:rPr>
        <w:t>whenever a group contributes more than one unit, model acceptance must be measured at the group level, never the unit level.</w:t>
      </w:r>
      <w:r>
        <w:t xml:space="preserve"> The grid probes k ∈ {1, 2, 4, 8}, which is three orders of magnitude below the representation-level group size of our validation cohorts (about 3,617 spots per donor) and is not intended to match it: what decides whether the trap binds is the number of units a group contributes </w:t>
      </w:r>
      <w:r>
        <w:rPr>
          <w:i/>
        </w:rPr>
        <w:t>at the resolution at which the model is consumed</w:t>
      </w:r>
      <w:r>
        <w:t>. In the validation domain that number is one section per donor, so the trap is dormant and the two statistics coincide; in the cross-domain cohorts it is about 343 windows per subject and 1,391 measurements per batch, so the trap is live there (Figure 5B). A reader who compares the grid's k against a spot count is comparing the wrong pair of numbers. The rule is a contribution about evaluation hygiene rather than about our operator: it applies to any model on any group-structured dataset, and it costs nothing to adopt.</w:t>
      </w:r>
    </w:p>
    <w:p>
      <w:pPr>
        <w:pStyle w:val="Heading2"/>
      </w:pPr>
      <w:r>
        <w:rPr>
          <w:rFonts w:ascii="Times New Roman" w:hAnsi="Times New Roman"/>
          <w:color w:val="000000"/>
        </w:rPr>
        <w:t>A precondition test for the detect-then-accept gate</w:t>
      </w:r>
    </w:p>
    <w:p>
      <w:r>
        <w:rPr>
          <w:b/>
        </w:rPr>
        <w:t>A precondition test decides which acceptance criterion is coherent (Proposition 1).</w:t>
      </w:r>
      <w:r>
        <w:t xml:space="preserve"> A remove-and-preserve gate (label dependence gone, transferable signal retained) is not always satisfiable, and whether it is can be settled from the unrepaired baseline alone. Proposition 1 (stated and proved in Experimental Procedures) reduces the question to one reported number, the critical retention c_crit = 1.645 σ̂/τ_base: the dual gate is non-empty for every retention requirement c &lt; c_crit and empty for every c ≥ c_crit. Its proof is a one-line monotonicity check and we claim no mathematical novelty for it; its value is that it is computable before any repaired model is trained. On our cohorts c_crit = 0.28 (shared-program simulation), 0.69 (cervical), 0.75 (head and neck), 0.80 (prostate), 0.12 (HAR) and 0.15 (gas drift). Read against the conventional c = 0.7 the ratio places every cohort correctly (Table 1), and the ordering of cohorts is invariant to c because only the cut point moves. Two readings have to be kept apart: what is pre-computed is the feasibility verdict, not the LDI that any particular dose will return, and σ̂ is re-estimated for every run (drifting by at most 7.6% on head and neck and 9.5% on prostate across the dose grid), which we verified changes no verdict we report (Table S14).</w:t>
      </w:r>
    </w:p>
    <w:p>
      <w:pPr>
        <w:pStyle w:val="Heading2"/>
      </w:pPr>
      <w:r>
        <w:rPr>
          <w:rFonts w:ascii="Times New Roman" w:hAnsi="Times New Roman"/>
          <w:color w:val="000000"/>
        </w:rPr>
        <w:t>Decision boundary I: label–identity coupling determines repairability</w:t>
      </w:r>
    </w:p>
    <w:p>
      <w:r>
        <w:t>Two real cohorts, two label types, one method, opposite outcomes.</w:t>
      </w:r>
    </w:p>
    <w:p>
      <w:r>
        <w:rPr>
          <w:b/>
        </w:rPr>
        <w:t>Cervical neoplasia (ordinal severity; 35 Visium slides).</w:t>
      </w:r>
      <w:r>
        <w:t xml:space="preserve"> With unbounded identity information, the baseline model's leave-one-out association is large relative to the null scale (τ_LOO ≈ 0.42; LDI ≈ 2.4–2.5 at λ = 0; Table S3). Dosing the repair produced a bistable response that survived stability hardening (adversary warm-up, gradient clipping, spectral-normalized adversary heads): low doses (λ ≤ 1) left LDI above the gate (2.00–2.52), while at high doses (λ ∈ {2, 5}) every seed produced below-gate runs (LDI 0.62–1.15) that retained only 27–50% of the transferable association, and the response was erratic rather than monotone: the same seed sat above the gate at one high dose and below it at the other (LDI 2.41 at λ = 2 but 0.80 at λ = 5 in one seed; 1.15 at λ = 2 but 2.42 at λ = 5 in another). There is no stable intermediate operating point. The mechanistic reading is direct: an ordinal severity label (normal, high-grade intraepithelial lesion, carcinoma) encodes each patient's individual pathological history; severity and identity are nearly the same variable in a small cohort, so any dose strong enough to strip identity also strips the label. The companion study reports the motivating collapse in different units, and the two are not commensurable, so we cite it as the origin of the observation rather than as corroboration of a measurement made here: there, a model that separated its cohort perfectly in sample (AUROC 1.00) fell to chance under leave-one-donor-out evaluation (0.497);[1] here, the in-sample association is almost entirely retained under donor holdout (τ_in = 0.462 against τ_LOO of about 0.42, a retention of 0.92; Table S3), so what is large on this cohort is the level of the held-out association relative to the permutation null (about 0.17), not the drop away from the in-sample fit. The mechanistic reading above rests on the dose response and on the random-label control of the next paragraph, not on reference [1].</w:t>
      </w:r>
    </w:p>
    <w:p>
      <w:r>
        <w:rPr>
          <w:b/>
        </w:rPr>
        <w:t>A random-label control isolates the cause.</w:t>
      </w:r>
      <w:r>
        <w:t xml:space="preserve"> We kept the same 35-slide cohort and the same label distribution (31 class-0, 1 class-1, 3 class-2) but shuffled the label assignment across donors (fixed seed), breaking every label–identity coupling. Under identical doses, seeds, and stability interventions, the baseline LDI was negative (mean −0.82) and remained negative at every dose (range −0.65 to −1.15), with no bistability and no dose at which the LDI crossed the gate from above. The contrast is causal: the bistable response on real labels requires the label–identity coupling; remove the coupling and there is nothing to repair.</w:t>
      </w:r>
    </w:p>
    <w:p>
      <w:r>
        <w:rPr>
          <w:b/>
        </w:rPr>
        <w:t>Head and neck squamous cell carcinoma, external validation (etiological binary label; 16 patients, GSE268014).</w:t>
      </w:r>
      <w:r>
        <w:t xml:space="preserve"> We downloaded a public Visium cohort of HPV-positive and HPV-negative head-and-neck tumours and trained the same repair stack. The dose–response was qualitatively different and, for the first time in a real cohort, complete and non-monotonic in both statistics (Table 2; Figure 2C): LDI fell with dose to a minimum near λ = 0.5 (1.13–1.37, three of three seeds under the gate), then partially rebounded; R fell and then recovered, with one seed at the maximal dose regaining R = 0.90 (τ_LOO = 0.64); in an independent non-hardened replication the same seed and dose reached the analytic ceiling for 8-versus-8 patients (τ_LOO = τ_in = 0.7303: the theoretical maximum), a point of perfect group-transferable generalization (Table S4). Operating points below the LDI gate existed across λ ∈ {0.5, 1, 2}: seven of nine seed × dose cells, with all three seeds passing at λ = 0.5, and the transferable fraction at those cells spanned R = 0.38–0.60. One of those nine also clears the fidelity axis (τ_LDO ≥ 0.7 · τ_base), at λ = 2 with τ_LDO = 0.434, i.e. 0.73 of the baseline association, and that single cell is what the dual gate admits; the distance between seven and one is the conflict Proposition 1 describes, now measured rather than derived (the non-hardened replication reproduced the same shape, per-seed R 0.34–0.75 at λ = 2). Permutation-depth sensitivity was nil: recomputing the null at B = 10,000 instead of 2,000 permutations flipped no gate decision in the 15 external-cohort runs and moved σ̂ by ≤ 4.4%, and the leave-one-out statistic recomputed bit-identically.</w:t>
      </w:r>
    </w:p>
    <w:p>
      <w:r>
        <w:rPr>
          <w:b/>
        </w:rPr>
        <w:t>Prostate adenocarcinoma, second external validation (binary benign-versus-tumour label; 52 patients, GSE278936).</w:t>
      </w:r>
      <w:r>
        <w:t xml:space="preserve"> We used a 52-patient subset of GSE278936 (a 120-patient prostate cancer Visium cohort) comprising 4 benign prostatic hyperplasia and 48 tumour sections spanning treatment-naive, neoadjuvant-treated, castration-resistant, and metastatic disease, and ran the same repair stack (Table 2; Table S10). The baseline model leaked (mean LDI = 2.04, above the gate); repair at λ = 1.0 brought the mean LDI below the gate (1.51) while retaining R = 0.60 (per-seed 0.56–0.67), and an independent three-seed re-run reproduced the same accepted cell (mean LDI = 1.46) with the same seed remaining the highest-LDI seed. One caveat on the statistic: τ_in is pinned at 0.3805 in this cohort, the analytic tau-b ceiling for a 4-versus-48 label split, so R here is a rescaling of τ_LDO rather than an independent quantity and the acceptance claim rests on LDI against the calibrated gate. Compared with the head-and-neck cohort, clearance was less complete (LDI did not cross below zero), consistent with a tighter label–identity coupling: benign-versus-tumour is collinear with specimen provenance (hyperplasia specimens versus tumour specimens), leaving less label-independent variation for the adversary to preserve. The acceptance verdict was still positive at λ = 1.0.</w:t>
      </w:r>
    </w:p>
    <w:p>
      <w:r>
        <w:rPr>
          <w:b/>
        </w:rPr>
        <w:t>The contrast is the finding.</w:t>
      </w:r>
      <w:r>
        <w:t xml:space="preserve"> An etiological label (which virus caused this tumour) is external to the group's identity: many groups share the same cause, and the program it induces (cell-cycle entry, squamous differentiation) is genuinely shared. An ordinal severity label is internal to the group's history. Under identical methods and dose schedules, the etiological labels preserve a transferable fraction of 0.38–0.60 at accepted operating points (0.69–0.94 unrepaired; one maximal-dose seed reached 0.90, which the three-axis protocol scores as surviving shared signal rather than as an acceptance failure), while the ordinal label admits none. Repairability is thus a measurable property of a cohort's label–identity coupling structure (the first of two decision boundaries) and it decomposes the vague notion of "external validity" into a quantity that can be reasoned about before training.</w:t>
      </w:r>
    </w:p>
    <w:p>
      <w:pPr>
        <w:pStyle w:val="Heading2"/>
      </w:pPr>
      <w:r>
        <w:rPr>
          <w:rFonts w:ascii="Times New Roman" w:hAnsi="Times New Roman"/>
          <w:color w:val="000000"/>
        </w:rPr>
        <w:t>Decision boundary II: a group-count feasibility boundary</w:t>
      </w:r>
    </w:p>
    <w:p>
      <w:r>
        <w:t>If repairability depends on cohort structure, how does it scale with the number of groups? We generated a two-dimensional phase grid: groups n ∈ {4, 8, 16, 32, 64} (5:4 class ratio fixed) at one unit per group, a shared group fingerprint as the sole leakage channel (amplitude matched to the positive controls), and repair dose λ on the third axis, at two signal strengths (1.0 and 0.3), three seeds per cell.</w:t>
      </w:r>
    </w:p>
    <w:p>
      <w:r>
        <w:t xml:space="preserve">Two results, one negative and one positive, both informative. </w:t>
      </w:r>
      <w:r>
        <w:rPr>
          <w:b/>
        </w:rPr>
        <w:t>Negative:</w:t>
      </w:r>
      <w:r>
        <w:t xml:space="preserve"> at λ = 0 (no repair) the leave-one-out association stayed at ceiling for n ≥ 8 at signal 1.0: detection is group-count-robust at one-unit-per-group, because the leave-one-out probe already blocks the only leakage channel; a "leakage phase boundary" for </w:t>
      </w:r>
      <w:r>
        <w:rPr>
          <w:i/>
        </w:rPr>
        <w:t>detection</w:t>
      </w:r>
      <w:r>
        <w:t xml:space="preserve"> does not exist at k = 1. (That the auditor is itself robust to group count is a deliverable of this grid.) </w:t>
      </w:r>
      <w:r>
        <w:rPr>
          <w:b/>
        </w:rPr>
        <w:t>Positive:</w:t>
      </w:r>
      <w:r>
        <w:t xml:space="preserve"> the repair columns exhibit a sharp boundary (Figure 3A). At signal 1.0, for n ≤ 16 the cell-mean transferable fraction collapsed under most doses (minima per group count: −0.67 at n = 4, 0.08 at n = 8, 0.58 at n = 16; per-seed values in Table S8), while for n ≥ 32 no dose in any cell dropped the cell mean below 0.86 (all cell means ≥ 0.98 at n = 64): the feasibility boundary lies between 16 and 32 groups in this configuration (five-seed verification at the boundary cells in Table S6). The interval is a placement, not a constant; it moves with encoder capacity, noise, program–identity alignment and probe class, and it should be re-derived rather than quoted (Limitations (iii)). At signal 0.3 the boundary moved rightward, landing between 32 and 64 groups (worst cell mean 0.80 at n = 32). The mechanism is the subspace argument of the post-hoc failure, now at the population level: with few groups, the identity subspace spans or contains the program direction, so any dose that suppresses identity necessarily suppresses the program; with many groups, identity directions average out and the program survives. Weaker signals are geometrically closer to the identity subspace and need more groups to be recoverable. Dose–response within the damaged region was again non-monotonic (mid doses worst), matching the real-cohort behaviour.</w:t>
      </w:r>
    </w:p>
    <w:p>
      <w:r>
        <w:t xml:space="preserve">This boundary is the quantitative form of a decision rule: it gives a </w:t>
      </w:r>
      <w:r>
        <w:rPr>
          <w:i/>
        </w:rPr>
        <w:t>precondition</w:t>
      </w:r>
      <w:r>
        <w:t xml:space="preserve"> for repair (a group budget at a given signal strength) rather than a guarantee, and it explains where each real cohort sits on the repairability map: the cervical cohort with 35 slides but effectively few information groups per severity stratum and identity-severely-coupled labels, and the 16-patient head-and-neck cohort with an etiological label just below the signal-1.0 boundary but weaker coupling.</w:t>
      </w:r>
    </w:p>
    <w:p>
      <w:pPr>
        <w:pStyle w:val="Heading2"/>
      </w:pPr>
      <w:r>
        <w:rPr>
          <w:rFonts w:ascii="Times New Roman" w:hAnsi="Times New Roman"/>
          <w:color w:val="000000"/>
        </w:rPr>
        <w:t>Auditability as a discriminator: a failure-mode taxonomy for existing deconfounding methods</w:t>
      </w:r>
    </w:p>
    <w:p>
      <w:r>
        <w:t>To establish that the repair operator is not a repackaging of an existing deconfounding technique, we compared it against three widely used methods on two scale-matched simulation cohorts that differ only in the nature of the between-group signal. Cohort A carries a strong shared target program (the safety arm: repair must not kill a real, transferable signal); cohort C carries only an identity-fingerprint confound with no transferable class signal (the leakage arm). All methods were run on the same n × λ × k grid with three seeds; the LDI gate is 1.645. Only the adversarial repair simultaneously keeps τ_LDO at the ceiling in cohort A (R = 1.00, signal fully preserved) and drives LDI below zero in cohort C (leakage eliminated). Group-DRO leaves the leakage signal positive; IRM preserves the identity fingerprint as if it were an invariant feature (LDI rises to +3.2).</w:t>
      </w:r>
    </w:p>
    <w:p>
      <w:r>
        <w:rPr>
          <w:b/>
        </w:rPr>
        <w:t>On baselines.</w:t>
      </w:r>
      <w:r>
        <w:t xml:space="preserve"> A natural expectation is a comparison against a published adversarial removal method, but our operator </w:t>
      </w:r>
      <w:r>
        <w:rPr>
          <w:i/>
        </w:rPr>
        <w:t>is</w:t>
      </w:r>
      <w:r>
        <w:t xml:space="preserve"> that method: a gradient-reversal layer,[3,4] a cross-entropy adversary on the grouping variable and a scalar dose λ is the canonical design,[27–29] so a second instance of it would compare our acceptance protocol against itself. What can be compared are methods that pursue the same goal through a different objective, reweighting (Group-DRO) and invariance (IRM). The gap this leaves is real and is stated in the limitations: non-adversarial removal families were not benchmarked, and the operating characteristics of finding 1 would need re-measuring for any of them. Two things about that gap should be kept straight. The instrument does not depend on the operator: LDI, the three axes and the group-level acceptance rule read a representation rather than a training objective, so the same protocol can be run on the output of any deconfounding method, including the ones not benchmarked here. And the two failure modes we report are properties of two specific methods, not a law about all of them: whether null-space projection, contrastive objectives or conditional reweighting fail in the same way is unknown.</w:t>
      </w:r>
    </w:p>
    <w:p>
      <w:r>
        <w:t xml:space="preserve">Three mechanistic findings emerge. </w:t>
      </w:r>
      <w:r>
        <w:rPr>
          <w:b/>
        </w:rPr>
        <w:t>First, IRM is not merely weak here: it is structurally counterproductive.</w:t>
      </w:r>
      <w:r>
        <w:t xml:space="preserve"> IRM's invariance assumption treats the most environment-stable feature as causal, but under identity leakage the group fingerprint </w:t>
      </w:r>
      <w:r>
        <w:rPr>
          <w:i/>
        </w:rPr>
        <w:t>is</w:t>
      </w:r>
      <w:r>
        <w:t xml:space="preserve"> the cross-unit invariant signal, so IRM preserves and amplifies it (LDI +3.2 in cohort C). This is an applicability-boundary failure of invariance-based deconfounding under label–identity confounding, not under domain shift. </w:t>
      </w:r>
      <w:r>
        <w:rPr>
          <w:b/>
        </w:rPr>
        <w:t>Second, Group-DRO illustrates that in-sample memorization-gap reduction is not a sufficient acceptance criterion.</w:t>
      </w:r>
      <w:r>
        <w:t xml:space="preserve"> Group-DRO shrinks the in-sample gap (gap ratio &lt; 1) yet leaves cross-group LDI positive, because reweighting hard samples does not touch the transferable leakage component. Only a cross-group statistic detects this. </w:t>
      </w:r>
      <w:r>
        <w:rPr>
          <w:b/>
        </w:rPr>
        <w:t>Third, the adversarial repair does not shrink the in-sample gap: it reverses the leakage direction.</w:t>
      </w:r>
      <w:r>
        <w:t xml:space="preserve"> τ_LDO crosses from positive to negative (LDI &lt; 0) while τ_in stays high, so the in-sample gap widens. The dose at which τ_LDO changes sign defines a leakage-direction reversal point that is a more precise repair-onset marker than gap reduction.</w:t>
      </w:r>
    </w:p>
    <w:p>
      <w:pPr>
        <w:spacing w:before="200"/>
      </w:pPr>
      <w:r>
        <w:rPr>
          <w:b/>
        </w:rPr>
        <w:t>Table 3. Head-to-head comparison of deconfounding methods on matched simulation cohorts (three seeds).</w:t>
      </w:r>
      <w:r>
        <w:t xml:space="preserve"> Cohort A (safety): strong shared target program. Cohort C (leakage): identity-fingerprint confound only. LDI is the leakage-detection index (gate 1.645); R = τ_LDO/τ_in. Cohort C's baseline LDI is +0.345, already below the 1.645 gate, so repair moves the index from a small positive to a small negative value: the confound is removed and the sign flips, but this is not a gate crossing and cannot be read as one, because no gate separated the two states.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before="0"/>
            </w:pPr>
            <w:r/>
            <w:r>
              <w:rPr>
                <w:b/>
                <w:sz w:val="18"/>
              </w:rPr>
              <w:t>Method</w:t>
            </w:r>
          </w:p>
        </w:tc>
        <w:tc>
          <w:tcPr>
            <w:tcW w:type="dxa" w:w="1170"/>
          </w:tcPr>
          <w:p>
            <w:pPr>
              <w:spacing w:after="0" w:before="0"/>
            </w:pPr>
            <w:r/>
            <w:r>
              <w:rPr>
                <w:b/>
                <w:sz w:val="18"/>
              </w:rPr>
              <w:t>λ</w:t>
            </w:r>
          </w:p>
        </w:tc>
        <w:tc>
          <w:tcPr>
            <w:tcW w:type="dxa" w:w="1170"/>
          </w:tcPr>
          <w:p>
            <w:pPr>
              <w:spacing w:after="0" w:before="0"/>
            </w:pPr>
            <w:r/>
            <w:r>
              <w:rPr>
                <w:b/>
                <w:sz w:val="18"/>
              </w:rPr>
              <w:t>LDI_A</w:t>
            </w:r>
          </w:p>
        </w:tc>
        <w:tc>
          <w:tcPr>
            <w:tcW w:type="dxa" w:w="1170"/>
          </w:tcPr>
          <w:p>
            <w:pPr>
              <w:spacing w:after="0" w:before="0"/>
            </w:pPr>
            <w:r/>
            <w:r>
              <w:rPr>
                <w:b/>
                <w:sz w:val="18"/>
              </w:rPr>
              <w:t>τ_LDO,A</w:t>
            </w:r>
          </w:p>
        </w:tc>
        <w:tc>
          <w:tcPr>
            <w:tcW w:type="dxa" w:w="1170"/>
          </w:tcPr>
          <w:p>
            <w:pPr>
              <w:spacing w:after="0" w:before="0"/>
            </w:pPr>
            <w:r/>
            <w:r>
              <w:rPr>
                <w:b/>
                <w:sz w:val="18"/>
              </w:rPr>
              <w:t>R_A</w:t>
            </w:r>
          </w:p>
        </w:tc>
        <w:tc>
          <w:tcPr>
            <w:tcW w:type="dxa" w:w="1170"/>
          </w:tcPr>
          <w:p>
            <w:pPr>
              <w:spacing w:after="0" w:before="0"/>
            </w:pPr>
            <w:r/>
            <w:r>
              <w:rPr>
                <w:b/>
                <w:sz w:val="18"/>
              </w:rPr>
              <w:t>LDI_C</w:t>
            </w:r>
          </w:p>
        </w:tc>
        <w:tc>
          <w:tcPr>
            <w:tcW w:type="dxa" w:w="1170"/>
          </w:tcPr>
          <w:p>
            <w:pPr>
              <w:spacing w:after="0" w:before="0"/>
            </w:pPr>
            <w:r/>
            <w:r>
              <w:rPr>
                <w:b/>
                <w:sz w:val="18"/>
              </w:rPr>
              <w:t>τ_LDO,C</w:t>
            </w:r>
          </w:p>
        </w:tc>
        <w:tc>
          <w:tcPr>
            <w:tcW w:type="dxa" w:w="1170"/>
          </w:tcPr>
          <w:p>
            <w:pPr>
              <w:spacing w:after="0" w:before="0"/>
            </w:pPr>
            <w:r/>
            <w:r>
              <w:rPr>
                <w:b/>
                <w:sz w:val="18"/>
              </w:rPr>
              <w:t>R_C</w:t>
            </w:r>
          </w:p>
        </w:tc>
      </w:tr>
      <w:tr>
        <w:tc>
          <w:tcPr>
            <w:tcW w:type="dxa" w:w="1170"/>
          </w:tcPr>
          <w:p>
            <w:pPr>
              <w:spacing w:after="0" w:before="0"/>
            </w:pPr>
            <w:r/>
            <w:r>
              <w:rPr>
                <w:sz w:val="18"/>
              </w:rPr>
              <w:t>Baseline</w:t>
            </w:r>
          </w:p>
        </w:tc>
        <w:tc>
          <w:tcPr>
            <w:tcW w:type="dxa" w:w="1170"/>
          </w:tcPr>
          <w:p>
            <w:pPr>
              <w:spacing w:after="0" w:before="0"/>
            </w:pPr>
            <w:r/>
            <w:r>
              <w:rPr>
                <w:sz w:val="18"/>
              </w:rPr>
              <w:t>0</w:t>
            </w:r>
          </w:p>
        </w:tc>
        <w:tc>
          <w:tcPr>
            <w:tcW w:type="dxa" w:w="1170"/>
          </w:tcPr>
          <w:p>
            <w:pPr>
              <w:spacing w:after="0" w:before="0"/>
            </w:pPr>
            <w:r/>
            <w:r>
              <w:rPr>
                <w:sz w:val="18"/>
              </w:rPr>
              <w:t>+3.538</w:t>
            </w:r>
          </w:p>
        </w:tc>
        <w:tc>
          <w:tcPr>
            <w:tcW w:type="dxa" w:w="1170"/>
          </w:tcPr>
          <w:p>
            <w:pPr>
              <w:spacing w:after="0" w:before="0"/>
            </w:pPr>
            <w:r/>
            <w:r>
              <w:rPr>
                <w:sz w:val="18"/>
              </w:rPr>
              <w:t>+0.7128</w:t>
            </w:r>
          </w:p>
        </w:tc>
        <w:tc>
          <w:tcPr>
            <w:tcW w:type="dxa" w:w="1170"/>
          </w:tcPr>
          <w:p>
            <w:pPr>
              <w:spacing w:after="0" w:before="0"/>
            </w:pPr>
            <w:r/>
            <w:r>
              <w:rPr>
                <w:sz w:val="18"/>
              </w:rPr>
              <w:t>+1.000</w:t>
            </w:r>
          </w:p>
        </w:tc>
        <w:tc>
          <w:tcPr>
            <w:tcW w:type="dxa" w:w="1170"/>
          </w:tcPr>
          <w:p>
            <w:pPr>
              <w:spacing w:after="0" w:before="0"/>
            </w:pPr>
            <w:r/>
            <w:r>
              <w:rPr>
                <w:sz w:val="18"/>
              </w:rPr>
              <w:t>+0.345</w:t>
            </w:r>
          </w:p>
        </w:tc>
        <w:tc>
          <w:tcPr>
            <w:tcW w:type="dxa" w:w="1170"/>
          </w:tcPr>
          <w:p>
            <w:pPr>
              <w:spacing w:after="0" w:before="0"/>
            </w:pPr>
            <w:r/>
            <w:r>
              <w:rPr>
                <w:sz w:val="18"/>
              </w:rPr>
              <w:t>+0.0717</w:t>
            </w:r>
          </w:p>
        </w:tc>
        <w:tc>
          <w:tcPr>
            <w:tcW w:type="dxa" w:w="1170"/>
          </w:tcPr>
          <w:p>
            <w:pPr>
              <w:spacing w:after="0" w:before="0"/>
            </w:pPr>
            <w:r/>
            <w:r>
              <w:rPr>
                <w:sz w:val="18"/>
              </w:rPr>
              <w:t>+0.101</w:t>
            </w:r>
          </w:p>
        </w:tc>
      </w:tr>
      <w:tr>
        <w:tc>
          <w:tcPr>
            <w:tcW w:type="dxa" w:w="1170"/>
          </w:tcPr>
          <w:p>
            <w:pPr>
              <w:spacing w:after="0" w:before="0"/>
            </w:pPr>
            <w:r/>
            <w:r>
              <w:rPr>
                <w:sz w:val="18"/>
              </w:rPr>
              <w:t>MRP (adversarial repair)</w:t>
            </w:r>
          </w:p>
        </w:tc>
        <w:tc>
          <w:tcPr>
            <w:tcW w:type="dxa" w:w="1170"/>
          </w:tcPr>
          <w:p>
            <w:pPr>
              <w:spacing w:after="0" w:before="0"/>
            </w:pPr>
            <w:r/>
            <w:r>
              <w:rPr>
                <w:sz w:val="18"/>
              </w:rPr>
              <w:t>0.5</w:t>
            </w:r>
          </w:p>
        </w:tc>
        <w:tc>
          <w:tcPr>
            <w:tcW w:type="dxa" w:w="1170"/>
          </w:tcPr>
          <w:p>
            <w:pPr>
              <w:spacing w:after="0" w:before="0"/>
            </w:pPr>
            <w:r/>
            <w:r>
              <w:rPr>
                <w:sz w:val="18"/>
              </w:rPr>
              <w:t>+3.436</w:t>
            </w:r>
          </w:p>
        </w:tc>
        <w:tc>
          <w:tcPr>
            <w:tcW w:type="dxa" w:w="1170"/>
          </w:tcPr>
          <w:p>
            <w:pPr>
              <w:spacing w:after="0" w:before="0"/>
            </w:pPr>
            <w:r/>
            <w:r>
              <w:rPr>
                <w:sz w:val="18"/>
              </w:rPr>
              <w:t>+0.7128</w:t>
            </w:r>
          </w:p>
        </w:tc>
        <w:tc>
          <w:tcPr>
            <w:tcW w:type="dxa" w:w="1170"/>
          </w:tcPr>
          <w:p>
            <w:pPr>
              <w:spacing w:after="0" w:before="0"/>
            </w:pPr>
            <w:r/>
            <w:r>
              <w:rPr>
                <w:sz w:val="18"/>
              </w:rPr>
              <w:t>+1.000</w:t>
            </w:r>
          </w:p>
        </w:tc>
        <w:tc>
          <w:tcPr>
            <w:tcW w:type="dxa" w:w="1170"/>
          </w:tcPr>
          <w:p>
            <w:pPr>
              <w:spacing w:after="0" w:before="0"/>
            </w:pPr>
            <w:r/>
            <w:r>
              <w:rPr>
                <w:sz w:val="18"/>
              </w:rPr>
              <w:t>−0.244</w:t>
            </w:r>
          </w:p>
        </w:tc>
        <w:tc>
          <w:tcPr>
            <w:tcW w:type="dxa" w:w="1170"/>
          </w:tcPr>
          <w:p>
            <w:pPr>
              <w:spacing w:after="0" w:before="0"/>
            </w:pPr>
            <w:r/>
            <w:r>
              <w:rPr>
                <w:sz w:val="18"/>
              </w:rPr>
              <w:t>−0.0490</w:t>
            </w:r>
          </w:p>
        </w:tc>
        <w:tc>
          <w:tcPr>
            <w:tcW w:type="dxa" w:w="1170"/>
          </w:tcPr>
          <w:p>
            <w:pPr>
              <w:spacing w:after="0" w:before="0"/>
            </w:pPr>
            <w:r/>
            <w:r>
              <w:rPr>
                <w:sz w:val="18"/>
              </w:rPr>
              <w:t>−0.069</w:t>
            </w:r>
          </w:p>
        </w:tc>
      </w:tr>
      <w:tr>
        <w:tc>
          <w:tcPr>
            <w:tcW w:type="dxa" w:w="1170"/>
          </w:tcPr>
          <w:p>
            <w:pPr>
              <w:spacing w:after="0" w:before="0"/>
            </w:pPr>
            <w:r/>
            <w:r>
              <w:rPr>
                <w:sz w:val="18"/>
              </w:rPr>
              <w:t>MRP</w:t>
            </w:r>
          </w:p>
        </w:tc>
        <w:tc>
          <w:tcPr>
            <w:tcW w:type="dxa" w:w="1170"/>
          </w:tcPr>
          <w:p>
            <w:pPr>
              <w:spacing w:after="0" w:before="0"/>
            </w:pPr>
            <w:r/>
            <w:r>
              <w:rPr>
                <w:sz w:val="18"/>
              </w:rPr>
              <w:t>1</w:t>
            </w:r>
          </w:p>
        </w:tc>
        <w:tc>
          <w:tcPr>
            <w:tcW w:type="dxa" w:w="1170"/>
          </w:tcPr>
          <w:p>
            <w:pPr>
              <w:spacing w:after="0" w:before="0"/>
            </w:pPr>
            <w:r/>
            <w:r>
              <w:rPr>
                <w:sz w:val="18"/>
              </w:rPr>
              <w:t>+3.491</w:t>
            </w:r>
          </w:p>
        </w:tc>
        <w:tc>
          <w:tcPr>
            <w:tcW w:type="dxa" w:w="1170"/>
          </w:tcPr>
          <w:p>
            <w:pPr>
              <w:spacing w:after="0" w:before="0"/>
            </w:pPr>
            <w:r/>
            <w:r>
              <w:rPr>
                <w:sz w:val="18"/>
              </w:rPr>
              <w:t>+0.7128</w:t>
            </w:r>
          </w:p>
        </w:tc>
        <w:tc>
          <w:tcPr>
            <w:tcW w:type="dxa" w:w="1170"/>
          </w:tcPr>
          <w:p>
            <w:pPr>
              <w:spacing w:after="0" w:before="0"/>
            </w:pPr>
            <w:r/>
            <w:r>
              <w:rPr>
                <w:sz w:val="18"/>
              </w:rPr>
              <w:t>+1.000</w:t>
            </w:r>
          </w:p>
        </w:tc>
        <w:tc>
          <w:tcPr>
            <w:tcW w:type="dxa" w:w="1170"/>
          </w:tcPr>
          <w:p>
            <w:pPr>
              <w:spacing w:after="0" w:before="0"/>
            </w:pPr>
            <w:r/>
            <w:r>
              <w:rPr>
                <w:sz w:val="18"/>
              </w:rPr>
              <w:t>−0.516</w:t>
            </w:r>
          </w:p>
        </w:tc>
        <w:tc>
          <w:tcPr>
            <w:tcW w:type="dxa" w:w="1170"/>
          </w:tcPr>
          <w:p>
            <w:pPr>
              <w:spacing w:after="0" w:before="0"/>
            </w:pPr>
            <w:r/>
            <w:r>
              <w:rPr>
                <w:sz w:val="18"/>
              </w:rPr>
              <w:t>−0.1075</w:t>
            </w:r>
          </w:p>
        </w:tc>
        <w:tc>
          <w:tcPr>
            <w:tcW w:type="dxa" w:w="1170"/>
          </w:tcPr>
          <w:p>
            <w:pPr>
              <w:spacing w:after="0" w:before="0"/>
            </w:pPr>
            <w:r/>
            <w:r>
              <w:rPr>
                <w:sz w:val="18"/>
              </w:rPr>
              <w:t>−0.151</w:t>
            </w:r>
          </w:p>
        </w:tc>
      </w:tr>
      <w:tr>
        <w:tc>
          <w:tcPr>
            <w:tcW w:type="dxa" w:w="1170"/>
          </w:tcPr>
          <w:p>
            <w:pPr>
              <w:spacing w:after="0" w:before="0"/>
            </w:pPr>
            <w:r/>
            <w:r>
              <w:rPr>
                <w:sz w:val="18"/>
              </w:rPr>
              <w:t>MRP</w:t>
            </w:r>
          </w:p>
        </w:tc>
        <w:tc>
          <w:tcPr>
            <w:tcW w:type="dxa" w:w="1170"/>
          </w:tcPr>
          <w:p>
            <w:pPr>
              <w:spacing w:after="0" w:before="0"/>
            </w:pPr>
            <w:r/>
            <w:r>
              <w:rPr>
                <w:sz w:val="18"/>
              </w:rPr>
              <w:t>2</w:t>
            </w:r>
          </w:p>
        </w:tc>
        <w:tc>
          <w:tcPr>
            <w:tcW w:type="dxa" w:w="1170"/>
          </w:tcPr>
          <w:p>
            <w:pPr>
              <w:spacing w:after="0" w:before="0"/>
            </w:pPr>
            <w:r/>
            <w:r>
              <w:rPr>
                <w:sz w:val="18"/>
              </w:rPr>
              <w:t>+3.503</w:t>
            </w:r>
          </w:p>
        </w:tc>
        <w:tc>
          <w:tcPr>
            <w:tcW w:type="dxa" w:w="1170"/>
          </w:tcPr>
          <w:p>
            <w:pPr>
              <w:spacing w:after="0" w:before="0"/>
            </w:pPr>
            <w:r/>
            <w:r>
              <w:rPr>
                <w:sz w:val="18"/>
              </w:rPr>
              <w:t>+0.7128</w:t>
            </w:r>
          </w:p>
        </w:tc>
        <w:tc>
          <w:tcPr>
            <w:tcW w:type="dxa" w:w="1170"/>
          </w:tcPr>
          <w:p>
            <w:pPr>
              <w:spacing w:after="0" w:before="0"/>
            </w:pPr>
            <w:r/>
            <w:r>
              <w:rPr>
                <w:sz w:val="18"/>
              </w:rPr>
              <w:t>+1.000</w:t>
            </w:r>
          </w:p>
        </w:tc>
        <w:tc>
          <w:tcPr>
            <w:tcW w:type="dxa" w:w="1170"/>
          </w:tcPr>
          <w:p>
            <w:pPr>
              <w:spacing w:after="0" w:before="0"/>
            </w:pPr>
            <w:r/>
            <w:r>
              <w:rPr>
                <w:sz w:val="18"/>
              </w:rPr>
              <w:t>−0.213</w:t>
            </w:r>
          </w:p>
        </w:tc>
        <w:tc>
          <w:tcPr>
            <w:tcW w:type="dxa" w:w="1170"/>
          </w:tcPr>
          <w:p>
            <w:pPr>
              <w:spacing w:after="0" w:before="0"/>
            </w:pPr>
            <w:r/>
            <w:r>
              <w:rPr>
                <w:sz w:val="18"/>
              </w:rPr>
              <w:t>−0.0434</w:t>
            </w:r>
          </w:p>
        </w:tc>
        <w:tc>
          <w:tcPr>
            <w:tcW w:type="dxa" w:w="1170"/>
          </w:tcPr>
          <w:p>
            <w:pPr>
              <w:spacing w:after="0" w:before="0"/>
            </w:pPr>
            <w:r/>
            <w:r>
              <w:rPr>
                <w:sz w:val="18"/>
              </w:rPr>
              <w:t>−0.061</w:t>
            </w:r>
          </w:p>
        </w:tc>
      </w:tr>
      <w:tr>
        <w:tc>
          <w:tcPr>
            <w:tcW w:type="dxa" w:w="1170"/>
          </w:tcPr>
          <w:p>
            <w:pPr>
              <w:spacing w:after="0" w:before="0"/>
            </w:pPr>
            <w:r/>
            <w:r>
              <w:rPr>
                <w:sz w:val="18"/>
              </w:rPr>
              <w:t>MRP</w:t>
            </w:r>
          </w:p>
        </w:tc>
        <w:tc>
          <w:tcPr>
            <w:tcW w:type="dxa" w:w="1170"/>
          </w:tcPr>
          <w:p>
            <w:pPr>
              <w:spacing w:after="0" w:before="0"/>
            </w:pPr>
            <w:r/>
            <w:r>
              <w:rPr>
                <w:sz w:val="18"/>
              </w:rPr>
              <w:t>5</w:t>
            </w:r>
          </w:p>
        </w:tc>
        <w:tc>
          <w:tcPr>
            <w:tcW w:type="dxa" w:w="1170"/>
          </w:tcPr>
          <w:p>
            <w:pPr>
              <w:spacing w:after="0" w:before="0"/>
            </w:pPr>
            <w:r/>
            <w:r>
              <w:rPr>
                <w:sz w:val="18"/>
              </w:rPr>
              <w:t>+3.491</w:t>
            </w:r>
          </w:p>
        </w:tc>
        <w:tc>
          <w:tcPr>
            <w:tcW w:type="dxa" w:w="1170"/>
          </w:tcPr>
          <w:p>
            <w:pPr>
              <w:spacing w:after="0" w:before="0"/>
            </w:pPr>
            <w:r/>
            <w:r>
              <w:rPr>
                <w:sz w:val="18"/>
              </w:rPr>
              <w:t>+0.7128</w:t>
            </w:r>
          </w:p>
        </w:tc>
        <w:tc>
          <w:tcPr>
            <w:tcW w:type="dxa" w:w="1170"/>
          </w:tcPr>
          <w:p>
            <w:pPr>
              <w:spacing w:after="0" w:before="0"/>
            </w:pPr>
            <w:r/>
            <w:r>
              <w:rPr>
                <w:sz w:val="18"/>
              </w:rPr>
              <w:t>+1.000</w:t>
            </w:r>
          </w:p>
        </w:tc>
        <w:tc>
          <w:tcPr>
            <w:tcW w:type="dxa" w:w="1170"/>
          </w:tcPr>
          <w:p>
            <w:pPr>
              <w:spacing w:after="0" w:before="0"/>
            </w:pPr>
            <w:r/>
            <w:r>
              <w:rPr>
                <w:sz w:val="18"/>
              </w:rPr>
              <w:t>−0.200</w:t>
            </w:r>
          </w:p>
        </w:tc>
        <w:tc>
          <w:tcPr>
            <w:tcW w:type="dxa" w:w="1170"/>
          </w:tcPr>
          <w:p>
            <w:pPr>
              <w:spacing w:after="0" w:before="0"/>
            </w:pPr>
            <w:r/>
            <w:r>
              <w:rPr>
                <w:sz w:val="18"/>
              </w:rPr>
              <w:t>−0.0415</w:t>
            </w:r>
          </w:p>
        </w:tc>
        <w:tc>
          <w:tcPr>
            <w:tcW w:type="dxa" w:w="1170"/>
          </w:tcPr>
          <w:p>
            <w:pPr>
              <w:spacing w:after="0" w:before="0"/>
            </w:pPr>
            <w:r/>
            <w:r>
              <w:rPr>
                <w:sz w:val="18"/>
              </w:rPr>
              <w:t>−0.058</w:t>
            </w:r>
          </w:p>
        </w:tc>
      </w:tr>
      <w:tr>
        <w:tc>
          <w:tcPr>
            <w:tcW w:type="dxa" w:w="1170"/>
          </w:tcPr>
          <w:p>
            <w:pPr>
              <w:spacing w:after="0" w:before="0"/>
            </w:pPr>
            <w:r/>
            <w:r>
              <w:rPr>
                <w:sz w:val="18"/>
              </w:rPr>
              <w:t>Group-DRO</w:t>
            </w:r>
          </w:p>
        </w:tc>
        <w:tc>
          <w:tcPr>
            <w:tcW w:type="dxa" w:w="1170"/>
          </w:tcPr>
          <w:p>
            <w:pPr>
              <w:spacing w:after="0" w:before="0"/>
            </w:pPr>
            <w:r/>
            <w:r>
              <w:rPr>
                <w:sz w:val="18"/>
              </w:rPr>
              <w:t>1</w:t>
            </w:r>
          </w:p>
        </w:tc>
        <w:tc>
          <w:tcPr>
            <w:tcW w:type="dxa" w:w="1170"/>
          </w:tcPr>
          <w:p>
            <w:pPr>
              <w:spacing w:after="0" w:before="0"/>
            </w:pPr>
            <w:r/>
            <w:r>
              <w:rPr>
                <w:sz w:val="18"/>
              </w:rPr>
              <w:t>+4.078</w:t>
            </w:r>
          </w:p>
        </w:tc>
        <w:tc>
          <w:tcPr>
            <w:tcW w:type="dxa" w:w="1170"/>
          </w:tcPr>
          <w:p>
            <w:pPr>
              <w:spacing w:after="0" w:before="0"/>
            </w:pPr>
            <w:r/>
            <w:r>
              <w:rPr>
                <w:sz w:val="18"/>
              </w:rPr>
              <w:t>+0.7128</w:t>
            </w:r>
          </w:p>
        </w:tc>
        <w:tc>
          <w:tcPr>
            <w:tcW w:type="dxa" w:w="1170"/>
          </w:tcPr>
          <w:p>
            <w:pPr>
              <w:spacing w:after="0" w:before="0"/>
            </w:pPr>
            <w:r/>
            <w:r>
              <w:rPr>
                <w:sz w:val="18"/>
              </w:rPr>
              <w:t>+1.000</w:t>
            </w:r>
          </w:p>
        </w:tc>
        <w:tc>
          <w:tcPr>
            <w:tcW w:type="dxa" w:w="1170"/>
          </w:tcPr>
          <w:p>
            <w:pPr>
              <w:spacing w:after="0" w:before="0"/>
            </w:pPr>
            <w:r/>
            <w:r>
              <w:rPr>
                <w:sz w:val="18"/>
              </w:rPr>
              <w:t>+0.428</w:t>
            </w:r>
          </w:p>
        </w:tc>
        <w:tc>
          <w:tcPr>
            <w:tcW w:type="dxa" w:w="1170"/>
          </w:tcPr>
          <w:p>
            <w:pPr>
              <w:spacing w:after="0" w:before="0"/>
            </w:pPr>
            <w:r/>
            <w:r>
              <w:rPr>
                <w:sz w:val="18"/>
              </w:rPr>
              <w:t>+0.0886</w:t>
            </w:r>
          </w:p>
        </w:tc>
        <w:tc>
          <w:tcPr>
            <w:tcW w:type="dxa" w:w="1170"/>
          </w:tcPr>
          <w:p>
            <w:pPr>
              <w:spacing w:after="0" w:before="0"/>
            </w:pPr>
            <w:r/>
            <w:r>
              <w:rPr>
                <w:sz w:val="18"/>
              </w:rPr>
              <w:t>+0.124</w:t>
            </w:r>
          </w:p>
        </w:tc>
      </w:tr>
      <w:tr>
        <w:tc>
          <w:tcPr>
            <w:tcW w:type="dxa" w:w="1170"/>
          </w:tcPr>
          <w:p>
            <w:pPr>
              <w:spacing w:after="0" w:before="0"/>
            </w:pPr>
            <w:r/>
            <w:r>
              <w:rPr>
                <w:sz w:val="18"/>
              </w:rPr>
              <w:t>Group-DRO</w:t>
            </w:r>
          </w:p>
        </w:tc>
        <w:tc>
          <w:tcPr>
            <w:tcW w:type="dxa" w:w="1170"/>
          </w:tcPr>
          <w:p>
            <w:pPr>
              <w:spacing w:after="0" w:before="0"/>
            </w:pPr>
            <w:r/>
            <w:r>
              <w:rPr>
                <w:sz w:val="18"/>
              </w:rPr>
              <w:t>10</w:t>
            </w:r>
          </w:p>
        </w:tc>
        <w:tc>
          <w:tcPr>
            <w:tcW w:type="dxa" w:w="1170"/>
          </w:tcPr>
          <w:p>
            <w:pPr>
              <w:spacing w:after="0" w:before="0"/>
            </w:pPr>
            <w:r/>
            <w:r>
              <w:rPr>
                <w:sz w:val="18"/>
              </w:rPr>
              <w:t>+3.676</w:t>
            </w:r>
          </w:p>
        </w:tc>
        <w:tc>
          <w:tcPr>
            <w:tcW w:type="dxa" w:w="1170"/>
          </w:tcPr>
          <w:p>
            <w:pPr>
              <w:spacing w:after="0" w:before="0"/>
            </w:pPr>
            <w:r/>
            <w:r>
              <w:rPr>
                <w:sz w:val="18"/>
              </w:rPr>
              <w:t>+0.6638</w:t>
            </w:r>
          </w:p>
        </w:tc>
        <w:tc>
          <w:tcPr>
            <w:tcW w:type="dxa" w:w="1170"/>
          </w:tcPr>
          <w:p>
            <w:pPr>
              <w:spacing w:after="0" w:before="0"/>
            </w:pPr>
            <w:r/>
            <w:r>
              <w:rPr>
                <w:sz w:val="18"/>
              </w:rPr>
              <w:t>+0.931</w:t>
            </w:r>
          </w:p>
        </w:tc>
        <w:tc>
          <w:tcPr>
            <w:tcW w:type="dxa" w:w="1170"/>
          </w:tcPr>
          <w:p>
            <w:pPr>
              <w:spacing w:after="0" w:before="0"/>
            </w:pPr>
            <w:r/>
            <w:r>
              <w:rPr>
                <w:sz w:val="18"/>
              </w:rPr>
              <w:t>+0.905</w:t>
            </w:r>
          </w:p>
        </w:tc>
        <w:tc>
          <w:tcPr>
            <w:tcW w:type="dxa" w:w="1170"/>
          </w:tcPr>
          <w:p>
            <w:pPr>
              <w:spacing w:after="0" w:before="0"/>
            </w:pPr>
            <w:r/>
            <w:r>
              <w:rPr>
                <w:sz w:val="18"/>
              </w:rPr>
              <w:t>+0.1735</w:t>
            </w:r>
          </w:p>
        </w:tc>
        <w:tc>
          <w:tcPr>
            <w:tcW w:type="dxa" w:w="1170"/>
          </w:tcPr>
          <w:p>
            <w:pPr>
              <w:spacing w:after="0" w:before="0"/>
            </w:pPr>
            <w:r/>
            <w:r>
              <w:rPr>
                <w:sz w:val="18"/>
              </w:rPr>
              <w:t>+0.243</w:t>
            </w:r>
          </w:p>
        </w:tc>
      </w:tr>
      <w:tr>
        <w:tc>
          <w:tcPr>
            <w:tcW w:type="dxa" w:w="1170"/>
          </w:tcPr>
          <w:p>
            <w:pPr>
              <w:spacing w:after="0" w:before="0"/>
            </w:pPr>
            <w:r/>
            <w:r>
              <w:rPr>
                <w:sz w:val="18"/>
              </w:rPr>
              <w:t>IRM</w:t>
            </w:r>
          </w:p>
        </w:tc>
        <w:tc>
          <w:tcPr>
            <w:tcW w:type="dxa" w:w="1170"/>
          </w:tcPr>
          <w:p>
            <w:pPr>
              <w:spacing w:after="0" w:before="0"/>
            </w:pPr>
            <w:r/>
            <w:r>
              <w:rPr>
                <w:sz w:val="18"/>
              </w:rPr>
              <w:t>10</w:t>
            </w:r>
          </w:p>
        </w:tc>
        <w:tc>
          <w:tcPr>
            <w:tcW w:type="dxa" w:w="1170"/>
          </w:tcPr>
          <w:p>
            <w:pPr>
              <w:spacing w:after="0" w:before="0"/>
            </w:pPr>
            <w:r/>
            <w:r>
              <w:rPr>
                <w:sz w:val="18"/>
              </w:rPr>
              <w:t>+3.458</w:t>
            </w:r>
          </w:p>
        </w:tc>
        <w:tc>
          <w:tcPr>
            <w:tcW w:type="dxa" w:w="1170"/>
          </w:tcPr>
          <w:p>
            <w:pPr>
              <w:spacing w:after="0" w:before="0"/>
            </w:pPr>
            <w:r/>
            <w:r>
              <w:rPr>
                <w:sz w:val="18"/>
              </w:rPr>
              <w:t>+0.7128</w:t>
            </w:r>
          </w:p>
        </w:tc>
        <w:tc>
          <w:tcPr>
            <w:tcW w:type="dxa" w:w="1170"/>
          </w:tcPr>
          <w:p>
            <w:pPr>
              <w:spacing w:after="0" w:before="0"/>
            </w:pPr>
            <w:r/>
            <w:r>
              <w:rPr>
                <w:sz w:val="18"/>
              </w:rPr>
              <w:t>+1.000</w:t>
            </w:r>
          </w:p>
        </w:tc>
        <w:tc>
          <w:tcPr>
            <w:tcW w:type="dxa" w:w="1170"/>
          </w:tcPr>
          <w:p>
            <w:pPr>
              <w:spacing w:after="0" w:before="0"/>
            </w:pPr>
            <w:r/>
            <w:r>
              <w:rPr>
                <w:sz w:val="18"/>
              </w:rPr>
              <w:t>+3.215</w:t>
            </w:r>
          </w:p>
        </w:tc>
        <w:tc>
          <w:tcPr>
            <w:tcW w:type="dxa" w:w="1170"/>
          </w:tcPr>
          <w:p>
            <w:pPr>
              <w:spacing w:after="0" w:before="0"/>
            </w:pPr>
            <w:r/>
            <w:r>
              <w:rPr>
                <w:sz w:val="18"/>
              </w:rPr>
              <w:t>+0.6600</w:t>
            </w:r>
          </w:p>
        </w:tc>
        <w:tc>
          <w:tcPr>
            <w:tcW w:type="dxa" w:w="1170"/>
          </w:tcPr>
          <w:p>
            <w:pPr>
              <w:spacing w:after="0" w:before="0"/>
            </w:pPr>
            <w:r/>
            <w:r>
              <w:rPr>
                <w:sz w:val="18"/>
              </w:rPr>
              <w:t>+0.926</w:t>
            </w:r>
          </w:p>
        </w:tc>
      </w:tr>
      <w:tr>
        <w:tc>
          <w:tcPr>
            <w:tcW w:type="dxa" w:w="1170"/>
          </w:tcPr>
          <w:p>
            <w:pPr>
              <w:spacing w:after="0" w:before="0"/>
            </w:pPr>
            <w:r/>
            <w:r>
              <w:rPr>
                <w:sz w:val="18"/>
              </w:rPr>
              <w:t>IRM</w:t>
            </w:r>
          </w:p>
        </w:tc>
        <w:tc>
          <w:tcPr>
            <w:tcW w:type="dxa" w:w="1170"/>
          </w:tcPr>
          <w:p>
            <w:pPr>
              <w:spacing w:after="0" w:before="0"/>
            </w:pPr>
            <w:r/>
            <w:r>
              <w:rPr>
                <w:sz w:val="18"/>
              </w:rPr>
              <w:t>100</w:t>
            </w:r>
          </w:p>
        </w:tc>
        <w:tc>
          <w:tcPr>
            <w:tcW w:type="dxa" w:w="1170"/>
          </w:tcPr>
          <w:p>
            <w:pPr>
              <w:spacing w:after="0" w:before="0"/>
            </w:pPr>
            <w:r/>
            <w:r>
              <w:rPr>
                <w:sz w:val="18"/>
              </w:rPr>
              <w:t>+3.560</w:t>
            </w:r>
          </w:p>
        </w:tc>
        <w:tc>
          <w:tcPr>
            <w:tcW w:type="dxa" w:w="1170"/>
          </w:tcPr>
          <w:p>
            <w:pPr>
              <w:spacing w:after="0" w:before="0"/>
            </w:pPr>
            <w:r/>
            <w:r>
              <w:rPr>
                <w:sz w:val="18"/>
              </w:rPr>
              <w:t>+0.7128</w:t>
            </w:r>
          </w:p>
        </w:tc>
        <w:tc>
          <w:tcPr>
            <w:tcW w:type="dxa" w:w="1170"/>
          </w:tcPr>
          <w:p>
            <w:pPr>
              <w:spacing w:after="0" w:before="0"/>
            </w:pPr>
            <w:r/>
            <w:r>
              <w:rPr>
                <w:sz w:val="18"/>
              </w:rPr>
              <w:t>+1.000</w:t>
            </w:r>
          </w:p>
        </w:tc>
        <w:tc>
          <w:tcPr>
            <w:tcW w:type="dxa" w:w="1170"/>
          </w:tcPr>
          <w:p>
            <w:pPr>
              <w:spacing w:after="0" w:before="0"/>
            </w:pPr>
            <w:r/>
            <w:r>
              <w:rPr>
                <w:sz w:val="18"/>
              </w:rPr>
              <w:t>+3.178</w:t>
            </w:r>
          </w:p>
        </w:tc>
        <w:tc>
          <w:tcPr>
            <w:tcW w:type="dxa" w:w="1170"/>
          </w:tcPr>
          <w:p>
            <w:pPr>
              <w:spacing w:after="0" w:before="0"/>
            </w:pPr>
            <w:r/>
            <w:r>
              <w:rPr>
                <w:sz w:val="18"/>
              </w:rPr>
              <w:t>+0.6581</w:t>
            </w:r>
          </w:p>
        </w:tc>
        <w:tc>
          <w:tcPr>
            <w:tcW w:type="dxa" w:w="1170"/>
          </w:tcPr>
          <w:p>
            <w:pPr>
              <w:spacing w:after="0" w:before="0"/>
            </w:pPr>
            <w:r/>
            <w:r>
              <w:rPr>
                <w:sz w:val="18"/>
              </w:rPr>
              <w:t>+0.923</w:t>
            </w:r>
          </w:p>
        </w:tc>
      </w:tr>
    </w:tbl>
    <w:p/>
    <w:p>
      <w:r>
        <w:rPr>
          <w:b/>
        </w:rPr>
        <w:t>Real-cohort head-to-head validation.</w:t>
      </w:r>
      <w:r>
        <w:t xml:space="preserve"> Both external cohorts were re-run under the same encoder, dose schedule, and readout, with only the training objective changed. </w:t>
      </w:r>
      <w:r>
        <w:rPr>
          <w:b/>
        </w:rPr>
        <w:t>These runs use a cheaper configuration than the primary dose–response: one seed and 100 epochs on the head-and-neck cohort, three seeds and 300 epochs on prostate, no stability hardening on either, so their baseline LDI is not the value reported in Table 1.</w:t>
      </w:r>
      <w:r>
        <w:t xml:space="preserve"> On the head-and-neck cohort the baseline in this configuration already sat below the LDI gate (1.28, against 2.18 in the three-seed stability runs of Table 1); the adversarial repair at λ ∈ {0.5, 2.0} retained the transferable association (τ_LDO ≈ 0.32, R ≈ 0.44) while reducing LDI further to 1.09–1.13. Group-DRO (η ∈ {1, 10}) raised LDI to 1.87–2.26, and IRM (c ∈ {10, 100}) to 2.45–2.53. We therefore do not read these runs as evidence that repair </w:t>
      </w:r>
      <w:r>
        <w:rPr>
          <w:i/>
        </w:rPr>
        <w:t>created</w:t>
      </w:r>
      <w:r>
        <w:t xml:space="preserve"> acceptance: in this configuration the cohort was already sub-gate at baseline, so what the comparison establishes is the ordering of methods at a common dose, not the size of a repair effect. The acceptance claim rests on the Table 1 and Table 2 runs, whose baseline LDI was 2.18 and which crossed the gate only under dose. On prostate (GSE278936, 52 patients, three seeds, 300 epochs; Table S10) the baseline LDI was 2.04 ± 0.25 (τ_LDO 0.288 ± 0.034); Group-DRO gave 2.30 ± 0.18 (η = 1) and 1.95 ± 0.55 (η = 10), and IRM gave 2.65 ± 0.11 (c = 10) and 2.72 ± 0.10 (c = 100). Across the ten baseline-method dose cells (six head-and-neck, four prostate), nine kept the mean LDI at or above the unrepaired reference (1.28 and 2.04 respectively) and none cleared the gate; the exception was Group-DRO at η = 10 on prostate (1.95 ± 0.55), whose mean still sat above the gate, the sub-gate value being a single seed (1.33) against 2.19 and 2.34 in the other two seeds at the same dose. IRM drove τ_LDO to the analytic ceiling of this label split (0.381) in four of six cells: that is, toward a perfectly group-transferable readout of a label that is nearly collinear with specimen provenance, which is precisely the invariance-misalignment failure diagnosed above. The adversarial repair at λ = 1 was the only accepted cell (LDI 1.46 ± 0.86 in the re-run; 1.51 in the primary run), with τ_LDO = 0.229 in the primary run (R = 0.60, per-seed 0.56–0.67) and 0.219 in the independent re-run (R = 0.58); the two runs agree, and the spread across seeds within a run is wider than the difference between runs. Every other dose left the mean LDI above the gate (λ = 0.5, 1.89 ± 0.63; λ = 2, 1.90 ± 0.18; λ = 5, 1.97 ± 0.19). The higher τ_LDO reported by the two baselines is not evidence that they retained more biology: in a one-unit-per-group cohort the group-level statistic coincides with the unit-level one, so τ_LDO can rise only by carrying a group-level association, and the audit alone cannot separate such an association from a label–provenance confound.</w:t>
      </w:r>
    </w:p>
    <w:p>
      <w:r>
        <w:rPr>
          <w:b/>
        </w:rPr>
        <w:t>The general lesson.</w:t>
      </w:r>
      <w:r>
        <w:t xml:space="preserve"> In-sample evaluation metrics are insufficient for leakage-repair acceptance. The standard memorization gap (τ_in − τ_LDO) can decrease without leakage being removed (Group-DRO) and can increase while leakage is eliminated (adversarial repair). A cross-group, calibrated statistic is the necessary acceptance metric; in-sample gap is at best a correlated but non-sufficient proxy. This is why the three-axis protocol uses LDI as its leakage axis rather than gap reduction, and why we treat auditability, rather than any single performance number, as the framework's primary output.</w:t>
      </w:r>
    </w:p>
    <w:p>
      <w:pPr>
        <w:pStyle w:val="Heading2"/>
      </w:pPr>
      <w:r>
        <w:rPr>
          <w:rFonts w:ascii="Times New Roman" w:hAnsi="Times New Roman"/>
          <w:color w:val="000000"/>
        </w:rPr>
        <w:t>Validation-domain check: does what survives the audit correspond to known biology?</w:t>
      </w:r>
    </w:p>
    <w:p>
      <w:r>
        <w:t>An audit could in principle preserve a residual that is arbitrary, so we asked, in the validation domain only, whether the structure that survives repair matches knowledge external to the model. Taking the λ = 2 seed-0 run from the head-and-neck cohort, we fit the label discriminant in the repaired embedding by ridge regression on section-mean representations and mapped it back to gene space through the trained decoder (a strict pairing: decoder and embedding come from the same run; Figure 4). Ranking genes by |loading| in unique-symbol space, the top-100 genes were enriched for the squamous-differentiation/keratinization program expected of this contrast (hypergeometric p = 0.0014; empirical permutation p = 0.0015 against a null expectation of 0.23 marker hits per 100 genes), with plasma-cell and stromal components completing the top of the list. The enrichment was not an artifact of one run: it held at every seed at λ = 2 (p = 0.0014–0.022, including both gate-passing seeds) and was strongest at the maximal-dose recovery point (λ = 5), where the canonical HPV-positive driver readout CDKN2A itself appears among six marker hits (p &lt; 0.001). Gene-level detail, including the keratinization-family members and the per-seed breakdown, is in Table S7.</w:t>
      </w:r>
    </w:p>
    <w:p>
      <w:r>
        <w:t>We report this as a check on the acceptance protocol, not as a biological contribution, which is why it appears here rather than among the seven findings above. Its force is negative: had the surviving direction been arbitrary (an uninterpretable mixture, or a residual group fingerprint) the enrichment would have failed, and the protocol would have been shown to certify noise. That it reproduces the contrast the field already reports[16] is evidence that an audited repair removes a shortcut rather than the signal. The same check is what makes an audited repair usable as a discovery filter: a candidate that survives de-identification is a candidate for cross-cohort transfer.</w:t>
      </w:r>
    </w:p>
    <w:p>
      <w:pPr>
        <w:pStyle w:val="Heading2"/>
      </w:pPr>
      <w:r>
        <w:rPr>
          <w:rFonts w:ascii="Times New Roman" w:hAnsi="Times New Roman"/>
          <w:color w:val="000000"/>
        </w:rPr>
        <w:t>Scope condition: repair does not improve a downstream endpoint where no leakage channel exists</w:t>
      </w:r>
    </w:p>
    <w:p>
      <w:r>
        <w:t>The transferable-fraction statistic R reports what share of a run's in-sample fit crosses groups; it does not by itself say whether a downstream task improves. We evaluated the endpoints directly, on all three real cohorts, by leave-one-donor-out classification from section-mean embeddings with a closed-form ridge probe (Tables S9 and S11). No accepted repair improved a downstream endpoint, and the encoders did not collapse (in-sample AUROC stayed at 0.97–1.00 in every binary run; the three-level cervical probe is capped at its own 0.64 ceiling). On the head-and-neck cohort the baseline was already well above chance (LODO AUROC 0.906 ± 0.063) and every λ &gt; 0 was lower (0.766–0.813, a drop of ≈ 0.09–0.14, present in all three seeds at λ = 0.5). On cervical neoplastic-versus-normal, AUROC was 0.968 at baseline and 0.968 ± 0.008 at λ = 1, becoming seed-unstable at λ = 2 (0.855 ± 0.107). On prostate, AUROC was 0.878 ± 0.044 unrepaired and 0.866–0.892 across doses; with four positive donors the standard error is ≈ 0.11, so none of these differences is resolvable.</w:t>
      </w:r>
    </w:p>
    <w:p>
      <w:r>
        <w:t>We report this as a scope condition rather than as a negative result about the operator, and, more to the point, as one the framework yields in advance. The two units defined above explain it, and they also dissolve what would otherwise read as a contradiction: a channel demonstrably exists, yet closing it pays a cost with no return.</w:t>
      </w:r>
    </w:p>
    <w:p>
      <w:r>
        <w:t xml:space="preserve">At the </w:t>
      </w:r>
      <w:r>
        <w:rPr>
          <w:b/>
        </w:rPr>
        <w:t>representation unit</w:t>
      </w:r>
      <w:r>
        <w:t xml:space="preserve"> there is a real channel and repair attacks it. Each donor contributes thousands of spots carrying a donor-specific fingerprint, and the adversarial head measurably reduces it: in the two audited non-biological cohorts group-identity lift fell by 46% (wearable) and 22% (gas sensor) under dose, and in the validation domain the planted in-sample fingerprint on the identity-confounding control was partly cleared. At the </w:t>
      </w:r>
      <w:r>
        <w:rPr>
          <w:b/>
        </w:rPr>
        <w:t>consumption unit</w:t>
      </w:r>
      <w:r>
        <w:t xml:space="preserve"> there is no sibling channel to close. With one section per donor, the route by which leakage inflates a held-out score, re-identifying a held-out unit through the siblings its group left behind in training, does not exist, and τ_LOO and τ_LDO coincide. What repair removes at that resolution is therefore not leakage but label-associated signal, which is exactly what R = 0.38–0.60 at accepted cells records. The channel that exists is not the one the endpoint was paying for, so repair cannot improve the endpoint, while the erasure it performs costs fidelity regardless. We ran the operator on these cohorts anyway, and the reason is what makes the result informative rather than merely negative: the framework predicted in advance that repair would not pay where each group contributes a single consumption unit, and running it converts that prediction from a rationalisation into a test. We state the result in the direction that generalises: what transfers is not "repair fails" but "the framework correctly identifies, before an endpoint is measured, the regime in which repair must fail". That no accepted repair improved an endpoint on these cohorts is a property of the cohorts; that the protocol said so in advance is a property of the framework, and it is the second of the two that a reader in another domain can use.</w:t>
      </w:r>
    </w:p>
    <w:p>
      <w:r>
        <w:t>Two further observations reinforce the primacy of the audit over the endpoint: the λ = 5 seed spread on the head-and-neck cohort (SD 0.189 versus 0.041 at λ = 2) shows that strong repair is seed-unstable at this group count, matching the group-count boundary as placed in this configuration (between 16 and 32 groups here, and not a transferable cut-off); and the endpoint ranking does not track the leakage gate: the numerically highest prostate endpoint sits at λ = 5, a dose the gate rejects. Acceptance therefore cannot be delegated to a downstream metric, which is the practical reason an auditable gate exists at all. The framework's own recommendation for cohorts of this shape is stated in the protocol: where each group contributes a single consumption unit, the correct action is group-disjoint splitting[8] and the audit, not repair.</w:t>
      </w:r>
    </w:p>
    <w:p>
      <w:r>
        <w:rPr>
          <w:b/>
        </w:rPr>
        <w:t>Control: the absence of the channel is not an artefact of the unit we chose.</w:t>
      </w:r>
      <w:r>
        <w:t xml:space="preserve"> One reading of the scope condition is that our clinical cohorts look free of a sibling channel only because we declared the section to be the unit, one per donor. We tested that reading directly on the cervical cohort, holding the embedding, the grouping variable and the donor-level severity label fixed and redefining the unit as a random block of spots within a section, so that each donor contributes K = 3 or K = 8 sibling units sharing its label, against K = 1 where the unit is the whole section and the sibling inflation is zero by construction (Table S16). The channel did not open: τ_LOO was 0.4547, 0.4575 and 0.4562 at K = 1, 3 and 8, and the sibling inflation stayed within +0.0072 at every dose and seed, while an identity classifier fitted on the same embedding kept a lift of 16 to 28 times chance, so the embedding had by no means lost donor identity. The verdict is unchanged under a unit definition that permits the channel, which is what makes the scope condition a finding about these cohorts rather than a description of how we chose to cut them up. The control also fixes a limit on the instrument that we prefer to state ourselves: σ̂ is the null scale at the declared resolution, and it fell from 0.178 to 0.072 as the number of units rose from 35 to 280, so LDI rose from 2.55 to 6.37 on identical data carrying an identical tau. LDI is a calibrated statistic at the design it is declared for: comparable across cohorts and domains at a fixed number of units, not across resolutions of the same data, and the unit of analysis has to be declared before the audit is run rather than inferred from its output.</w:t>
      </w:r>
    </w:p>
    <w:p>
      <w:r>
        <w:rPr>
          <w:b/>
        </w:rPr>
        <w:t>Control: the channel is opened by coupling, not by identifiability.</w:t>
      </w:r>
      <w:r>
        <w:t xml:space="preserve"> Boundary I attributes the sibling-unit channel to group-label coupling rather than to how identifiable the group is, but the comparison that supports it holds identifiability only comparable across two cohorts (10.4x versus 9.1x chance), not fixed. We repeated it in a design where identifiability cannot move. GSE316098[43] is a NanoString GeoMx cohort of HPV-associated endocervical adenocarcinoma: 186 regions of interest from 7 cases, each ROI carrying its own pathology annotation, and the source study deliberately selected cases containing two distinct Silva invasion patterns within the same tumour, so the label varies within a group rather than being a donor-level value broadcast to every unit. Holding the feature matrix and the grouping variable fixed and changing only the label gives three arms spanning the coupling range: patient risk stratum (kappa = 0.225), Silva invasion pattern annotated per ROI (kappa = 0.273), and ROI cell type, epithelium versus stroma, balanced within every case and therefore orthogonal to the group (kappa = 0.000). At lambda = 0 the three arms share one embedding, so encoded identity is not merely comparable but identical, 6.55x chance in all three. Inflation tracks coupling and nothing else: +0.0075 on cell type (per-seed +0.0016 to +0.0185), +0.3736 on risk (+0.3528 to +0.4031) and +0.3955 on Silva pattern (+0.3337 to +0.4730) at baseline, and over all 15 seed x dose cells of each arm the two distributions do not approach overlapping (cell type +0.0016 to +0.0267 against risk +0.3210 to +0.4131), a separation of more than an order of magnitude at constant identifiability. What repair costs exposes the mechanism directly: the group-transferable association retained under dose was 0.989 of baseline on cell type (minimum 0.964), 0.806 on risk (0.613) and 0.717 on Silva pattern (0.605), so removing identity damaged the transferable signal in proportion to how much the label shared with the group, and did not damage it at all where the label carried no group information. Two consequences follow, and neither of them adds an accepted operating point. First, the trap is conditional: at kappa = 0 there is no channel to open and no repair to justify, which states the scope condition in positive form rather than as a boundary on our cohorts. Second, Proposition 1 held again, on a seventh cohort and against ROI-level rather than donor-derived truth: τ_base/σ̂ was 8.49, 9.34 and 10.39 against the 2.35 threshold, the dual gate was predicted empty in all three arms, and 0 of 12 dosed seed x dose cells passed it in each. These arms also show most directly why it is empty. The labels are strong (τ_base 0.71 to 0.80), and Remark 1 says that strength is exactly what makes remove-and-preserve infeasible, because the gate then demands a near-zero association from a signal the fidelity axis asks to retain. Read together with the degeneracy of the fidelity axis when the baseline association is near zero (limitation x), the dual gate fails at both ends and is informative only in the band between them, which is where the three accepted cells among our 18 dosed clinical cells sit; that is the structural answer to why the count is not larger, and it is a prediction about any cohort, not a description of ours (Table S17).</w:t>
      </w:r>
    </w:p>
    <w:p>
      <w:pPr>
        <w:pStyle w:val="Heading2"/>
      </w:pPr>
      <w:r>
        <w:rPr>
          <w:rFonts w:ascii="Times New Roman" w:hAnsi="Times New Roman"/>
          <w:color w:val="000000"/>
        </w:rPr>
        <w:t>Cross-domain audit: what reproduces outside the validation domain, and what does not</w:t>
      </w:r>
    </w:p>
    <w:p>
      <w:r>
        <w:rPr>
          <w:b/>
        </w:rPr>
        <w:t>Standing qualifier for this section.</w:t>
      </w:r>
      <w:r>
        <w:t xml:space="preserve"> Every statement below about the two non-biological cohorts is read under one qualifier, stated once here so that it need not be repeated at each mention: both were audited for theoretical predictions only. Neither has a downstream endpoint, a planted ground truth, or a domain readout, and neither demonstrates that repair confers practical utility. What they test is whether the instrument, Proposition 1, and the two decision boundaries behave outside the validation domain as the theory says they should.</w:t>
      </w:r>
    </w:p>
    <w:p>
      <w:r>
        <w:t xml:space="preserve">The claim that identity leakage is a data-science problem rather than a transcriptomic one is testable, because Proposition 1 and both decision boundaries refer only to a grouping variable, a label, an encoder and a leave-one-group-out probe. We therefore ran the same instrument and the same operator family on two public non-biological cohorts, replacing the graph-attention encoder with a multilayer perceptron because neither dataset has a spatial graph. </w:t>
      </w:r>
      <w:r>
        <w:rPr>
          <w:b/>
        </w:rPr>
        <w:t>This is an audit of the theory's predictions, not a second full validation</w:t>
      </w:r>
      <w:r>
        <w:t xml:space="preserve">: neither cohort carries a downstream endpoint, a planted control, or a domain readout, so the evidence below speaks to the instrument, the boundaries and the operator's behaviour: not to utility, and not to transfer of the framework as a whole. UCI HAR[24] is wearable human-activity recognition: 10,299 windows from 30 subjects, six activities, group–label coupling κ = 0.0025. UCI Gas Sensor Array Drift[25] is chemical sensing: 13,910 measurements from 10 measurement batches collected over different months, six gases, κ = 0.0511, with the natural imbalance that makes batch informative: three batches contain no measurement of gas 6 and one batch contributes 5 such measurements against 532 of gas 5. Units were 300 observations per domain drawn by within-group proportional sampling, preserving each cohort’s natural joint distribution. Two predictions were tested and they are not equally strong, so we report the falsifiable one first. The emptiness of the dual gate turns out to be a consistency check in these two cohorts: the fidelity axis was satisfied throughout, so the gate could only fail on the leakage axis, and prediction and observation are therefore close to the same statement. Decision boundary I is different in kind: it predicted an </w:t>
      </w:r>
      <w:r>
        <w:rPr>
          <w:i/>
        </w:rPr>
        <w:t>ordering</w:t>
      </w:r>
      <w:r>
        <w:t xml:space="preserve"> between the two cohorts at comparable encoded identity, an identifiability-based account would have predicted no ordering, and the prediction could have failed.</w:t>
      </w:r>
    </w:p>
    <w:p>
      <w:r>
        <w:rPr>
          <w:b/>
        </w:rPr>
        <w:t>Decision boundary I reproduced with real data.</w:t>
      </w:r>
      <w:r>
        <w:t xml:space="preserve"> Group identity is strongly encoded in both embeddings: a linear probe recovers it at 10.0× (HAR) and 9.2× (gas drift) chance. If encoded identity were sufficient for leakage, both cohorts should show sibling-unit inflation. They do not: τ_LOO − τ_LGO is +0.0061 in HAR and +0.0494 in gas drift, an eight-fold difference that tracks the twenty-fold difference in coupling κ, at nearly identical identity identifiability. The discriminator is coupling, not identifiability: the conclusion the transcriptomic cohorts reached, now reproduced in a wearable and an analytical-chemistry setting. Unlike the consistency check reported next, this is a prediction that could have failed: encoded identity is comparable in the two cohorts, so an account based on identifiability alone would have predicted similar inflation in both, and the observed inflation differs by a factor of eight with non-overlapping per-cell ranges (Table S13). Two cohorts are the minimum needed to establish an ordering and not enough to establish a functional form; we claim the ordering and nothing more.</w:t>
      </w:r>
    </w:p>
    <w:p>
      <w:r>
        <w:rPr>
          <w:b/>
        </w:rPr>
        <w:t>Proposition 1 held out of domain.</w:t>
      </w:r>
      <w:r>
        <w:t xml:space="preserve"> Both cohorts sit far above the feasibility threshold: τ_base/σ̂ = 13.8 (HAR) and 11.0 (gas drift) against ≈ 2.35 (Table 5). The prediction (an empty dual gate) was made from the unrepaired baseline before any dose was chosen, and it was borne out exactly: 0 of 12 dosed seed × dose cells passed the dual gate in either domain (0 of 15 counting the three undosed baselines), and LDI never descended below 12.4 (HAR) or 9.1 (gas drift), a margin of more than seven null scales. A practitioner reading only the gate rejection would have concluded that repair failed; Proposition 1 says in advance that no dose could have succeeded. One qualification belongs with this, because it bounds what the result is worth. The fidelity axis was satisfied at every dose in both cohorts (τ_LGO retained ≥ 0.89 of baseline), so the emptiness of the dual gate here is carried entirely by the leakage axis, and repair did not move τ_LOO at all: prediction and observation are therefore close to the same statement, and we present this as a consistency check rather than as an independent test of Proposition 1. What it does establish is still not empty: the operator's reach is bounded, because a dose that removed 46% and 22% of group-identity lift in these cohorts left the group-level label association untouched. The out-of-domain prediction we defend as falsifiable is decision boundary I, reported above: it predicted an ordering between cohorts, not an empty set, and it could have failed.</w:t>
      </w:r>
    </w:p>
    <w:p>
      <w:r>
        <w:rPr>
          <w:b/>
        </w:rPr>
        <w:t>The operator transferred, and so did the three-axis reading.</w:t>
      </w:r>
      <w:r>
        <w:t xml:space="preserve"> Group-identity lift fell from 10.0 to 5.4 in HAR (−46%) and from 9.2 to 7.2 in gas drift (−22%), with the encoder family changed and nothing else. Safety: τ_LGO was retained at ≥ 0.98 (HAR) and ≥ 0.89 (gas drift) of baseline at every dose, above the c = 0.7 floor. Leakage reduction: the memorization gap τ_in − τ_LOO shrank from 0.050 to 0.009 (HAR, −81%) and from 0.039 to 0.017 (gas drift, −56%). Non-blindness could not be tested here, because neither public cohort carries a planted control; that axis still rests on the transcriptomic controls.</w:t>
      </w:r>
    </w:p>
    <w:p>
      <w:r>
        <w:rPr>
          <w:b/>
        </w:rPr>
        <w:t>The group-count boundary does not transport numerically.</w:t>
      </w:r>
      <w:r>
        <w:t xml:space="preserve"> Gas drift has G = 10, below the 16–32 group boundary mapped in the validation domain, yet group-level transfer survived repair (τ_LGO retained 0.89–0.93). The boundary's </w:t>
      </w:r>
      <w:r>
        <w:rPr>
          <w:i/>
        </w:rPr>
        <w:t>existence</w:t>
      </w:r>
      <w:r>
        <w:t xml:space="preserve"> transported; its </w:t>
      </w:r>
      <w:r>
        <w:rPr>
          <w:i/>
        </w:rPr>
        <w:t>placement</w:t>
      </w:r>
      <w:r>
        <w:t xml:space="preserve"> did not, which is what the limitations anticipated and is the reason the paper asks for the boundary to be re-derived per domain rather than quoted.</w:t>
      </w:r>
    </w:p>
    <w:p>
      <w:r>
        <w:t xml:space="preserve">Four qualifications keep this a test of predictions rather than a second validation. First, neither domain has a downstream endpoint, a domain readout, or a planted positive control, so the cross-domain evidence speaks to the instrument, the two boundaries, and the operator's behaviour: not to utility. Second, the encoder family changed (graph attention to multilayer perceptron), so what transferred is the </w:t>
      </w:r>
      <w:r>
        <w:rPr>
          <w:i/>
        </w:rPr>
        <w:t>reading</w:t>
      </w:r>
      <w:r>
        <w:t>, not a claim that any encoder will do. That claim is no longer purely structural: replacing the validation domain's graph encoder with the same structure-free perceptron reproduced both verdicts on the validation domain's own simulated cohorts (Table S12), so the backbone change in this section is a replication rather than an untested confound: though it is still a change of encoder family, and the operating characteristics (how much identity is removed at a given dose) may still differ. Third, at this dose and epoch budget the adversaries remove identity only partially (lift remains 5–8× chance); we read this as a floor on "removal" at fixed compute rather than as a property of the operator. Fourth, effects are consistent across three seeds but modest in absolute size, and the dose–response in HAR is shallow (LDI 12.4–14.3 across the whole schedule), because the label is so strongly transferable that no dose perturbs the calibrated index much. What is not modest is the agreement between the quantity computed before repair and the outcome observed after it.</w:t>
      </w:r>
    </w:p>
    <w:p>
      <w:pPr>
        <w:spacing w:before="200"/>
      </w:pPr>
      <w:r>
        <w:rPr>
          <w:b/>
        </w:rPr>
        <w:t>Table 5. Cross-domain test of the framework's predictions.</w:t>
      </w:r>
      <w:r>
        <w:t xml:space="preserve"> Both cohorts were audited with the instrument of the validation domain; the encoder was an MLP autoencoder with a gradient-reversal adversary. κ is the normalized mutual information between group and label on the full observation set. "Identity lift" is the group-identification accuracy of a linear probe on the embedding divided by the 1/G chance rate; the arrow gives λ = 0 → the most aggressive dose that reduced lift. "τ_LGO retained" is the minimum over doses relative to baseline; "gap reduction" is the fall in τ_in − τ_LOO at the best dose.</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after="0" w:before="0"/>
            </w:pPr>
            <w:r/>
            <w:r>
              <w:rPr>
                <w:b/>
                <w:sz w:val="18"/>
              </w:rPr>
              <w:t>Domain (grouping variable)</w:t>
            </w:r>
          </w:p>
        </w:tc>
        <w:tc>
          <w:tcPr>
            <w:tcW w:type="dxa" w:w="936"/>
          </w:tcPr>
          <w:p>
            <w:pPr>
              <w:spacing w:after="0" w:before="0"/>
            </w:pPr>
            <w:r/>
            <w:r>
              <w:rPr>
                <w:b/>
                <w:sz w:val="18"/>
              </w:rPr>
              <w:t>G</w:t>
            </w:r>
          </w:p>
        </w:tc>
        <w:tc>
          <w:tcPr>
            <w:tcW w:type="dxa" w:w="936"/>
          </w:tcPr>
          <w:p>
            <w:pPr>
              <w:spacing w:after="0" w:before="0"/>
            </w:pPr>
            <w:r/>
            <w:r>
              <w:rPr>
                <w:b/>
                <w:sz w:val="18"/>
              </w:rPr>
              <w:t>κ</w:t>
            </w:r>
          </w:p>
        </w:tc>
        <w:tc>
          <w:tcPr>
            <w:tcW w:type="dxa" w:w="936"/>
          </w:tcPr>
          <w:p>
            <w:pPr>
              <w:spacing w:after="0" w:before="0"/>
            </w:pPr>
            <w:r/>
            <w:r>
              <w:rPr>
                <w:b/>
                <w:sz w:val="18"/>
              </w:rPr>
              <w:t>τ_base/σ̂</w:t>
            </w:r>
          </w:p>
        </w:tc>
        <w:tc>
          <w:tcPr>
            <w:tcW w:type="dxa" w:w="936"/>
          </w:tcPr>
          <w:p>
            <w:pPr>
              <w:spacing w:after="0" w:before="0"/>
            </w:pPr>
            <w:r/>
            <w:r>
              <w:rPr>
                <w:b/>
                <w:sz w:val="18"/>
              </w:rPr>
              <w:t>Dual gate predicted</w:t>
            </w:r>
          </w:p>
        </w:tc>
        <w:tc>
          <w:tcPr>
            <w:tcW w:type="dxa" w:w="936"/>
          </w:tcPr>
          <w:p>
            <w:pPr>
              <w:spacing w:after="0" w:before="0"/>
            </w:pPr>
            <w:r/>
            <w:r>
              <w:rPr>
                <w:b/>
                <w:sz w:val="18"/>
              </w:rPr>
              <w:t>Accepted cells (λ &gt; 0)</w:t>
            </w:r>
          </w:p>
        </w:tc>
        <w:tc>
          <w:tcPr>
            <w:tcW w:type="dxa" w:w="936"/>
          </w:tcPr>
          <w:p>
            <w:pPr>
              <w:spacing w:after="0" w:before="0"/>
            </w:pPr>
            <w:r/>
            <w:r>
              <w:rPr>
                <w:b/>
                <w:sz w:val="18"/>
              </w:rPr>
              <w:t>τ_LOO − τ_LGO at λ = 0 (per-seed range)</w:t>
            </w:r>
          </w:p>
        </w:tc>
        <w:tc>
          <w:tcPr>
            <w:tcW w:type="dxa" w:w="936"/>
          </w:tcPr>
          <w:p>
            <w:pPr>
              <w:spacing w:after="0" w:before="0"/>
            </w:pPr>
            <w:r/>
            <w:r>
              <w:rPr>
                <w:b/>
                <w:sz w:val="18"/>
              </w:rPr>
              <w:t>Identity lift</w:t>
            </w:r>
          </w:p>
        </w:tc>
        <w:tc>
          <w:tcPr>
            <w:tcW w:type="dxa" w:w="936"/>
          </w:tcPr>
          <w:p>
            <w:pPr>
              <w:spacing w:after="0" w:before="0"/>
            </w:pPr>
            <w:r/>
            <w:r>
              <w:rPr>
                <w:b/>
                <w:sz w:val="18"/>
              </w:rPr>
              <w:t>τ_LGO retained</w:t>
            </w:r>
          </w:p>
        </w:tc>
        <w:tc>
          <w:tcPr>
            <w:tcW w:type="dxa" w:w="936"/>
          </w:tcPr>
          <w:p>
            <w:pPr>
              <w:spacing w:after="0" w:before="0"/>
            </w:pPr>
            <w:r/>
            <w:r>
              <w:rPr>
                <w:b/>
                <w:sz w:val="18"/>
              </w:rPr>
              <w:t>Gap reduction</w:t>
            </w:r>
          </w:p>
        </w:tc>
      </w:tr>
      <w:tr>
        <w:tc>
          <w:tcPr>
            <w:tcW w:type="dxa" w:w="936"/>
          </w:tcPr>
          <w:p>
            <w:pPr>
              <w:spacing w:after="0" w:before="0"/>
            </w:pPr>
            <w:r/>
            <w:r>
              <w:rPr>
                <w:sz w:val="18"/>
              </w:rPr>
              <w:t>HAR, wearable activity (subject)</w:t>
            </w:r>
          </w:p>
        </w:tc>
        <w:tc>
          <w:tcPr>
            <w:tcW w:type="dxa" w:w="936"/>
          </w:tcPr>
          <w:p>
            <w:pPr>
              <w:spacing w:after="0" w:before="0"/>
            </w:pPr>
            <w:r/>
            <w:r>
              <w:rPr>
                <w:sz w:val="18"/>
              </w:rPr>
              <w:t>30</w:t>
            </w:r>
          </w:p>
        </w:tc>
        <w:tc>
          <w:tcPr>
            <w:tcW w:type="dxa" w:w="936"/>
          </w:tcPr>
          <w:p>
            <w:pPr>
              <w:spacing w:after="0" w:before="0"/>
            </w:pPr>
            <w:r/>
            <w:r>
              <w:rPr>
                <w:sz w:val="18"/>
              </w:rPr>
              <w:t>0.0025</w:t>
            </w:r>
          </w:p>
        </w:tc>
        <w:tc>
          <w:tcPr>
            <w:tcW w:type="dxa" w:w="936"/>
          </w:tcPr>
          <w:p>
            <w:pPr>
              <w:spacing w:after="0" w:before="0"/>
            </w:pPr>
            <w:r/>
            <w:r>
              <w:rPr>
                <w:sz w:val="18"/>
              </w:rPr>
              <w:t>13.8</w:t>
            </w:r>
          </w:p>
        </w:tc>
        <w:tc>
          <w:tcPr>
            <w:tcW w:type="dxa" w:w="936"/>
          </w:tcPr>
          <w:p>
            <w:pPr>
              <w:spacing w:after="0" w:before="0"/>
            </w:pPr>
            <w:r/>
            <w:r>
              <w:rPr>
                <w:sz w:val="18"/>
              </w:rPr>
              <w:t>empty</w:t>
            </w:r>
          </w:p>
        </w:tc>
        <w:tc>
          <w:tcPr>
            <w:tcW w:type="dxa" w:w="936"/>
          </w:tcPr>
          <w:p>
            <w:pPr>
              <w:spacing w:after="0" w:before="0"/>
            </w:pPr>
            <w:r/>
            <w:r>
              <w:rPr>
                <w:sz w:val="18"/>
              </w:rPr>
              <w:t>0/12</w:t>
            </w:r>
          </w:p>
        </w:tc>
        <w:tc>
          <w:tcPr>
            <w:tcW w:type="dxa" w:w="936"/>
          </w:tcPr>
          <w:p>
            <w:pPr>
              <w:spacing w:after="0" w:before="0"/>
            </w:pPr>
            <w:r/>
            <w:r>
              <w:rPr>
                <w:sz w:val="18"/>
              </w:rPr>
              <w:t>+0.0061 (+0.0036 to +0.0095)</w:t>
            </w:r>
          </w:p>
        </w:tc>
        <w:tc>
          <w:tcPr>
            <w:tcW w:type="dxa" w:w="936"/>
          </w:tcPr>
          <w:p>
            <w:pPr>
              <w:spacing w:after="0" w:before="0"/>
            </w:pPr>
            <w:r/>
            <w:r>
              <w:rPr>
                <w:sz w:val="18"/>
              </w:rPr>
              <w:t>10.0 → 5.4</w:t>
            </w:r>
          </w:p>
        </w:tc>
        <w:tc>
          <w:tcPr>
            <w:tcW w:type="dxa" w:w="936"/>
          </w:tcPr>
          <w:p>
            <w:pPr>
              <w:spacing w:after="0" w:before="0"/>
            </w:pPr>
            <w:r/>
            <w:r>
              <w:rPr>
                <w:sz w:val="18"/>
              </w:rPr>
              <w:t>0.98</w:t>
            </w:r>
          </w:p>
        </w:tc>
        <w:tc>
          <w:tcPr>
            <w:tcW w:type="dxa" w:w="936"/>
          </w:tcPr>
          <w:p>
            <w:pPr>
              <w:spacing w:after="0" w:before="0"/>
            </w:pPr>
            <w:r/>
            <w:r>
              <w:rPr>
                <w:sz w:val="18"/>
              </w:rPr>
              <w:t>−81%</w:t>
            </w:r>
          </w:p>
        </w:tc>
      </w:tr>
      <w:tr>
        <w:tc>
          <w:tcPr>
            <w:tcW w:type="dxa" w:w="936"/>
          </w:tcPr>
          <w:p>
            <w:pPr>
              <w:spacing w:after="0" w:before="0"/>
            </w:pPr>
            <w:r/>
            <w:r>
              <w:rPr>
                <w:sz w:val="18"/>
              </w:rPr>
              <w:t>Gas sensor drift, chemical (batch)</w:t>
            </w:r>
          </w:p>
        </w:tc>
        <w:tc>
          <w:tcPr>
            <w:tcW w:type="dxa" w:w="936"/>
          </w:tcPr>
          <w:p>
            <w:pPr>
              <w:spacing w:after="0" w:before="0"/>
            </w:pPr>
            <w:r/>
            <w:r>
              <w:rPr>
                <w:sz w:val="18"/>
              </w:rPr>
              <w:t>10</w:t>
            </w:r>
          </w:p>
        </w:tc>
        <w:tc>
          <w:tcPr>
            <w:tcW w:type="dxa" w:w="936"/>
          </w:tcPr>
          <w:p>
            <w:pPr>
              <w:spacing w:after="0" w:before="0"/>
            </w:pPr>
            <w:r/>
            <w:r>
              <w:rPr>
                <w:sz w:val="18"/>
              </w:rPr>
              <w:t>0.0511</w:t>
            </w:r>
          </w:p>
        </w:tc>
        <w:tc>
          <w:tcPr>
            <w:tcW w:type="dxa" w:w="936"/>
          </w:tcPr>
          <w:p>
            <w:pPr>
              <w:spacing w:after="0" w:before="0"/>
            </w:pPr>
            <w:r/>
            <w:r>
              <w:rPr>
                <w:sz w:val="18"/>
              </w:rPr>
              <w:t>11.0</w:t>
            </w:r>
          </w:p>
        </w:tc>
        <w:tc>
          <w:tcPr>
            <w:tcW w:type="dxa" w:w="936"/>
          </w:tcPr>
          <w:p>
            <w:pPr>
              <w:spacing w:after="0" w:before="0"/>
            </w:pPr>
            <w:r/>
            <w:r>
              <w:rPr>
                <w:sz w:val="18"/>
              </w:rPr>
              <w:t>empty</w:t>
            </w:r>
          </w:p>
        </w:tc>
        <w:tc>
          <w:tcPr>
            <w:tcW w:type="dxa" w:w="936"/>
          </w:tcPr>
          <w:p>
            <w:pPr>
              <w:spacing w:after="0" w:before="0"/>
            </w:pPr>
            <w:r/>
            <w:r>
              <w:rPr>
                <w:sz w:val="18"/>
              </w:rPr>
              <w:t>0/12</w:t>
            </w:r>
          </w:p>
        </w:tc>
        <w:tc>
          <w:tcPr>
            <w:tcW w:type="dxa" w:w="936"/>
          </w:tcPr>
          <w:p>
            <w:pPr>
              <w:spacing w:after="0" w:before="0"/>
            </w:pPr>
            <w:r/>
            <w:r>
              <w:rPr>
                <w:sz w:val="18"/>
              </w:rPr>
              <w:t>+0.0494 (+0.0294 to +0.0697)</w:t>
            </w:r>
          </w:p>
        </w:tc>
        <w:tc>
          <w:tcPr>
            <w:tcW w:type="dxa" w:w="936"/>
          </w:tcPr>
          <w:p>
            <w:pPr>
              <w:spacing w:after="0" w:before="0"/>
            </w:pPr>
            <w:r/>
            <w:r>
              <w:rPr>
                <w:sz w:val="18"/>
              </w:rPr>
              <w:t>9.2 → 7.2</w:t>
            </w:r>
          </w:p>
        </w:tc>
        <w:tc>
          <w:tcPr>
            <w:tcW w:type="dxa" w:w="936"/>
          </w:tcPr>
          <w:p>
            <w:pPr>
              <w:spacing w:after="0" w:before="0"/>
            </w:pPr>
            <w:r/>
            <w:r>
              <w:rPr>
                <w:sz w:val="18"/>
              </w:rPr>
              <w:t>0.89</w:t>
            </w:r>
          </w:p>
        </w:tc>
        <w:tc>
          <w:tcPr>
            <w:tcW w:type="dxa" w:w="936"/>
          </w:tcPr>
          <w:p>
            <w:pPr>
              <w:spacing w:after="0" w:before="0"/>
            </w:pPr>
            <w:r/>
            <w:r>
              <w:rPr>
                <w:sz w:val="18"/>
              </w:rPr>
              <w:t>−56%</w:t>
            </w:r>
          </w:p>
        </w:tc>
      </w:tr>
    </w:tbl>
    <w:p/>
    <w:p>
      <w:pPr>
        <w:pStyle w:val="Heading1"/>
      </w:pPr>
      <w:r>
        <w:rPr>
          <w:rFonts w:ascii="Times New Roman" w:hAnsi="Times New Roman"/>
          <w:color w:val="000000"/>
        </w:rPr>
        <w:t>DISCUSSION</w:t>
      </w:r>
    </w:p>
    <w:p>
      <w:r>
        <w:t>Identity leakage is a structural property of how data are collected, not a property of any model or field. The contribution we want to emphasise first is not that we removed it in one domain, but that the split conventionally used to measure it is wrong in a direction that flatters the model, that correcting the split is free, and that once the split is right the loop around it (detect, repair, re-audit, accept) can be made auditable. Six points follow.</w:t>
      </w:r>
    </w:p>
    <w:p>
      <w:r>
        <w:rPr>
          <w:b/>
        </w:rPr>
        <w:t>Evaluation hygiene is a separate, transferable result.</w:t>
      </w:r>
      <w:r>
        <w:t xml:space="preserve"> The sibling-unit effect (unit-level cross-validation pinned at ceiling while group-level holdout collapses) is not caused by our repair: the repair merely exposes it with a knob. It is a warning about any group-structured dataset in which groups contribute multiple units, and the remedy (accept at the group level) costs nothing. The same logic applies to the endpoint result: because all three real cohorts have one section per donor, repair had no leakage channel to remove and paid a pure fidelity cost. That repair did not improve endpoints is a statement about where the method applies, and it is a statement the framework yields in advance. This is the same failure the blocked-cross-validation literature documents,[40,41] and we make no claim of priority for the phenomenon: that literature established the prescription (hold out whole blocks rather than records) and demonstrated the optimism case by case. What we add is the measurement, and a measurement is needed even where the prescription is followed. A group-disjoint split stops the shortcut from entering the training objective, but it cannot tell the owner of an already-trained representation how much of its reported performance is group-driven, and it cannot certify an intervention that claims to have removed the shortcut, because by then the split is fixed and the counterfactual has to be measured rather than designed. The check itself is one line in an existing evaluation script, given a recorded grouping variable.</w:t>
      </w:r>
    </w:p>
    <w:p>
      <w:r>
        <w:rPr>
          <w:b/>
        </w:rPr>
        <w:t>Auditability, not accuracy, is the deliverable.</w:t>
      </w:r>
      <w:r>
        <w:t xml:space="preserve"> Every acceptance decision in this work is produced by a calibrated statistic that is itself tested after repair against cohorts with known ground truth (a planted shared program, a planted identity confound, a random-label control). This ordering matters: a repair method evaluated only on the metric it was designed to improve cannot distinguish "the leak is gone" from "the model is empty". The 75/75 safety and 45/45 non-blindness results are the operating characteristics of the instrument, and they are the reason we can interpret the real-cohort verdicts at all.</w:t>
      </w:r>
    </w:p>
    <w:p>
      <w:r>
        <w:rPr>
          <w:b/>
        </w:rPr>
        <w:t>A precondition test turns acceptance from tuning into a check.</w:t>
      </w:r>
      <w:r>
        <w:t xml:space="preserve"> Proposition 1 says that the intuitive dual gate is empty whenever the pre-repair association exceeds ≈ 2.35 null scales, and Remark 1 says the conflict worsens as cohorts grow. It is a precondition test and not a theory of repair: it costs one baseline fit, and it tells the practitioner which acceptance criterion to adopt, not what any particular dose will return. We report it as a critical retention c_crit (Table 1) rather than as a verdict taken at a chosen c, so that the normative choice is made explicit instead of being absorbed into the statistic. Both quantities are estimable from the unrepaired baseline, so the decision of which acceptance criterion to adopt can be made before a single repaired model is trained. The same statement explains our own results rather than merely describing them: the two cohorts above threshold produced no accepted operating points, and the two below it did.</w:t>
      </w:r>
    </w:p>
    <w:p>
      <w:r>
        <w:rPr>
          <w:b/>
        </w:rPr>
        <w:t>Two decision boundaries make "will repair work here" a question with an answer.</w:t>
      </w:r>
      <w:r>
        <w:t xml:space="preserve"> Label–identity coupling decides whether a repairable operating point exists at all; group count decides whether the shared program can survive the dose needed to remove identity. Both are properties of the cohort, not of the operator, and both are estimable: the first by inspection of what the label means (external cause versus internal history), the second by a phase grid on a simulator with the same structural parameters. We consider the boundaries more useful than the method, because they are what let a practitioner decide whether to attempt repair at all.</w:t>
      </w:r>
    </w:p>
    <w:p>
      <w:r>
        <w:rPr>
          <w:b/>
        </w:rPr>
        <w:t>Auditability discriminates between methods that look alike on standard metrics.</w:t>
      </w:r>
      <w:r>
        <w:t xml:space="preserve"> Group-DRO and IRM are not strawmen; they are the two families a practitioner would reach for. Both improved or preserved in-sample statistics, and both left (or amplified) the group-level dependence that the audit measures. Because the failure modes are diagnosable from the sign and direction of the cross-group statistic (gap down, LDI positive; invariance claimed, LDI up), the taxonomy is usable on any method, including ones not tested here. What we are claiming should be stated exactly, because the comparison invites a larger reading than we intend. The two failure modes are properties of Group-DRO and IRM, and we do not generalise them: null-space projection,[32] contrastive cross-group objectives and conditional reweighting were not benchmarked, and any of them might trade fidelity against leakage differently. The deliverable of this paper is the auditing protocol, not the repair operator; LDI, the three axes and the group-level acceptance rule can be run on the output of whatever deconfounding method a practitioner already uses, because they read the representation rather than the objective that produced it. We therefore make no claim that the adversarial operator used here outperforms other deconfounding methods, and we would regard a study that ran this protocol across those families as a direct extension rather than as a competitor.</w:t>
      </w:r>
    </w:p>
    <w:p>
      <w:r>
        <w:rPr>
          <w:b/>
        </w:rPr>
        <w:t>What the audit decided in the validation domain, and how precisely.</w:t>
      </w:r>
      <w:r>
        <w:t xml:space="preserve"> Two numbers bound how the operator should be read, and both are properties of the instrument rather than admissions about it. The first is that the instrument issued a verdict in every cohort from pre-repair quantities alone, and the verdict matched what was subsequently observed in seven of seven cohorts (Table 1; the GeoMx cohort enters once, carrying the three labels of the control below): the shared-program simulation and the cervical cohort were declared infeasible and produced no accepted operating point, while head and neck and prostate produced the accepted cells the test said were available, and both non-biological cohorts were graded as they were graded. A diagnostic whose verdicts agree with the outcomes it predicts, across seven cohorts spanning biological and non-biological domains, is calibrated; that is the positive result, and it does not rest on cohort size. It is also a defined test rather than a fortunate run: it would have failed on any cohort where the pre-repair ratio said a feasible dose existed and none was observed, or where it said none existed and repair was accepted, and neither happened. The second number is the size of the accepted set on real data: three of eighteen dosed seed × dose cells across the two clinical cohorts clear both axes, one of nine on head and neck (λ = 2, retention 0.73) and two of nine on prostate (λ = 1.0, retention 0.74–0.76). A gate that accepted none of them would be vacuous and one that accepted all of them would be uninformative, so the smallness is the calibration reading rather than a shortfall: on single-section-per-donor cohorts the framework predicts a small feasible set in advance, and finding three where it predicted few is the outcome it calls for. The precision of the two gradings differs and we say which is which. Head and neck (16 patients; baseline LDI 2.18 falling to 1.13–1.37 at λ = 0.5) clears the leakage axis on all three seeds at that dose and both axes on one of nine cells. Prostate (52 patients; 2.04 to 1.51 at λ = 1.0) clears both axes on two of three seeds with a seed spread (SD 0.16 on the primary run, 0.86 on the independent re-run) that is wider than the distance from the mean to the gate, so we grade it as a single operating point with measured spread rather than as a replicated acceptance; the observation that would upgrade the grading is more benign sections, not more seeds.</w:t>
      </w:r>
    </w:p>
    <w:p>
      <w:pPr>
        <w:pStyle w:val="Heading2"/>
      </w:pPr>
      <w:r>
        <w:rPr>
          <w:rFonts w:ascii="Times New Roman" w:hAnsi="Times New Roman"/>
          <w:color w:val="000000"/>
        </w:rPr>
        <w:t>Implications for fairness and evaluation integrity</w:t>
      </w:r>
    </w:p>
    <w:p>
      <w:r>
        <w:t>Identity leakage is a close structural relative of group fairness, and the relationship is worth stating precisely because it is often blurred. Group identity is routinely collinear with attributes that fairness research treats as sensitive: hospitals serve different populations, speakers carry dialect, age and gender, sites differ in equipment and referral patterns, users differ in demographics. When a model reaches its reported performance partly by recognizing group identity, the performance it reports is not uniformly available: it degrades on groups that were thin in training, which is exactly the pattern subgroup-fairness audits exist to catch.[21]</w:t>
      </w:r>
    </w:p>
    <w:p>
      <w:r>
        <w:t xml:space="preserve">Our contribution is not to the definition of fairness or to the trade-offs between fairness criteria, which are choices a deployer must make. It is narrower and, we think, more useful: it makes the </w:t>
      </w:r>
      <w:r>
        <w:rPr>
          <w:i/>
        </w:rPr>
        <w:t>attribution</w:t>
      </w:r>
      <w:r>
        <w:t xml:space="preserve"> of performance auditable. R = τ_LDO/τ_in answers "what share of what this model fits actually survives removal of the group", and LDI answers "is the surviving association beyond what permutation would produce". A fairness audit that finds a gap between overall and subgroup performance can then ask whether the gap is a property of the signal or of the identity shortcut, rather than only measuring its size.</w:t>
      </w:r>
    </w:p>
    <w:p>
      <w:r>
        <w:t xml:space="preserve">Proposition 1 has a direct analogue here. In fairness terms, the dual gate asks for a model that is independent of the group attribute </w:t>
      </w:r>
      <w:r>
        <w:rPr>
          <w:i/>
        </w:rPr>
        <w:t>and</w:t>
      </w:r>
      <w:r>
        <w:t xml:space="preserve"> retains a fixed fraction of its performance. Proposition 1 shows that when the attribute is strongly coupled to the label, no such model exists: not because the optimizer failed, but because the feasible set is empty. Fairness–utility conflicts of this shape are therefore structural, and the ratio τ_base/σ̂ gives a way to recognise them as such before investing in a debiasing method. We regard translating this algebra into fairness auditing as the most promising extension of the present work.</w:t>
      </w:r>
    </w:p>
    <w:p>
      <w:pPr>
        <w:pStyle w:val="Heading2"/>
      </w:pPr>
      <w:r>
        <w:rPr>
          <w:rFonts w:ascii="Times New Roman" w:hAnsi="Times New Roman"/>
          <w:color w:val="000000"/>
        </w:rPr>
        <w:t>Transferring the framework beyond the validation domain</w:t>
      </w:r>
    </w:p>
    <w:p>
      <w:r>
        <w:rPr>
          <w:b/>
        </w:rPr>
        <w:t>Standing qualifier.</w:t>
      </w:r>
      <w:r>
        <w:t xml:space="preserve"> The two audited rows of Table 4 are audited for predictions only: no downstream endpoint, no planted ground truth, and no demonstration of utility. The remaining rows are structural mappings and are untested.</w:t>
      </w:r>
    </w:p>
    <w:p>
      <w:r>
        <w:t xml:space="preserve">The framework's objects are structural (a grouping variable, an observation-level label, an encoder, an adversary, a leave-one-group-out probe) and none of the theory uses domain-specific machinery. Table 4 maps the same objects onto other group-structured domains, and states for each row whether the mapping carries evidence. Only one row does so end-to-end. Two rows were audited with the same code (wearable activity recognition and chemical gas-sensor drift, both with the graph encoder replaced by a multilayer perceptron and nothing else changed) and both reproduced the pre-repair predictions. That is evidence that the </w:t>
      </w:r>
      <w:r>
        <w:rPr>
          <w:i/>
        </w:rPr>
        <w:t>theory</w:t>
      </w:r>
      <w:r>
        <w:t xml:space="preserve"> travels, not that the framework has been validated in those domains: neither audit has an endpoint, a planted control, or a domain readout, and neither establishes that repair improves anything a practitioner in those fields cares about. The remaining six rows are untested, and we claim no transfer to them. Three conditions are required for the framework to be applicable: (i) the grouping variable is recorded for every observation; (ii) at least some groups contribute more than one observation, so that a leakage channel exists; and (iii) the encoder exposes a representation on which an adversary head can be trained and a linear probe can be evaluated. Where these hold, the same four steps apply: audit with LDI under leave-one-group-out; compute τ_base/σ̂ and decide the acceptance criterion; dose the adversarial repair; re-audit with the three axes and accept only at the group level.</w:t>
      </w:r>
    </w:p>
    <w:p>
      <w:pPr>
        <w:spacing w:before="200"/>
      </w:pPr>
      <w:r>
        <w:rPr>
          <w:b/>
        </w:rPr>
        <w:t>Table 4. Cross-domain map for identity leakage.</w:t>
      </w:r>
      <w:r>
        <w:t xml:space="preserve"> The grouping variable is the identity to be removed; the observation unit is what the model consumes. The final column states the level of evidence for each row. Only the first row is validated end-to-end. Rows 2–3 were audited with the instrument of the validation domain (Table 5): real experiments on real data, but testing predictions rather than utility, and carrying no endpoint, no planted control and no domain readout. Rows 4–9 are </w:t>
      </w:r>
      <w:r>
        <w:rPr>
          <w:b/>
        </w:rPr>
        <w:t>structural mappings of the same objects and have not been tested</w:t>
      </w:r>
      <w:r>
        <w:t>; they state the conditions under which the protocol would apply, and we claim no transfer to them.</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before="0"/>
            </w:pPr>
            <w:r/>
            <w:r>
              <w:rPr>
                <w:b/>
                <w:sz w:val="18"/>
              </w:rPr>
              <w:t>Domain</w:t>
            </w:r>
          </w:p>
        </w:tc>
        <w:tc>
          <w:tcPr>
            <w:tcW w:type="dxa" w:w="1560"/>
          </w:tcPr>
          <w:p>
            <w:pPr>
              <w:spacing w:after="0" w:before="0"/>
            </w:pPr>
            <w:r/>
            <w:r>
              <w:rPr>
                <w:b/>
                <w:sz w:val="18"/>
              </w:rPr>
              <w:t>Grouping variable (the identity)</w:t>
            </w:r>
          </w:p>
        </w:tc>
        <w:tc>
          <w:tcPr>
            <w:tcW w:type="dxa" w:w="1560"/>
          </w:tcPr>
          <w:p>
            <w:pPr>
              <w:spacing w:after="0" w:before="0"/>
            </w:pPr>
            <w:r/>
            <w:r>
              <w:rPr>
                <w:b/>
                <w:sz w:val="18"/>
              </w:rPr>
              <w:t>Observation unit</w:t>
            </w:r>
          </w:p>
        </w:tc>
        <w:tc>
          <w:tcPr>
            <w:tcW w:type="dxa" w:w="1560"/>
          </w:tcPr>
          <w:p>
            <w:pPr>
              <w:spacing w:after="0" w:before="0"/>
            </w:pPr>
            <w:r/>
            <w:r>
              <w:rPr>
                <w:b/>
                <w:sz w:val="18"/>
              </w:rPr>
              <w:t>Typical leakage channel</w:t>
            </w:r>
          </w:p>
        </w:tc>
        <w:tc>
          <w:tcPr>
            <w:tcW w:type="dxa" w:w="1560"/>
          </w:tcPr>
          <w:p>
            <w:pPr>
              <w:spacing w:after="0" w:before="0"/>
            </w:pPr>
            <w:r/>
            <w:r>
              <w:rPr>
                <w:b/>
                <w:sz w:val="18"/>
              </w:rPr>
              <w:t>Acceptance split</w:t>
            </w:r>
          </w:p>
        </w:tc>
        <w:tc>
          <w:tcPr>
            <w:tcW w:type="dxa" w:w="1560"/>
          </w:tcPr>
          <w:p>
            <w:pPr>
              <w:spacing w:after="0" w:before="0"/>
            </w:pPr>
            <w:r/>
            <w:r>
              <w:rPr>
                <w:b/>
                <w:sz w:val="18"/>
              </w:rPr>
              <w:t>Evidence status</w:t>
            </w:r>
          </w:p>
        </w:tc>
      </w:tr>
      <w:tr>
        <w:tc>
          <w:tcPr>
            <w:tcW w:type="dxa" w:w="1560"/>
          </w:tcPr>
          <w:p>
            <w:pPr>
              <w:spacing w:after="0" w:before="0"/>
            </w:pPr>
            <w:r/>
            <w:r>
              <w:rPr>
                <w:sz w:val="18"/>
              </w:rPr>
              <w:t>Spatial / single-cell omics</w:t>
            </w:r>
          </w:p>
        </w:tc>
        <w:tc>
          <w:tcPr>
            <w:tcW w:type="dxa" w:w="1560"/>
          </w:tcPr>
          <w:p>
            <w:pPr>
              <w:spacing w:after="0" w:before="0"/>
            </w:pPr>
            <w:r/>
            <w:r>
              <w:rPr>
                <w:sz w:val="18"/>
              </w:rPr>
              <w:t>donor, patient</w:t>
            </w:r>
          </w:p>
        </w:tc>
        <w:tc>
          <w:tcPr>
            <w:tcW w:type="dxa" w:w="1560"/>
          </w:tcPr>
          <w:p>
            <w:pPr>
              <w:spacing w:after="0" w:before="0"/>
            </w:pPr>
            <w:r/>
            <w:r>
              <w:rPr>
                <w:sz w:val="18"/>
              </w:rPr>
              <w:t>spot, cell, nucleus</w:t>
            </w:r>
          </w:p>
        </w:tc>
        <w:tc>
          <w:tcPr>
            <w:tcW w:type="dxa" w:w="1560"/>
          </w:tcPr>
          <w:p>
            <w:pPr>
              <w:spacing w:after="0" w:before="0"/>
            </w:pPr>
            <w:r/>
            <w:r>
              <w:rPr>
                <w:sz w:val="18"/>
              </w:rPr>
              <w:t>many spots per donor; sibling sections</w:t>
            </w:r>
          </w:p>
        </w:tc>
        <w:tc>
          <w:tcPr>
            <w:tcW w:type="dxa" w:w="1560"/>
          </w:tcPr>
          <w:p>
            <w:pPr>
              <w:spacing w:after="0" w:before="0"/>
            </w:pPr>
            <w:r/>
            <w:r>
              <w:rPr>
                <w:sz w:val="18"/>
              </w:rPr>
              <w:t>leave-one-donor-out</w:t>
            </w:r>
          </w:p>
        </w:tc>
        <w:tc>
          <w:tcPr>
            <w:tcW w:type="dxa" w:w="1560"/>
          </w:tcPr>
          <w:p>
            <w:pPr>
              <w:spacing w:after="0" w:before="0"/>
            </w:pPr>
            <w:r/>
            <w:r>
              <w:rPr>
                <w:sz w:val="18"/>
              </w:rPr>
              <w:t>Validated (full loop)</w:t>
            </w:r>
          </w:p>
        </w:tc>
      </w:tr>
      <w:tr>
        <w:tc>
          <w:tcPr>
            <w:tcW w:type="dxa" w:w="1560"/>
          </w:tcPr>
          <w:p>
            <w:pPr>
              <w:spacing w:after="0" w:before="0"/>
            </w:pPr>
            <w:r/>
            <w:r>
              <w:rPr>
                <w:sz w:val="18"/>
              </w:rPr>
              <w:t>Wearables and biosignals</w:t>
            </w:r>
          </w:p>
        </w:tc>
        <w:tc>
          <w:tcPr>
            <w:tcW w:type="dxa" w:w="1560"/>
          </w:tcPr>
          <w:p>
            <w:pPr>
              <w:spacing w:after="0" w:before="0"/>
            </w:pPr>
            <w:r/>
            <w:r>
              <w:rPr>
                <w:sz w:val="18"/>
              </w:rPr>
              <w:t>subject</w:t>
            </w:r>
          </w:p>
        </w:tc>
        <w:tc>
          <w:tcPr>
            <w:tcW w:type="dxa" w:w="1560"/>
          </w:tcPr>
          <w:p>
            <w:pPr>
              <w:spacing w:after="0" w:before="0"/>
            </w:pPr>
            <w:r/>
            <w:r>
              <w:rPr>
                <w:sz w:val="18"/>
              </w:rPr>
              <w:t>time window</w:t>
            </w:r>
          </w:p>
        </w:tc>
        <w:tc>
          <w:tcPr>
            <w:tcW w:type="dxa" w:w="1560"/>
          </w:tcPr>
          <w:p>
            <w:pPr>
              <w:spacing w:after="0" w:before="0"/>
            </w:pPr>
            <w:r/>
            <w:r>
              <w:rPr>
                <w:sz w:val="18"/>
              </w:rPr>
              <w:t>thousands of windows per subject</w:t>
            </w:r>
          </w:p>
        </w:tc>
        <w:tc>
          <w:tcPr>
            <w:tcW w:type="dxa" w:w="1560"/>
          </w:tcPr>
          <w:p>
            <w:pPr>
              <w:spacing w:after="0" w:before="0"/>
            </w:pPr>
            <w:r/>
            <w:r>
              <w:rPr>
                <w:sz w:val="18"/>
              </w:rPr>
              <w:t>leave-one-subject-out</w:t>
            </w:r>
          </w:p>
        </w:tc>
        <w:tc>
          <w:tcPr>
            <w:tcW w:type="dxa" w:w="1560"/>
          </w:tcPr>
          <w:p>
            <w:pPr>
              <w:spacing w:after="0" w:before="0"/>
            </w:pPr>
            <w:r/>
            <w:r>
              <w:rPr>
                <w:sz w:val="18"/>
              </w:rPr>
              <w:t>Audited (predictions only; HAR, Table 5)</w:t>
            </w:r>
          </w:p>
        </w:tc>
      </w:tr>
      <w:tr>
        <w:tc>
          <w:tcPr>
            <w:tcW w:type="dxa" w:w="1560"/>
          </w:tcPr>
          <w:p>
            <w:pPr>
              <w:spacing w:after="0" w:before="0"/>
            </w:pPr>
            <w:r/>
            <w:r>
              <w:rPr>
                <w:sz w:val="18"/>
              </w:rPr>
              <w:t>Analytical chemistry, sensor networks</w:t>
            </w:r>
          </w:p>
        </w:tc>
        <w:tc>
          <w:tcPr>
            <w:tcW w:type="dxa" w:w="1560"/>
          </w:tcPr>
          <w:p>
            <w:pPr>
              <w:spacing w:after="0" w:before="0"/>
            </w:pPr>
            <w:r/>
            <w:r>
              <w:rPr>
                <w:sz w:val="18"/>
              </w:rPr>
              <w:t>measurement batch, instrument</w:t>
            </w:r>
          </w:p>
        </w:tc>
        <w:tc>
          <w:tcPr>
            <w:tcW w:type="dxa" w:w="1560"/>
          </w:tcPr>
          <w:p>
            <w:pPr>
              <w:spacing w:after="0" w:before="0"/>
            </w:pPr>
            <w:r/>
            <w:r>
              <w:rPr>
                <w:sz w:val="18"/>
              </w:rPr>
              <w:t>spectrum, sensor reading</w:t>
            </w:r>
          </w:p>
        </w:tc>
        <w:tc>
          <w:tcPr>
            <w:tcW w:type="dxa" w:w="1560"/>
          </w:tcPr>
          <w:p>
            <w:pPr>
              <w:spacing w:after="0" w:before="0"/>
            </w:pPr>
            <w:r/>
            <w:r>
              <w:rPr>
                <w:sz w:val="18"/>
              </w:rPr>
              <w:t>drift signature shared across a batch; batch–analyte imbalance</w:t>
            </w:r>
          </w:p>
        </w:tc>
        <w:tc>
          <w:tcPr>
            <w:tcW w:type="dxa" w:w="1560"/>
          </w:tcPr>
          <w:p>
            <w:pPr>
              <w:spacing w:after="0" w:before="0"/>
            </w:pPr>
            <w:r/>
            <w:r>
              <w:rPr>
                <w:sz w:val="18"/>
              </w:rPr>
              <w:t>leave-one-batch-out</w:t>
            </w:r>
          </w:p>
        </w:tc>
        <w:tc>
          <w:tcPr>
            <w:tcW w:type="dxa" w:w="1560"/>
          </w:tcPr>
          <w:p>
            <w:pPr>
              <w:spacing w:after="0" w:before="0"/>
            </w:pPr>
            <w:r/>
            <w:r>
              <w:rPr>
                <w:sz w:val="18"/>
              </w:rPr>
              <w:t>Audited (predictions only; gas drift, Table 5)</w:t>
            </w:r>
          </w:p>
        </w:tc>
      </w:tr>
      <w:tr>
        <w:tc>
          <w:tcPr>
            <w:tcW w:type="dxa" w:w="1560"/>
          </w:tcPr>
          <w:p>
            <w:pPr>
              <w:spacing w:after="0" w:before="0"/>
            </w:pPr>
            <w:r/>
            <w:r>
              <w:rPr>
                <w:sz w:val="18"/>
              </w:rPr>
              <w:t>Medical imaging</w:t>
            </w:r>
          </w:p>
        </w:tc>
        <w:tc>
          <w:tcPr>
            <w:tcW w:type="dxa" w:w="1560"/>
          </w:tcPr>
          <w:p>
            <w:pPr>
              <w:spacing w:after="0" w:before="0"/>
            </w:pPr>
            <w:r/>
            <w:r>
              <w:rPr>
                <w:sz w:val="18"/>
              </w:rPr>
              <w:t>hospital, scanner, site</w:t>
            </w:r>
          </w:p>
        </w:tc>
        <w:tc>
          <w:tcPr>
            <w:tcW w:type="dxa" w:w="1560"/>
          </w:tcPr>
          <w:p>
            <w:pPr>
              <w:spacing w:after="0" w:before="0"/>
            </w:pPr>
            <w:r/>
            <w:r>
              <w:rPr>
                <w:sz w:val="18"/>
              </w:rPr>
              <w:t>image, slice, study</w:t>
            </w:r>
          </w:p>
        </w:tc>
        <w:tc>
          <w:tcPr>
            <w:tcW w:type="dxa" w:w="1560"/>
          </w:tcPr>
          <w:p>
            <w:pPr>
              <w:spacing w:after="0" w:before="0"/>
            </w:pPr>
            <w:r/>
            <w:r>
              <w:rPr>
                <w:sz w:val="18"/>
              </w:rPr>
              <w:t>repeated scans per patient; acquisition signature</w:t>
            </w:r>
          </w:p>
        </w:tc>
        <w:tc>
          <w:tcPr>
            <w:tcW w:type="dxa" w:w="1560"/>
          </w:tcPr>
          <w:p>
            <w:pPr>
              <w:spacing w:after="0" w:before="0"/>
            </w:pPr>
            <w:r/>
            <w:r>
              <w:rPr>
                <w:sz w:val="18"/>
              </w:rPr>
              <w:t>leave-one-site-out / leave-one-scanner-out</w:t>
            </w:r>
          </w:p>
        </w:tc>
        <w:tc>
          <w:tcPr>
            <w:tcW w:type="dxa" w:w="1560"/>
          </w:tcPr>
          <w:p>
            <w:pPr>
              <w:spacing w:after="0" w:before="0"/>
            </w:pPr>
            <w:r/>
            <w:r>
              <w:rPr>
                <w:sz w:val="18"/>
              </w:rPr>
              <w:t>Not tested (structural)</w:t>
            </w:r>
          </w:p>
        </w:tc>
      </w:tr>
      <w:tr>
        <w:tc>
          <w:tcPr>
            <w:tcW w:type="dxa" w:w="1560"/>
          </w:tcPr>
          <w:p>
            <w:pPr>
              <w:spacing w:after="0" w:before="0"/>
            </w:pPr>
            <w:r/>
            <w:r>
              <w:rPr>
                <w:sz w:val="18"/>
              </w:rPr>
              <w:t>Speech and audio</w:t>
            </w:r>
          </w:p>
        </w:tc>
        <w:tc>
          <w:tcPr>
            <w:tcW w:type="dxa" w:w="1560"/>
          </w:tcPr>
          <w:p>
            <w:pPr>
              <w:spacing w:after="0" w:before="0"/>
            </w:pPr>
            <w:r/>
            <w:r>
              <w:rPr>
                <w:sz w:val="18"/>
              </w:rPr>
              <w:t>speaker</w:t>
            </w:r>
          </w:p>
        </w:tc>
        <w:tc>
          <w:tcPr>
            <w:tcW w:type="dxa" w:w="1560"/>
          </w:tcPr>
          <w:p>
            <w:pPr>
              <w:spacing w:after="0" w:before="0"/>
            </w:pPr>
            <w:r/>
            <w:r>
              <w:rPr>
                <w:sz w:val="18"/>
              </w:rPr>
              <w:t>utterance, frame</w:t>
            </w:r>
          </w:p>
        </w:tc>
        <w:tc>
          <w:tcPr>
            <w:tcW w:type="dxa" w:w="1560"/>
          </w:tcPr>
          <w:p>
            <w:pPr>
              <w:spacing w:after="0" w:before="0"/>
            </w:pPr>
            <w:r/>
            <w:r>
              <w:rPr>
                <w:sz w:val="18"/>
              </w:rPr>
              <w:t>many utterances per speaker</w:t>
            </w:r>
          </w:p>
        </w:tc>
        <w:tc>
          <w:tcPr>
            <w:tcW w:type="dxa" w:w="1560"/>
          </w:tcPr>
          <w:p>
            <w:pPr>
              <w:spacing w:after="0" w:before="0"/>
            </w:pPr>
            <w:r/>
            <w:r>
              <w:rPr>
                <w:sz w:val="18"/>
              </w:rPr>
              <w:t>leave-one-speaker-out</w:t>
            </w:r>
          </w:p>
        </w:tc>
        <w:tc>
          <w:tcPr>
            <w:tcW w:type="dxa" w:w="1560"/>
          </w:tcPr>
          <w:p>
            <w:pPr>
              <w:spacing w:after="0" w:before="0"/>
            </w:pPr>
            <w:r/>
            <w:r>
              <w:rPr>
                <w:sz w:val="18"/>
              </w:rPr>
              <w:t>Not tested (structural)</w:t>
            </w:r>
          </w:p>
        </w:tc>
      </w:tr>
      <w:tr>
        <w:tc>
          <w:tcPr>
            <w:tcW w:type="dxa" w:w="1560"/>
          </w:tcPr>
          <w:p>
            <w:pPr>
              <w:spacing w:after="0" w:before="0"/>
            </w:pPr>
            <w:r/>
            <w:r>
              <w:rPr>
                <w:sz w:val="18"/>
              </w:rPr>
              <w:t>Electronic health records</w:t>
            </w:r>
          </w:p>
        </w:tc>
        <w:tc>
          <w:tcPr>
            <w:tcW w:type="dxa" w:w="1560"/>
          </w:tcPr>
          <w:p>
            <w:pPr>
              <w:spacing w:after="0" w:before="0"/>
            </w:pPr>
            <w:r/>
            <w:r>
              <w:rPr>
                <w:sz w:val="18"/>
              </w:rPr>
              <w:t>hospital, provider, ward</w:t>
            </w:r>
          </w:p>
        </w:tc>
        <w:tc>
          <w:tcPr>
            <w:tcW w:type="dxa" w:w="1560"/>
          </w:tcPr>
          <w:p>
            <w:pPr>
              <w:spacing w:after="0" w:before="0"/>
            </w:pPr>
            <w:r/>
            <w:r>
              <w:rPr>
                <w:sz w:val="18"/>
              </w:rPr>
              <w:t>encounter, note</w:t>
            </w:r>
          </w:p>
        </w:tc>
        <w:tc>
          <w:tcPr>
            <w:tcW w:type="dxa" w:w="1560"/>
          </w:tcPr>
          <w:p>
            <w:pPr>
              <w:spacing w:after="0" w:before="0"/>
            </w:pPr>
            <w:r/>
            <w:r>
              <w:rPr>
                <w:sz w:val="18"/>
              </w:rPr>
              <w:t>repeated encounters per site</w:t>
            </w:r>
          </w:p>
        </w:tc>
        <w:tc>
          <w:tcPr>
            <w:tcW w:type="dxa" w:w="1560"/>
          </w:tcPr>
          <w:p>
            <w:pPr>
              <w:spacing w:after="0" w:before="0"/>
            </w:pPr>
            <w:r/>
            <w:r>
              <w:rPr>
                <w:sz w:val="18"/>
              </w:rPr>
              <w:t>leave-one-site-out</w:t>
            </w:r>
          </w:p>
        </w:tc>
        <w:tc>
          <w:tcPr>
            <w:tcW w:type="dxa" w:w="1560"/>
          </w:tcPr>
          <w:p>
            <w:pPr>
              <w:spacing w:after="0" w:before="0"/>
            </w:pPr>
            <w:r/>
            <w:r>
              <w:rPr>
                <w:sz w:val="18"/>
              </w:rPr>
              <w:t>Not tested (structural)</w:t>
            </w:r>
          </w:p>
        </w:tc>
      </w:tr>
      <w:tr>
        <w:tc>
          <w:tcPr>
            <w:tcW w:type="dxa" w:w="1560"/>
          </w:tcPr>
          <w:p>
            <w:pPr>
              <w:spacing w:after="0" w:before="0"/>
            </w:pPr>
            <w:r/>
            <w:r>
              <w:rPr>
                <w:sz w:val="18"/>
              </w:rPr>
              <w:t>Remote sensing and ecology</w:t>
            </w:r>
          </w:p>
        </w:tc>
        <w:tc>
          <w:tcPr>
            <w:tcW w:type="dxa" w:w="1560"/>
          </w:tcPr>
          <w:p>
            <w:pPr>
              <w:spacing w:after="0" w:before="0"/>
            </w:pPr>
            <w:r/>
            <w:r>
              <w:rPr>
                <w:sz w:val="18"/>
              </w:rPr>
              <w:t>plot, site, tile</w:t>
            </w:r>
          </w:p>
        </w:tc>
        <w:tc>
          <w:tcPr>
            <w:tcW w:type="dxa" w:w="1560"/>
          </w:tcPr>
          <w:p>
            <w:pPr>
              <w:spacing w:after="0" w:before="0"/>
            </w:pPr>
            <w:r/>
            <w:r>
              <w:rPr>
                <w:sz w:val="18"/>
              </w:rPr>
              <w:t>patch, pixel block</w:t>
            </w:r>
          </w:p>
        </w:tc>
        <w:tc>
          <w:tcPr>
            <w:tcW w:type="dxa" w:w="1560"/>
          </w:tcPr>
          <w:p>
            <w:pPr>
              <w:spacing w:after="0" w:before="0"/>
            </w:pPr>
            <w:r/>
            <w:r>
              <w:rPr>
                <w:sz w:val="18"/>
              </w:rPr>
              <w:t>spatially autocorrelated sibling tiles</w:t>
            </w:r>
          </w:p>
        </w:tc>
        <w:tc>
          <w:tcPr>
            <w:tcW w:type="dxa" w:w="1560"/>
          </w:tcPr>
          <w:p>
            <w:pPr>
              <w:spacing w:after="0" w:before="0"/>
            </w:pPr>
            <w:r/>
            <w:r>
              <w:rPr>
                <w:sz w:val="18"/>
              </w:rPr>
              <w:t>spatial-block holdout</w:t>
            </w:r>
          </w:p>
        </w:tc>
        <w:tc>
          <w:tcPr>
            <w:tcW w:type="dxa" w:w="1560"/>
          </w:tcPr>
          <w:p>
            <w:pPr>
              <w:spacing w:after="0" w:before="0"/>
            </w:pPr>
            <w:r/>
            <w:r>
              <w:rPr>
                <w:sz w:val="18"/>
              </w:rPr>
              <w:t>Not tested (structural)</w:t>
            </w:r>
          </w:p>
        </w:tc>
      </w:tr>
      <w:tr>
        <w:tc>
          <w:tcPr>
            <w:tcW w:type="dxa" w:w="1560"/>
          </w:tcPr>
          <w:p>
            <w:pPr>
              <w:spacing w:after="0" w:before="0"/>
            </w:pPr>
            <w:r/>
            <w:r>
              <w:rPr>
                <w:sz w:val="18"/>
              </w:rPr>
              <w:t>Recommender systems, user modelling</w:t>
            </w:r>
          </w:p>
        </w:tc>
        <w:tc>
          <w:tcPr>
            <w:tcW w:type="dxa" w:w="1560"/>
          </w:tcPr>
          <w:p>
            <w:pPr>
              <w:spacing w:after="0" w:before="0"/>
            </w:pPr>
            <w:r/>
            <w:r>
              <w:rPr>
                <w:sz w:val="18"/>
              </w:rPr>
              <w:t>user</w:t>
            </w:r>
          </w:p>
        </w:tc>
        <w:tc>
          <w:tcPr>
            <w:tcW w:type="dxa" w:w="1560"/>
          </w:tcPr>
          <w:p>
            <w:pPr>
              <w:spacing w:after="0" w:before="0"/>
            </w:pPr>
            <w:r/>
            <w:r>
              <w:rPr>
                <w:sz w:val="18"/>
              </w:rPr>
              <w:t>interaction, session</w:t>
            </w:r>
          </w:p>
        </w:tc>
        <w:tc>
          <w:tcPr>
            <w:tcW w:type="dxa" w:w="1560"/>
          </w:tcPr>
          <w:p>
            <w:pPr>
              <w:spacing w:after="0" w:before="0"/>
            </w:pPr>
            <w:r/>
            <w:r>
              <w:rPr>
                <w:sz w:val="18"/>
              </w:rPr>
              <w:t>many interactions per user</w:t>
            </w:r>
          </w:p>
        </w:tc>
        <w:tc>
          <w:tcPr>
            <w:tcW w:type="dxa" w:w="1560"/>
          </w:tcPr>
          <w:p>
            <w:pPr>
              <w:spacing w:after="0" w:before="0"/>
            </w:pPr>
            <w:r/>
            <w:r>
              <w:rPr>
                <w:sz w:val="18"/>
              </w:rPr>
              <w:t>leave-one-user-out</w:t>
            </w:r>
          </w:p>
        </w:tc>
        <w:tc>
          <w:tcPr>
            <w:tcW w:type="dxa" w:w="1560"/>
          </w:tcPr>
          <w:p>
            <w:pPr>
              <w:spacing w:after="0" w:before="0"/>
            </w:pPr>
            <w:r/>
            <w:r>
              <w:rPr>
                <w:sz w:val="18"/>
              </w:rPr>
              <w:t>Not tested (structural)</w:t>
            </w:r>
          </w:p>
        </w:tc>
      </w:tr>
      <w:tr>
        <w:tc>
          <w:tcPr>
            <w:tcW w:type="dxa" w:w="1560"/>
          </w:tcPr>
          <w:p>
            <w:pPr>
              <w:spacing w:after="0" w:before="0"/>
            </w:pPr>
            <w:r/>
            <w:r>
              <w:rPr>
                <w:sz w:val="18"/>
              </w:rPr>
              <w:t>Multi-centre trials</w:t>
            </w:r>
          </w:p>
        </w:tc>
        <w:tc>
          <w:tcPr>
            <w:tcW w:type="dxa" w:w="1560"/>
          </w:tcPr>
          <w:p>
            <w:pPr>
              <w:spacing w:after="0" w:before="0"/>
            </w:pPr>
            <w:r/>
            <w:r>
              <w:rPr>
                <w:sz w:val="18"/>
              </w:rPr>
              <w:t>centre</w:t>
            </w:r>
          </w:p>
        </w:tc>
        <w:tc>
          <w:tcPr>
            <w:tcW w:type="dxa" w:w="1560"/>
          </w:tcPr>
          <w:p>
            <w:pPr>
              <w:spacing w:after="0" w:before="0"/>
            </w:pPr>
            <w:r/>
            <w:r>
              <w:rPr>
                <w:sz w:val="18"/>
              </w:rPr>
              <w:t>participant visit</w:t>
            </w:r>
          </w:p>
        </w:tc>
        <w:tc>
          <w:tcPr>
            <w:tcW w:type="dxa" w:w="1560"/>
          </w:tcPr>
          <w:p>
            <w:pPr>
              <w:spacing w:after="0" w:before="0"/>
            </w:pPr>
            <w:r/>
            <w:r>
              <w:rPr>
                <w:sz w:val="18"/>
              </w:rPr>
              <w:t>repeated visits; centre protocols</w:t>
            </w:r>
          </w:p>
        </w:tc>
        <w:tc>
          <w:tcPr>
            <w:tcW w:type="dxa" w:w="1560"/>
          </w:tcPr>
          <w:p>
            <w:pPr>
              <w:spacing w:after="0" w:before="0"/>
            </w:pPr>
            <w:r/>
            <w:r>
              <w:rPr>
                <w:sz w:val="18"/>
              </w:rPr>
              <w:t>leave-one-centre-out</w:t>
            </w:r>
          </w:p>
        </w:tc>
        <w:tc>
          <w:tcPr>
            <w:tcW w:type="dxa" w:w="1560"/>
          </w:tcPr>
          <w:p>
            <w:pPr>
              <w:spacing w:after="0" w:before="0"/>
            </w:pPr>
            <w:r/>
            <w:r>
              <w:rPr>
                <w:sz w:val="18"/>
              </w:rPr>
              <w:t>Not tested (structural)</w:t>
            </w:r>
          </w:p>
        </w:tc>
      </w:tr>
    </w:tbl>
    <w:p/>
    <w:p>
      <w:r>
        <w:t>Two caveats keep the mapping honest. First, the six untested rows are argued by structure alone; every domain carries nuisance channels our simulations did not include (acquisition parameters, session effects, calendar drift, referral patterns), and whether the two boundaries bind at the same place is exactly what the audited rows show cannot be assumed: in gas drift the drift signature rather than the person is the identity, and the natural batch–analyte imbalance is what supplies the coupling that boundary I keys on. Second, the group-count boundary is expressed in groups, not observations, and Table 5 shows why it cannot be quoted across domains: gas drift has only ten batches, below the 16–32 boundary mapped in the validation domain, and yet retained 0.89–0.93 of its group-level transfer under repair. The boundary exists wherever the argument applies; its numeric placement depends on how much data each group contributes and on the encoder. Re-deriving it per domain is a configuration change in the released simulator, not a new study.</w:t>
      </w:r>
    </w:p>
    <w:p>
      <w:pPr>
        <w:pStyle w:val="Heading2"/>
      </w:pPr>
      <w:r>
        <w:rPr>
          <w:rFonts w:ascii="Times New Roman" w:hAnsi="Times New Roman"/>
          <w:color w:val="000000"/>
        </w:rPr>
        <w:t>Limitations</w:t>
      </w:r>
    </w:p>
    <w:p>
      <w:r>
        <w:t xml:space="preserve">(i) </w:t>
      </w:r>
      <w:r>
        <w:rPr>
          <w:b/>
        </w:rPr>
        <w:t>Three levels of evidence, only one of them complete.</w:t>
      </w:r>
      <w:r>
        <w:t xml:space="preserve"> The full loop (repair, acceptance, downstream endpoint, planted controls, domain readout) is validated in one application domain, spatial transcriptomics, on three real cohorts (head and neck n = 16, prostate n = 52, cervix n = 35 sections from 34 donors) plus a simulator with known ground truth. Two non-biological cohorts (Table 5) were audited with the same instrument and confirm the instrument, both decision boundaries and the operator's behaviour (real experiments on real data) but they carry no endpoint, no planted control and no domain readout, and they test predictions rather than utility. The six remaining rows of Table 4 are structural arguments and are untested. We therefore claim domain-generality for the </w:t>
      </w:r>
      <w:r>
        <w:rPr>
          <w:i/>
        </w:rPr>
        <w:t>theory</w:t>
      </w:r>
      <w:r>
        <w:t xml:space="preserve"> (Proposition 1 and the two boundaries are stated over a grouping variable, a label, an encoder and a probe) and for the </w:t>
      </w:r>
      <w:r>
        <w:rPr>
          <w:i/>
        </w:rPr>
        <w:t>instrument</w:t>
      </w:r>
      <w:r>
        <w:t>; we do not claim it for the utility of repair, which is demonstrated only in spatial transcriptomics.</w:t>
      </w:r>
    </w:p>
    <w:p>
      <w:r>
        <w:t xml:space="preserve">(ii) </w:t>
      </w:r>
      <w:r>
        <w:rPr>
          <w:b/>
        </w:rPr>
        <w:t>One repair family.</w:t>
      </w:r>
      <w:r>
        <w:t xml:space="preserve"> Every repair in this paper is adversarial, trained through a gradient-reversal layer.[3,4] We did not develop or benchmark alternative repair paradigms, each of which is plausible and might trade fidelity against leakage differently: contrastive objectives with cross-group positive pairs; group-conditioned reweighting or importance sampling; explicit orthogonality or variance penalties on the group subspace; iterative nullspace projection;[32] disentangled or factorised latent-variable models; and generative removal. The three most informative next comparisons are the post-hoc or partly post-hoc ones, because they are cheap to run on the same grid: iterative nullspace projection,[32] contrastive cross-group objectives, and orthogonality penalties on the group subspace. The consequences differ by result. Proposition 1 and Remark 1 concern the </w:t>
      </w:r>
      <w:r>
        <w:rPr>
          <w:i/>
        </w:rPr>
        <w:t>acceptance gate</w:t>
      </w:r>
      <w:r>
        <w:t>, not the operator, so the emptiness of the dual gate above τ_base/σ̂ ≈ 2.35 is family-independent: no operator can satisfy an infeasible criterion. The operating characteristics, by contrast, are properties of the adversarial family: the 75/75 safety record, the dose–response shape, the seed instability at strong doses, and the retained fraction R = 0.38–0.60 at accepted cells should all be re-measured before being quoted for another operator. This is a limitation of the empirical half of the paper only. Two clarifications bound how the comparison may be read. First, the instrument does not depend on the operator: LDI, the three axes and the group-level acceptance rule read a representation rather than a training objective, so the same protocol can be run on the output of any deconfounding method, including every family listed above, and a practitioner who adopts one of them loses nothing from this paper. Second, we claim no superiority for the adversarial operator over those families; the head-to-head result is a demonstration that an auditable instrument discriminates between methods that are indistinguishable in-sample, not a ranking of removal methods. Systematic benchmarking of the untested families against this protocol is the most direct next study, and we expect its outcome to change the operating characteristics rather than the theory. Stated as two separate claims so that neither is over-read: (1) the two failure modes reported above (Group-DRO reduces the in-sample gap while preserving cross-group leakage; IRM amplifies the group fingerprint) are empirical observations about those two algorithms on these cohorts and should not be generalised to deconfounding methods we did not run; (2) the auditing instrument (LDI, the three-axis acceptance protocol, the group-level acceptance rule) is operator-agnostic and evaluates the output of null-space projection, contrastive learning, conditional re-weighting, or any other paradigm without modification, so systematic benchmarking across those families is a future extension rather than a requirement for the present manuscript. We make no claim that the adversarial operator used here outperforms any other deconfounding approach.</w:t>
      </w:r>
    </w:p>
    <w:p>
      <w:r>
        <w:t xml:space="preserve">(iii) </w:t>
      </w:r>
      <w:r>
        <w:rPr>
          <w:b/>
        </w:rPr>
        <w:t>The group-count boundary is a placement, not a constant.</w:t>
      </w:r>
      <w:r>
        <w:t xml:space="preserve"> The 16–32 group boundary was mapped on simulations with one generative model (a shared linear program plus an additive identity component), one encoder family (graph attention, replicated with a graph-convolutional backbone and with a structure-free perceptron that performs no message passing, Table S12): the backbone replications show that the </w:t>
      </w:r>
      <w:r>
        <w:rPr>
          <w:i/>
        </w:rPr>
        <w:t>verdict</w:t>
      </w:r>
      <w:r>
        <w:t xml:space="preserve"> is not an artifact of the encoder, but they do not show that the </w:t>
      </w:r>
      <w:r>
        <w:rPr>
          <w:i/>
        </w:rPr>
        <w:t>placement</w:t>
      </w:r>
      <w:r>
        <w:t xml:space="preserve"> of the boundary is encoder-invariant, which is the claim we are making here, and linear ridge probes as the readout. Its placement will move with encoder capacity, the noise distribution, the alignment between the program subspace and the identity subspace, and the probe class. We verified that the boundary </w:t>
      </w:r>
      <w:r>
        <w:rPr>
          <w:i/>
        </w:rPr>
        <w:t>exists</w:t>
      </w:r>
      <w:r>
        <w:t xml:space="preserve"> outside the validation domain but not that it sits in the same place: gas drift has G = 10, below the boundary mapped here, and still retained 0.89–0.93 of its group-level transfer under repair (Table 5). The number should be read as a placement for our configuration. Re-deriving it is a configuration change in the released simulator, and we recommend that any user do so rather than quote ours.</w:t>
      </w:r>
    </w:p>
    <w:p>
      <w:r>
        <w:t xml:space="preserve">(iv) </w:t>
      </w:r>
      <w:r>
        <w:rPr>
          <w:b/>
        </w:rPr>
        <w:t>Repair costs fidelity and did not improve a downstream endpoint.</w:t>
      </w:r>
      <w:r>
        <w:t xml:space="preserve"> No accepted repair improved any downstream endpoint we measured. On the head-and-neck cohort the leave-one-donor-out AUROC fell from 0.906 ± 0.063 unrepaired to 0.766–0.813 at every λ &gt; 0 (a drop of ≈ 0.09–0.14, present in all three seeds at λ = 0.5); cervical was 0.968 at baseline and seed-unstable at λ = 2 (0.855 ± 0.107); prostate differences (0.878 ± 0.044 versus 0.866–0.892) are unresolvable at four positive donors. Mechanistically this is not a defect: all three cohorts have essentially one section per donor, so by the sibling-unit argument there is no leakage channel to remove, and repair pays a pure fidelity cost. </w:t>
      </w:r>
      <w:r>
        <w:rPr>
          <w:b/>
        </w:rPr>
        <w:t>The applicability boundary this establishes is therefore explicit: repair is worth attempting only where multiple units per group exist and the audit shows a leakage channel.</w:t>
      </w:r>
      <w:r>
        <w:t xml:space="preserve"> Where groups contribute a single unit, the correct action is group-disjoint splitting[8] and the audit, not repair. Even where repair does apply, the cost is real and quantified: at accepted cells R = 0.38–0.60, meaning 40–62% of the in-sample association is erased, and strong doses are seed-unstable at these group counts (AUROC SD 0.189 at λ = 5 versus 0.041 at λ = 2 on the head-and-neck cohort, matching the boundary in (iii)).</w:t>
      </w:r>
    </w:p>
    <w:p>
      <w:r>
        <w:t xml:space="preserve">(v) </w:t>
      </w:r>
      <w:r>
        <w:rPr>
          <w:b/>
        </w:rPr>
        <w:t>Removal is partial, and we use the word in that sense.</w:t>
      </w:r>
      <w:r>
        <w:t xml:space="preserve"> Adversarial repair drove group-identity lift from 10.0× to 5.4× chance in HAR and from 9.2× to 7.2× in gas drift, and cleared only ≈ 12% of the planted in-sample fingerprint on the identity-confounding control. “Repaired” therefore means reduced below a calibrated gate, not rendered unidentifiable. Any downstream use that assumes the group is no longer recoverable from the representation is not supported by these results. We also report the partial clearance of axis (ii) as a bound on what in-sample metrics can certify rather than as a success: on an identity-confounding cohort with no true signal to clear, partial clearance is the expected outcome.</w:t>
      </w:r>
    </w:p>
    <w:p>
      <w:r>
        <w:t xml:space="preserve">(vi) </w:t>
      </w:r>
      <w:r>
        <w:rPr>
          <w:b/>
        </w:rPr>
        <w:t>The instrument rests on a linear probe and a specific null.</w:t>
      </w:r>
      <w:r>
        <w:t xml:space="preserve"> LDI is computed with a linear ridge probe under leave-one-group-out, calibrated against a refit permutation null. A probe of different capacity or functional form would yield different τ and a different σ̂, and hence a different LDI; the 1.645 gate and the 2.35 feasibility threshold are calibrated for c = 0.7 and this probe class, not absolute. What this bounds is specific and worth stating plainly, because it is the constraint a referee should press hardest. LDI measures the group identity that a </w:t>
      </w:r>
      <w:r>
        <w:rPr>
          <w:i/>
        </w:rPr>
        <w:t>linear</w:t>
      </w:r>
      <w:r>
        <w:t xml:space="preserve"> readout can recover from the representation. Where an encoder stores group identity in a form only a nonlinear probe can decode (a manifold that is not linearly separable in z, an interaction between latent dimensions, a code identifiable only conditionally on the label), the linear probe returns a small τ, the audit reports little leakage, and a sufficiently expressive decoder still recovers the group. We did not test nonlinear probes (kernel ridge, gradient-boosted, or multilayer-perceptron probes) on any cohort, so we cannot give the size of this blind spot, only that it exists and that it is a property of the probe rather than of the argument: the sibling-unit trap, the two boundaries and Proposition 1 are statements about a channel and a coupling, and they hold whatever probe is used to read them, whereas every LDI number in this paper is a statement about linear recoverability and should be quoted as such. The practical consequence is that a low LDI is evidence, not a guarantee, and a practitioner who needs a stronger one should re-run the audit with the most expressive probe their deployment could plausibly apply and treat disagreement between probe classes as a finding rather than as noise. The two claims should be separated cleanly. The sibling-unit trap, Proposition 1, and both decision boundaries are structural statements about a channel and a coupling, and they hold under any probe class. The LDI numbers are statements about linear recoverability only, and they are the part of the paper that a change of probe would move. LDI is reported as a measure of linearly recoverable group leakage; it is not a detector of every form in which group identity can be encoded, and nothing in the Highlights, the In Brief, or the Summary should be read as claiming otherwise. The permutation null carries a milder version of the same caveat: it is estimated by refitting the same probe on permuted labels, so it scales with the probe automatically, which is why the ratio is comparable across cohorts and domains at a fixed unit definition and not across unit definitions of the same data (Table S16).</w:t>
      </w:r>
    </w:p>
    <w:p>
      <w:r>
        <w:t xml:space="preserve">(vii) </w:t>
      </w:r>
      <w:r>
        <w:rPr>
          <w:b/>
        </w:rPr>
        <w:t>Statistical resolution.</w:t>
      </w:r>
      <w:r>
        <w:t xml:space="preserve"> Three seeds per dose–cohort cell, 16–52 sections per cohort, and four positive donors in the prostate cohort (standard error ≈ 0.11 on AUROC). We therefore report ranges and seed spreads throughout and do not treat dose optima as precise quantities; the perfect-generalization point observed in the non-hardened replication (τ at ceiling, the LDI gate exceeded only by a rebound) invites interpretation but is not resolved at this replication. The cohort sizes are fixed by what is publicly available for these modalities (16, 52 and 35 sections; 7 cases in the GeoMx control); we did not select them, and we did not add cohorts to reach a power target, so the resolution of the real-cohort results is what these data support and no more. Where a conclusion needs resolution the data cannot supply, we say so at the point of the claim rather than in aggregate: the prostate acceptance is graded as a single operating point with measured spread rather than as a replicated acceptance, and the cervical endpoint is described as seed-unstable at λ = 2. The simulations supply the power the cohorts cannot: three seeds per cell over a five-by-four-by-two phase grid, and every statement about the existence and the placement of the two boundaries rests on those grids rather than on the clinical cells. We also delimit what the biological results are for: the gene-direction readouts and the HPV and tumour-provenance associations are checks that the instrument returns interpretable verdicts on real data. They are not new biological findings, they are not powered to be, and nothing in the paper should be cited as a biological result. Three consequences follow for how the numbers may be quoted. First, we report no optimal λ anywhere in this paper: doses are described as an acceptable operating-point interval carrying its seed spread, and the prostate acceptance is a single operating point with measured spread rather than a tightly replicated result. Second, the structural claims of the paper (the sibling-unit trap, Proposition 1, both decision boundaries) rest on the simulation phase grids, where three seeds per cell over a 5 by 4 by 2 design supply the resolution the cohorts cannot; the real cohorts check the instrument on real data and do not power those claims. Third, the prostate cohort has four benign donors and the head-and-neck cohort sixteen patients, so no subgroup comparison within either cohort is powered, and none is reported.</w:t>
      </w:r>
    </w:p>
    <w:p>
      <w:r>
        <w:t xml:space="preserve">(viii) </w:t>
      </w:r>
      <w:r>
        <w:rPr>
          <w:b/>
        </w:rPr>
        <w:t>The grouping variable must be recorded.</w:t>
      </w:r>
      <w:r>
        <w:t xml:space="preserve"> The framework requires group membership for every observation. Where the grouping variable is unknown, partially missing, or itself confounded with an unrecorded nuisance factor, neither the audit nor the repair applies, and leakage from an unrecorded group is invisible to the instrument. This is a precondition of the method, not a setting we address.</w:t>
      </w:r>
    </w:p>
    <w:p>
      <w:r>
        <w:t xml:space="preserve">(ix) </w:t>
      </w:r>
      <w:r>
        <w:rPr>
          <w:b/>
        </w:rPr>
        <w:t>Normative decisions are out of scope.</w:t>
      </w:r>
      <w:r>
        <w:t xml:space="preserve"> Where the grouping variable is itself a protected attribute of interest, removing identity is a fairness intervention with its own requirements. Our protocol supplies measurement (how much of a reported performance survives removal of the group) and an infeasibility diagnosis for fairness–utility conflicts of this shape, but not the decision rule for what to do when the feasible set is empty.</w:t>
      </w:r>
    </w:p>
    <w:p>
      <w:r>
        <w:t xml:space="preserve">(x) </w:t>
      </w:r>
      <w:r>
        <w:rPr>
          <w:b/>
        </w:rPr>
        <w:t>The fidelity gate degenerates when the baseline association is near zero.</w:t>
      </w:r>
      <w:r>
        <w:t xml:space="preserve"> The fidelity axis is relative (τ_LDO ≥ 0.7 · τ_base), so where τ_base is itself indistinguishable from the null, the gate is satisfied almost automatically. On the spurious simulation arm, where the label carries no transferable program and τ_base/σ̂ was 0.35 and 0.52 under the two backbones, 2 of 12 dosed cells per backbone nonetheless passed the dual gate (Table S12). Proposition 1 predicts this and it is not a defect of the experiment: the proposition is a statement about the existence of a feasible operating point, not about whether that point is worth using. In practice an "accepted" cell should be read as informative only where the baseline association is detectably above the null; where it is not, acceptance carries no information. Adding an absolute floor alongside the relative fidelity gate would remove this degeneracy, and we did not implement one.</w:t>
      </w:r>
    </w:p>
    <w:p>
      <w:r>
        <w:t xml:space="preserve">(xi) </w:t>
      </w:r>
      <w:r>
        <w:rPr>
          <w:b/>
        </w:rPr>
        <w:t>The out-of-domain test of Proposition 1 is a consistency check, not an independent test.</w:t>
      </w:r>
      <w:r>
        <w:t xml:space="preserve"> On both non-biological cohorts the fidelity axis was satisfied at every dose (τ_LGO retained ≥ 0.89 of baseline), so the emptiness of the dual gate there is carried entirely by the leakage axis, and repair did not move τ_LOO at all. Prediction and observation are consequently close to the same statement, and we do not present this as a test of the feasibility condition. The out-of-domain claim we do defend as falsifiable is decision boundary I, which predicted an ordering between the two cohorts and would have failed had inflation tracked identifiability rather than coupling.</w:t>
      </w:r>
    </w:p>
    <w:p>
      <w:r>
        <w:t xml:space="preserve">(xii) </w:t>
      </w:r>
      <w:r>
        <w:rPr>
          <w:b/>
        </w:rPr>
        <w:t>The protocol is instantiated on one implementation, and we specify the external test rather than defer it.</w:t>
      </w:r>
      <w:r>
        <w:t xml:space="preserve"> Every number in this paper was produced by our own simulator, encoder and repair operator. The three axes, both decision boundaries and Proposition 1 are stated over a grouping variable, a label, a representation and a leave-one-group-out probe, and none of them refers to our training objective: LDI reads a representation, so it can be applied to the output of any pipeline whose grouping variable is recorded. But a structural argument is not a second implementation, and we do not present it as one. The test that would convert it is narrow enough to state exactly: take one public pipeline with an exposed configuration and a recorded grouping variable, run the group-shuffle null (identity lift against chance) and the group-count escalation, and report whether LDI orders its runs as it orders ours. It requires no repair training and no access to another group's objective. We have not run it; we list it as the principal open gap rather than as future work, and we would read a failure of LDI to order the runs of such a pipeline as a real falsification of the transfer claim in Table 4, not as a tuning problem.</w:t>
      </w:r>
    </w:p>
    <w:p>
      <w:pPr>
        <w:pStyle w:val="Heading2"/>
      </w:pPr>
      <w:r>
        <w:rPr>
          <w:rFonts w:ascii="Times New Roman" w:hAnsi="Times New Roman"/>
          <w:color w:val="000000"/>
        </w:rPr>
        <w:t>A practitioner's protocol</w:t>
      </w:r>
    </w:p>
    <w:p>
      <w:pPr>
        <w:ind w:left="432" w:hanging="432"/>
      </w:pPr>
      <w:r>
        <w:t xml:space="preserve">1. </w:t>
      </w:r>
      <w:r>
        <w:rPr>
          <w:b/>
        </w:rPr>
        <w:t>Record the grouping variable.</w:t>
      </w:r>
      <w:r>
        <w:t xml:space="preserve"> If groups contribute multiple observations and the split is at observation level, assume leakage is available as a shortcut until measured.</w:t>
      </w:r>
    </w:p>
    <w:p>
      <w:pPr>
        <w:ind w:left="432" w:hanging="432"/>
      </w:pPr>
      <w:r>
        <w:t xml:space="preserve">2. </w:t>
      </w:r>
      <w:r>
        <w:rPr>
          <w:b/>
        </w:rPr>
        <w:t>Audit before claiming anything.</w:t>
      </w:r>
      <w:r>
        <w:t xml:space="preserve"> Compute LDI under leave-one-group-out with refit permutation inference; do not rely on in-sample or observation-level held-out metrics.</w:t>
      </w:r>
    </w:p>
    <w:p>
      <w:pPr>
        <w:ind w:left="432" w:hanging="432"/>
      </w:pPr>
      <w:r>
        <w:t xml:space="preserve">3. </w:t>
      </w:r>
      <w:r>
        <w:rPr>
          <w:b/>
        </w:rPr>
        <w:t>Do not repair post hoc.</w:t>
      </w:r>
      <w:r>
        <w:t xml:space="preserve"> Removing the group-mean subspace after training removes the transferable signal with the leak.</w:t>
      </w:r>
    </w:p>
    <w:p>
      <w:pPr>
        <w:ind w:left="432" w:hanging="432"/>
      </w:pPr>
      <w:r>
        <w:t xml:space="preserve">4. </w:t>
      </w:r>
      <w:r>
        <w:rPr>
          <w:b/>
        </w:rPr>
        <w:t>Compute the critical retention before choosing a dose.</w:t>
      </w:r>
      <w:r>
        <w:t xml:space="preserve"> From the unrepaired baseline, form c_crit = 1.645 σ̂/τ_base (equivalently τ_base/σ̂ against 1.645/c). The dual gate is empty for any retention requirement at or above c_crit, and the practitioner should then adopt the three-axis protocol instead of searching for a dose. Report c_crit and let the deployer supply c: do not tune c to obtain a preferred verdict.</w:t>
      </w:r>
    </w:p>
    <w:p>
      <w:pPr>
        <w:ind w:left="432" w:hanging="432"/>
      </w:pPr>
      <w:r>
        <w:t xml:space="preserve">5. </w:t>
      </w:r>
      <w:r>
        <w:rPr>
          <w:b/>
        </w:rPr>
        <w:t>Check both decision boundaries.</w:t>
      </w:r>
      <w:r>
        <w:t xml:space="preserve"> Is the label external to group identity (etiological, causal) or internal (ordinal history)? Is the group count above the feasibility boundary for the expected signal strength?</w:t>
      </w:r>
    </w:p>
    <w:p>
      <w:pPr>
        <w:ind w:left="432" w:hanging="432"/>
      </w:pPr>
      <w:r>
        <w:t xml:space="preserve">6. </w:t>
      </w:r>
      <w:r>
        <w:rPr>
          <w:b/>
        </w:rPr>
        <w:t>Accept at the group level only</w:t>
      </w:r>
      <w:r>
        <w:t>, and require the instrument to remain non-blind on your own controls.</w:t>
      </w:r>
    </w:p>
    <w:p>
      <w:pPr>
        <w:ind w:left="432" w:hanging="432"/>
      </w:pPr>
      <w:r>
        <w:t xml:space="preserve">7. </w:t>
      </w:r>
      <w:r>
        <w:rPr>
          <w:b/>
        </w:rPr>
        <w:t>Do not read acceptance as erasure.</w:t>
      </w:r>
      <w:r>
        <w:t xml:space="preserve"> Passing the gate means the measured group dependence has been brought below a calibrated threshold, not that group identity is unrecoverable. Repair lowered group-identity lift from 10.0x to 5.4x chance on the wearable cohort and from 9.2x to 7.2x on gas-sensor drift, and cleared only about 12% of a planted in-sample fingerprint, so no downstream use should assume the group cannot be recovered from the representation.</w:t>
      </w:r>
    </w:p>
    <w:p>
      <w:pPr>
        <w:ind w:left="432" w:hanging="432"/>
      </w:pPr>
      <w:r>
        <w:t xml:space="preserve">8. </w:t>
      </w:r>
      <w:r>
        <w:rPr>
          <w:b/>
        </w:rPr>
        <w:t>Re-audit with a more expressive probe wherever the deployment is high-stakes.</w:t>
      </w:r>
      <w:r>
        <w:t xml:space="preserve"> LDI quantifies the group identity a </w:t>
      </w:r>
      <w:r>
        <w:rPr>
          <w:i/>
        </w:rPr>
        <w:t>linear</w:t>
      </w:r>
      <w:r>
        <w:t xml:space="preserve"> ridge probe can recover, so a low LDI is evidence of reduced linearly-recoverable leakage and not a guarantee that no decoder can recover the group. Where a false clean bill of health is costly, repeat the audit with a kernel-ridge, gradient-boosted, or multilayer-perceptron probe and report the most permissive reading: disagreement between a linear and a nonlinear probe is itself a warning flag and should be reported as such rather than averaged away.</w:t>
      </w:r>
    </w:p>
    <w:p>
      <w:pPr>
        <w:ind w:left="432" w:hanging="432"/>
      </w:pPr>
      <w:r>
        <w:t xml:space="preserve">9. </w:t>
      </w:r>
      <w:r>
        <w:rPr>
          <w:b/>
        </w:rPr>
        <w:t>Check that the baseline is above the null before reading an accept verdict, and pair the relative gate with an absolute floor.</w:t>
      </w:r>
      <w:r>
        <w:t xml:space="preserve"> The fidelity axis is relative (τ_LDO ≥ c · τ_base), so where τ_base is indistinguishable from the null the gate is satisfied almost automatically (2 of 12 dosed cells on the spurious simulation arm, Table S12). Treat an accepted cell as informative only where τ_base/σ̂ is itself above 1, and pair the relative condition with an absolute magnitude floor, τ_LDO ≥ 1.645 σ̂ computed under leave-one-group-out, or a domain-specific minimum effect size. </w:t>
      </w:r>
      <w:r>
        <w:rPr>
          <w:b/>
        </w:rPr>
        <w:t>Do not trust an accept output obtained while the baseline association is near null: it is an artifact of the relative form of the gate, not a finding.</w:t>
      </w:r>
      <w:r>
        <w:t xml:space="preserve"> See the degenerate regime under Proposition 1.</w:t>
      </w:r>
    </w:p>
    <w:p>
      <w:pPr>
        <w:ind w:left="432" w:hanging="432"/>
      </w:pPr>
      <w:r>
        <w:t xml:space="preserve">10. </w:t>
      </w:r>
      <w:r>
        <w:rPr>
          <w:b/>
        </w:rPr>
        <w:t>Read out what survived</w:t>
      </w:r>
      <w:r>
        <w:t xml:space="preserve"> through the decoder or its domain equivalent, and check it against external knowledge: what passes an audited repair should be recognizable, not arbitrary.</w:t>
      </w:r>
    </w:p>
    <w:p>
      <w:r>
        <w:t>Every step is a script in the released repository, with fixed seeds and configuration manifests.</w:t>
      </w:r>
    </w:p>
    <w:p>
      <w:pPr>
        <w:pStyle w:val="Heading1"/>
      </w:pPr>
      <w:r>
        <w:rPr>
          <w:rFonts w:ascii="Times New Roman" w:hAnsi="Times New Roman"/>
          <w:color w:val="000000"/>
        </w:rPr>
        <w:t>EXPERIMENTAL PROCEDURES</w:t>
      </w:r>
    </w:p>
    <w:p>
      <w:pPr>
        <w:pStyle w:val="Heading2"/>
      </w:pPr>
      <w:r>
        <w:rPr>
          <w:rFonts w:ascii="Times New Roman" w:hAnsi="Times New Roman"/>
          <w:color w:val="000000"/>
        </w:rPr>
        <w:t>Resource availability</w:t>
      </w:r>
    </w:p>
    <w:p>
      <w:r>
        <w:rPr>
          <w:b/>
        </w:rPr>
        <w:t>Lead contact.</w:t>
      </w:r>
      <w:r>
        <w:t xml:space="preserve"> Requests for further information, resources, or code should be directed to, and will be fulfilled by, the lead contact, Lang Guo (guolang1016@symc.edu.cn; School of Pharmacy, Shenyang Medical College, 146 Huanghe North Avenue, Shenyang 110034, China).</w:t>
      </w:r>
    </w:p>
    <w:p>
      <w:r>
        <w:rPr>
          <w:b/>
        </w:rPr>
        <w:t>Materials availability.</w:t>
      </w:r>
      <w:r>
        <w:t xml:space="preserve"> This study did not generate new unique reagents, cell lines, or biological materials. Every result derives from previously published public datasets or from data produced by the released simulator, and no physical material is available for distribution.</w:t>
      </w:r>
    </w:p>
    <w:p>
      <w:r>
        <w:rPr>
          <w:b/>
        </w:rPr>
        <w:t>Data.</w:t>
      </w:r>
      <w:r>
        <w:t xml:space="preserve"> The head-and-neck cohort is GSE268014[17] (Visium, HPV-positive / HPV-negative HNSCC): 16 sections of that series (GSM8283897–GSM8283913), selected as a balanced 8 HPV-positive and 8 HPV-negative subset, 57,872 spots, mean 3,617 spots per section, from the Gene Expression Omnibus. The published cohort reports 26 tumour samples;[17] we used the balanced subset because Kendall τ under a binary label has an analytic ceiling that falls with class imbalance (τ_max = 0.7303 for an 8-versus-8 split against 0.6656 for an 8-versus-18 split, 8.9% lower) and because a rank statistic loses power under imbalance. The cost is resolution: n = 16 against 52 on the prostate cohort, which is one reason the head-and-neck acceptance result is the more fragile of the two. Balance is not a precondition of the instrument: the prostate cohort is severely unbalanced (48 tumour sections against 4 benign) and the index still returns a graded verdict there, so the subset is a choice about resolution in this arm rather than a requirement of the method. Two further points about that choice should be stated plainly. The comparability claim does not depend on it: τ_base/σ̂ is dimensionless, so a cohort of different composition would still be graded on the same scale, and the 48:4 prostate cohort is direct evidence that the instrument returns a graded verdict under severe imbalance. And we did not run the full 26-sample series, and we do not extrapolate to it. The ceiling argument says τ_base would fall if it tracked the ceiling (by up to 8.9%), but σ̂ depends on the group count as well, so the argument we give does not determine the direction of the ratio; the honest statement is that the 16-patient figures are a dose-response measurement on a balanced arm, not a cohort-level estimate for GSE268014. Running the imbalanced variant is a configuration change under the released manifests. The cervical cohort (35 Visium sections with ordinal severity labels) is as described in the companion study[1] (10x Genomics public datasets and GSE217237[18]). The prostate cohort is GSE278936[19] (Visium; 52-patient subset of a 120-patient prostate cancer cohort: 4 benign prostatic hyperplasia and 48 tumour sections spanning treatment-naive, neoadjuvant-treated, castration-resistant, and metastatic disease). Simulated cohorts are generated by the released simulator with fixed seeds; the generator is domain-agnostic (it specifies groups, units, a shared program, and group fingerprints, with no domain-specific structure).</w:t>
      </w:r>
    </w:p>
    <w:p>
      <w:r>
        <w:rPr>
          <w:b/>
        </w:rPr>
        <w:t>Code.</w:t>
      </w:r>
      <w:r>
        <w:t xml:space="preserve"> All training, simulation, audit, aggregation, and analysis scripts, with exact seeds and configuration manifests (including the cohort simulator), are released at https://github.com/WorldBMW/cervix-st-multimodal, pinned at submission to the tagged release https://github.com/WorldBMW/cervix-st-multimodal/releases/tag/v1.0.0, and deposited in Zenodo before publication, whose DOI is reported in the version of record; the tagged release above is the frozen state against which every number in this paper was produced and is the accessible interim location. The release follows the FAIR principles[22]: data are public, code is versioned and archived, and every reported number is reproducible from a manifest.</w:t>
      </w:r>
    </w:p>
    <w:p>
      <w:pPr>
        <w:pStyle w:val="Heading2"/>
      </w:pPr>
      <w:r>
        <w:rPr>
          <w:rFonts w:ascii="Times New Roman" w:hAnsi="Times New Roman"/>
          <w:color w:val="000000"/>
        </w:rPr>
        <w:t>Key resources table</w:t>
      </w:r>
    </w:p>
    <w:p>
      <w:pPr>
        <w:spacing w:before="200"/>
      </w:pPr>
      <w:r>
        <w:rPr>
          <w:b/>
        </w:rPr>
        <w:t>Table 6. Key resources table (STAR Methods).</w:t>
      </w:r>
      <w:r>
        <w:t xml:space="preserve"> Every dataset, package and script used to produce the reported numbers, with the version actually run. Accessions are given as deposited; the two UCI cohorts are re-downloaded by the released scripts rather than redistributed.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before="0"/>
            </w:pPr>
            <w:r/>
            <w:r>
              <w:rPr>
                <w:b/>
                <w:sz w:val="18"/>
              </w:rPr>
              <w:t>Category</w:t>
            </w:r>
          </w:p>
        </w:tc>
        <w:tc>
          <w:tcPr>
            <w:tcW w:type="dxa" w:w="2340"/>
          </w:tcPr>
          <w:p>
            <w:pPr>
              <w:spacing w:after="0" w:before="0"/>
            </w:pPr>
            <w:r/>
            <w:r>
              <w:rPr>
                <w:b/>
                <w:sz w:val="18"/>
              </w:rPr>
              <w:t>Resource</w:t>
            </w:r>
          </w:p>
        </w:tc>
        <w:tc>
          <w:tcPr>
            <w:tcW w:type="dxa" w:w="2340"/>
          </w:tcPr>
          <w:p>
            <w:pPr>
              <w:spacing w:after="0" w:before="0"/>
            </w:pPr>
            <w:r/>
            <w:r>
              <w:rPr>
                <w:b/>
                <w:sz w:val="18"/>
              </w:rPr>
              <w:t>Source</w:t>
            </w:r>
          </w:p>
        </w:tc>
        <w:tc>
          <w:tcPr>
            <w:tcW w:type="dxa" w:w="2340"/>
          </w:tcPr>
          <w:p>
            <w:pPr>
              <w:spacing w:after="0" w:before="0"/>
            </w:pPr>
            <w:r/>
            <w:r>
              <w:rPr>
                <w:b/>
                <w:sz w:val="18"/>
              </w:rPr>
              <w:t>Identifier</w:t>
            </w:r>
          </w:p>
        </w:tc>
      </w:tr>
      <w:tr>
        <w:tc>
          <w:tcPr>
            <w:tcW w:type="dxa" w:w="2340"/>
          </w:tcPr>
          <w:p>
            <w:pPr>
              <w:spacing w:after="0" w:before="0"/>
            </w:pPr>
            <w:r/>
            <w:r>
              <w:rPr>
                <w:sz w:val="18"/>
              </w:rPr>
              <w:t>Deposited data</w:t>
            </w:r>
          </w:p>
        </w:tc>
        <w:tc>
          <w:tcPr>
            <w:tcW w:type="dxa" w:w="2340"/>
          </w:tcPr>
          <w:p>
            <w:pPr>
              <w:spacing w:after="0" w:before="0"/>
            </w:pPr>
            <w:r/>
            <w:r>
              <w:rPr>
                <w:sz w:val="18"/>
              </w:rPr>
              <w:t>Head-and-neck Visium, HPV status (16 sections, 8 versus 8)</w:t>
            </w:r>
          </w:p>
        </w:tc>
        <w:tc>
          <w:tcPr>
            <w:tcW w:type="dxa" w:w="2340"/>
          </w:tcPr>
          <w:p>
            <w:pPr>
              <w:spacing w:after="0" w:before="0"/>
            </w:pPr>
            <w:r/>
            <w:r>
              <w:rPr>
                <w:sz w:val="18"/>
              </w:rPr>
              <w:t>Gene Expression Omnibus</w:t>
            </w:r>
          </w:p>
        </w:tc>
        <w:tc>
          <w:tcPr>
            <w:tcW w:type="dxa" w:w="2340"/>
          </w:tcPr>
          <w:p>
            <w:pPr>
              <w:spacing w:after="0" w:before="0"/>
            </w:pPr>
            <w:r/>
            <w:r>
              <w:rPr>
                <w:sz w:val="18"/>
              </w:rPr>
              <w:t>GSE268014 (GSM8283897 to GSM8283913)</w:t>
            </w:r>
          </w:p>
        </w:tc>
      </w:tr>
      <w:tr>
        <w:tc>
          <w:tcPr>
            <w:tcW w:type="dxa" w:w="2340"/>
          </w:tcPr>
          <w:p>
            <w:pPr>
              <w:spacing w:after="0" w:before="0"/>
            </w:pPr>
            <w:r/>
            <w:r>
              <w:rPr>
                <w:sz w:val="18"/>
              </w:rPr>
              <w:t>Deposited data</w:t>
            </w:r>
          </w:p>
        </w:tc>
        <w:tc>
          <w:tcPr>
            <w:tcW w:type="dxa" w:w="2340"/>
          </w:tcPr>
          <w:p>
            <w:pPr>
              <w:spacing w:after="0" w:before="0"/>
            </w:pPr>
            <w:r/>
            <w:r>
              <w:rPr>
                <w:sz w:val="18"/>
              </w:rPr>
              <w:t>Prostate Visium, tumour versus benign (52 sections, 48 versus 4)</w:t>
            </w:r>
          </w:p>
        </w:tc>
        <w:tc>
          <w:tcPr>
            <w:tcW w:type="dxa" w:w="2340"/>
          </w:tcPr>
          <w:p>
            <w:pPr>
              <w:spacing w:after="0" w:before="0"/>
            </w:pPr>
            <w:r/>
            <w:r>
              <w:rPr>
                <w:sz w:val="18"/>
              </w:rPr>
              <w:t>Gene Expression Omnibus</w:t>
            </w:r>
          </w:p>
        </w:tc>
        <w:tc>
          <w:tcPr>
            <w:tcW w:type="dxa" w:w="2340"/>
          </w:tcPr>
          <w:p>
            <w:pPr>
              <w:spacing w:after="0" w:before="0"/>
            </w:pPr>
            <w:r/>
            <w:r>
              <w:rPr>
                <w:sz w:val="18"/>
              </w:rPr>
              <w:t>GSE278936</w:t>
            </w:r>
          </w:p>
        </w:tc>
      </w:tr>
      <w:tr>
        <w:tc>
          <w:tcPr>
            <w:tcW w:type="dxa" w:w="2340"/>
          </w:tcPr>
          <w:p>
            <w:pPr>
              <w:spacing w:after="0" w:before="0"/>
            </w:pPr>
            <w:r/>
            <w:r>
              <w:rPr>
                <w:sz w:val="18"/>
              </w:rPr>
              <w:t>Deposited data</w:t>
            </w:r>
          </w:p>
        </w:tc>
        <w:tc>
          <w:tcPr>
            <w:tcW w:type="dxa" w:w="2340"/>
          </w:tcPr>
          <w:p>
            <w:pPr>
              <w:spacing w:after="0" w:before="0"/>
            </w:pPr>
            <w:r/>
            <w:r>
              <w:rPr>
                <w:sz w:val="18"/>
              </w:rPr>
              <w:t>Cervical Visium, ordinal severity (35 sections, 34 donors)</w:t>
            </w:r>
          </w:p>
        </w:tc>
        <w:tc>
          <w:tcPr>
            <w:tcW w:type="dxa" w:w="2340"/>
          </w:tcPr>
          <w:p>
            <w:pPr>
              <w:spacing w:after="0" w:before="0"/>
            </w:pPr>
            <w:r/>
            <w:r>
              <w:rPr>
                <w:sz w:val="18"/>
              </w:rPr>
              <w:t>companion study [1]; 10x Genomics public data; GEO</w:t>
            </w:r>
          </w:p>
        </w:tc>
        <w:tc>
          <w:tcPr>
            <w:tcW w:type="dxa" w:w="2340"/>
          </w:tcPr>
          <w:p>
            <w:pPr>
              <w:spacing w:after="0" w:before="0"/>
            </w:pPr>
            <w:r/>
            <w:r>
              <w:rPr>
                <w:sz w:val="18"/>
              </w:rPr>
              <w:t>GSE217237</w:t>
            </w:r>
          </w:p>
        </w:tc>
      </w:tr>
      <w:tr>
        <w:tc>
          <w:tcPr>
            <w:tcW w:type="dxa" w:w="2340"/>
          </w:tcPr>
          <w:p>
            <w:pPr>
              <w:spacing w:after="0" w:before="0"/>
            </w:pPr>
            <w:r/>
            <w:r>
              <w:rPr>
                <w:sz w:val="18"/>
              </w:rPr>
              <w:t>Deposited data</w:t>
            </w:r>
          </w:p>
        </w:tc>
        <w:tc>
          <w:tcPr>
            <w:tcW w:type="dxa" w:w="2340"/>
          </w:tcPr>
          <w:p>
            <w:pPr>
              <w:spacing w:after="0" w:before="0"/>
            </w:pPr>
            <w:r/>
            <w:r>
              <w:rPr>
                <w:sz w:val="18"/>
              </w:rPr>
              <w:t>Cervical GeoMx DSP control, per-ROI pathology (186 ROIs, 7 cases)</w:t>
            </w:r>
          </w:p>
        </w:tc>
        <w:tc>
          <w:tcPr>
            <w:tcW w:type="dxa" w:w="2340"/>
          </w:tcPr>
          <w:p>
            <w:pPr>
              <w:spacing w:after="0" w:before="0"/>
            </w:pPr>
            <w:r/>
            <w:r>
              <w:rPr>
                <w:sz w:val="18"/>
              </w:rPr>
              <w:t>Gene Expression Omnibus</w:t>
            </w:r>
          </w:p>
        </w:tc>
        <w:tc>
          <w:tcPr>
            <w:tcW w:type="dxa" w:w="2340"/>
          </w:tcPr>
          <w:p>
            <w:pPr>
              <w:spacing w:after="0" w:before="0"/>
            </w:pPr>
            <w:r/>
            <w:r>
              <w:rPr>
                <w:sz w:val="18"/>
              </w:rPr>
              <w:t>GSE316098 [43]</w:t>
            </w:r>
          </w:p>
        </w:tc>
      </w:tr>
      <w:tr>
        <w:tc>
          <w:tcPr>
            <w:tcW w:type="dxa" w:w="2340"/>
          </w:tcPr>
          <w:p>
            <w:pPr>
              <w:spacing w:after="0" w:before="0"/>
            </w:pPr>
            <w:r/>
            <w:r>
              <w:rPr>
                <w:sz w:val="18"/>
              </w:rPr>
              <w:t>Deposited data</w:t>
            </w:r>
          </w:p>
        </w:tc>
        <w:tc>
          <w:tcPr>
            <w:tcW w:type="dxa" w:w="2340"/>
          </w:tcPr>
          <w:p>
            <w:pPr>
              <w:spacing w:after="0" w:before="0"/>
            </w:pPr>
            <w:r/>
            <w:r>
              <w:rPr>
                <w:sz w:val="18"/>
              </w:rPr>
              <w:t>UCI Human Activity Recognition (grouping variable: subject, G = 30)</w:t>
            </w:r>
          </w:p>
        </w:tc>
        <w:tc>
          <w:tcPr>
            <w:tcW w:type="dxa" w:w="2340"/>
          </w:tcPr>
          <w:p>
            <w:pPr>
              <w:spacing w:after="0" w:before="0"/>
            </w:pPr>
            <w:r/>
            <w:r>
              <w:rPr>
                <w:sz w:val="18"/>
              </w:rPr>
              <w:t>UCI Machine Learning Repository</w:t>
            </w:r>
          </w:p>
        </w:tc>
        <w:tc>
          <w:tcPr>
            <w:tcW w:type="dxa" w:w="2340"/>
          </w:tcPr>
          <w:p>
            <w:pPr>
              <w:spacing w:after="0" w:before="0"/>
            </w:pPr>
            <w:r/>
            <w:r>
              <w:rPr>
                <w:sz w:val="18"/>
              </w:rPr>
              <w:t>HAR [24,26]</w:t>
            </w:r>
          </w:p>
        </w:tc>
      </w:tr>
      <w:tr>
        <w:tc>
          <w:tcPr>
            <w:tcW w:type="dxa" w:w="2340"/>
          </w:tcPr>
          <w:p>
            <w:pPr>
              <w:spacing w:after="0" w:before="0"/>
            </w:pPr>
            <w:r/>
            <w:r>
              <w:rPr>
                <w:sz w:val="18"/>
              </w:rPr>
              <w:t>Deposited data</w:t>
            </w:r>
          </w:p>
        </w:tc>
        <w:tc>
          <w:tcPr>
            <w:tcW w:type="dxa" w:w="2340"/>
          </w:tcPr>
          <w:p>
            <w:pPr>
              <w:spacing w:after="0" w:before="0"/>
            </w:pPr>
            <w:r/>
            <w:r>
              <w:rPr>
                <w:sz w:val="18"/>
              </w:rPr>
              <w:t>UCI Gas Sensor Array Drift (grouping variable: batch, G = 10)</w:t>
            </w:r>
          </w:p>
        </w:tc>
        <w:tc>
          <w:tcPr>
            <w:tcW w:type="dxa" w:w="2340"/>
          </w:tcPr>
          <w:p>
            <w:pPr>
              <w:spacing w:after="0" w:before="0"/>
            </w:pPr>
            <w:r/>
            <w:r>
              <w:rPr>
                <w:sz w:val="18"/>
              </w:rPr>
              <w:t>UCI Machine Learning Repository</w:t>
            </w:r>
          </w:p>
        </w:tc>
        <w:tc>
          <w:tcPr>
            <w:tcW w:type="dxa" w:w="2340"/>
          </w:tcPr>
          <w:p>
            <w:pPr>
              <w:spacing w:after="0" w:before="0"/>
            </w:pPr>
            <w:r/>
            <w:r>
              <w:rPr>
                <w:sz w:val="18"/>
              </w:rPr>
              <w:t>Gas Sensor Array Drift [25,26]</w:t>
            </w:r>
          </w:p>
        </w:tc>
      </w:tr>
      <w:tr>
        <w:tc>
          <w:tcPr>
            <w:tcW w:type="dxa" w:w="2340"/>
          </w:tcPr>
          <w:p>
            <w:pPr>
              <w:spacing w:after="0" w:before="0"/>
            </w:pPr>
            <w:r/>
            <w:r>
              <w:rPr>
                <w:sz w:val="18"/>
              </w:rPr>
              <w:t>Deposited data</w:t>
            </w:r>
          </w:p>
        </w:tc>
        <w:tc>
          <w:tcPr>
            <w:tcW w:type="dxa" w:w="2340"/>
          </w:tcPr>
          <w:p>
            <w:pPr>
              <w:spacing w:after="0" w:before="0"/>
            </w:pPr>
            <w:r/>
            <w:r>
              <w:rPr>
                <w:sz w:val="18"/>
              </w:rPr>
              <w:t>Simulated cohorts (shared-program, identity-confounding, spurious, weak-signal arms)</w:t>
            </w:r>
          </w:p>
        </w:tc>
        <w:tc>
          <w:tcPr>
            <w:tcW w:type="dxa" w:w="2340"/>
          </w:tcPr>
          <w:p>
            <w:pPr>
              <w:spacing w:after="0" w:before="0"/>
            </w:pPr>
            <w:r/>
            <w:r>
              <w:rPr>
                <w:sz w:val="18"/>
              </w:rPr>
              <w:t>this paper; released generator, fixed seeds</w:t>
            </w:r>
          </w:p>
        </w:tc>
        <w:tc>
          <w:tcPr>
            <w:tcW w:type="dxa" w:w="2340"/>
          </w:tcPr>
          <w:p>
            <w:pPr>
              <w:spacing w:after="0" w:before="0"/>
            </w:pPr>
            <w:r/>
            <w:r>
              <w:rPr>
                <w:sz w:val="18"/>
              </w:rPr>
              <w:t>simulator in the tagged release</w:t>
            </w:r>
          </w:p>
        </w:tc>
      </w:tr>
      <w:tr>
        <w:tc>
          <w:tcPr>
            <w:tcW w:type="dxa" w:w="2340"/>
          </w:tcPr>
          <w:p>
            <w:pPr>
              <w:spacing w:after="0" w:before="0"/>
            </w:pPr>
            <w:r/>
            <w:r>
              <w:rPr>
                <w:sz w:val="18"/>
              </w:rPr>
              <w:t>Software</w:t>
            </w:r>
          </w:p>
        </w:tc>
        <w:tc>
          <w:tcPr>
            <w:tcW w:type="dxa" w:w="2340"/>
          </w:tcPr>
          <w:p>
            <w:pPr>
              <w:spacing w:after="0" w:before="0"/>
            </w:pPr>
            <w:r/>
            <w:r>
              <w:rPr>
                <w:sz w:val="18"/>
              </w:rPr>
              <w:t>Code repository: simulation, training, audit and figure scripts, configuration manifests and seeds</w:t>
            </w:r>
          </w:p>
        </w:tc>
        <w:tc>
          <w:tcPr>
            <w:tcW w:type="dxa" w:w="2340"/>
          </w:tcPr>
          <w:p>
            <w:pPr>
              <w:spacing w:after="0" w:before="0"/>
            </w:pPr>
            <w:r/>
            <w:r>
              <w:rPr>
                <w:sz w:val="18"/>
              </w:rPr>
              <w:t>this paper</w:t>
            </w:r>
          </w:p>
        </w:tc>
        <w:tc>
          <w:tcPr>
            <w:tcW w:type="dxa" w:w="2340"/>
          </w:tcPr>
          <w:p>
            <w:pPr>
              <w:spacing w:after="0" w:before="0"/>
            </w:pPr>
            <w:r/>
            <w:r>
              <w:rPr>
                <w:sz w:val="18"/>
              </w:rPr>
              <w:t>https://github.com/WorldBMW/cervix-st-multimodal (tag v1.0.0); Zenodo archive of the same state, DOI reported in the version of record</w:t>
            </w:r>
          </w:p>
        </w:tc>
      </w:tr>
      <w:tr>
        <w:tc>
          <w:tcPr>
            <w:tcW w:type="dxa" w:w="2340"/>
          </w:tcPr>
          <w:p>
            <w:pPr>
              <w:spacing w:after="0" w:before="0"/>
            </w:pPr>
            <w:r/>
            <w:r>
              <w:rPr>
                <w:sz w:val="18"/>
              </w:rPr>
              <w:t>Software</w:t>
            </w:r>
          </w:p>
        </w:tc>
        <w:tc>
          <w:tcPr>
            <w:tcW w:type="dxa" w:w="2340"/>
          </w:tcPr>
          <w:p>
            <w:pPr>
              <w:spacing w:after="0" w:before="0"/>
            </w:pPr>
            <w:r/>
            <w:r>
              <w:rPr>
                <w:sz w:val="18"/>
              </w:rPr>
              <w:t>Python</w:t>
            </w:r>
          </w:p>
        </w:tc>
        <w:tc>
          <w:tcPr>
            <w:tcW w:type="dxa" w:w="2340"/>
          </w:tcPr>
          <w:p>
            <w:pPr>
              <w:spacing w:after="0" w:before="0"/>
            </w:pPr>
            <w:r/>
            <w:r>
              <w:rPr>
                <w:sz w:val="18"/>
              </w:rPr>
              <w:t>Python Software Foundation</w:t>
            </w:r>
          </w:p>
        </w:tc>
        <w:tc>
          <w:tcPr>
            <w:tcW w:type="dxa" w:w="2340"/>
          </w:tcPr>
          <w:p>
            <w:pPr>
              <w:spacing w:after="0" w:before="0"/>
            </w:pPr>
            <w:r/>
            <w:r>
              <w:rPr>
                <w:sz w:val="18"/>
              </w:rPr>
              <w:t>3.13.5</w:t>
            </w:r>
          </w:p>
        </w:tc>
      </w:tr>
      <w:tr>
        <w:tc>
          <w:tcPr>
            <w:tcW w:type="dxa" w:w="2340"/>
          </w:tcPr>
          <w:p>
            <w:pPr>
              <w:spacing w:after="0" w:before="0"/>
            </w:pPr>
            <w:r/>
            <w:r>
              <w:rPr>
                <w:sz w:val="18"/>
              </w:rPr>
              <w:t>Software</w:t>
            </w:r>
          </w:p>
        </w:tc>
        <w:tc>
          <w:tcPr>
            <w:tcW w:type="dxa" w:w="2340"/>
          </w:tcPr>
          <w:p>
            <w:pPr>
              <w:spacing w:after="0" w:before="0"/>
            </w:pPr>
            <w:r/>
            <w:r>
              <w:rPr>
                <w:sz w:val="18"/>
              </w:rPr>
              <w:t>numpy</w:t>
            </w:r>
          </w:p>
        </w:tc>
        <w:tc>
          <w:tcPr>
            <w:tcW w:type="dxa" w:w="2340"/>
          </w:tcPr>
          <w:p>
            <w:pPr>
              <w:spacing w:after="0" w:before="0"/>
            </w:pPr>
            <w:r/>
            <w:r>
              <w:rPr>
                <w:sz w:val="18"/>
              </w:rPr>
              <w:t>Harris et al.</w:t>
            </w:r>
          </w:p>
        </w:tc>
        <w:tc>
          <w:tcPr>
            <w:tcW w:type="dxa" w:w="2340"/>
          </w:tcPr>
          <w:p>
            <w:pPr>
              <w:spacing w:after="0" w:before="0"/>
            </w:pPr>
            <w:r/>
            <w:r>
              <w:rPr>
                <w:sz w:val="18"/>
              </w:rPr>
              <w:t>2.4.4</w:t>
            </w:r>
          </w:p>
        </w:tc>
      </w:tr>
      <w:tr>
        <w:tc>
          <w:tcPr>
            <w:tcW w:type="dxa" w:w="2340"/>
          </w:tcPr>
          <w:p>
            <w:pPr>
              <w:spacing w:after="0" w:before="0"/>
            </w:pPr>
            <w:r/>
            <w:r>
              <w:rPr>
                <w:sz w:val="18"/>
              </w:rPr>
              <w:t>Software</w:t>
            </w:r>
          </w:p>
        </w:tc>
        <w:tc>
          <w:tcPr>
            <w:tcW w:type="dxa" w:w="2340"/>
          </w:tcPr>
          <w:p>
            <w:pPr>
              <w:spacing w:after="0" w:before="0"/>
            </w:pPr>
            <w:r/>
            <w:r>
              <w:rPr>
                <w:sz w:val="18"/>
              </w:rPr>
              <w:t>pandas</w:t>
            </w:r>
          </w:p>
        </w:tc>
        <w:tc>
          <w:tcPr>
            <w:tcW w:type="dxa" w:w="2340"/>
          </w:tcPr>
          <w:p>
            <w:pPr>
              <w:spacing w:after="0" w:before="0"/>
            </w:pPr>
            <w:r/>
            <w:r>
              <w:rPr>
                <w:sz w:val="18"/>
              </w:rPr>
              <w:t>pandas development team</w:t>
            </w:r>
          </w:p>
        </w:tc>
        <w:tc>
          <w:tcPr>
            <w:tcW w:type="dxa" w:w="2340"/>
          </w:tcPr>
          <w:p>
            <w:pPr>
              <w:spacing w:after="0" w:before="0"/>
            </w:pPr>
            <w:r/>
            <w:r>
              <w:rPr>
                <w:sz w:val="18"/>
              </w:rPr>
              <w:t>3.0.6</w:t>
            </w:r>
          </w:p>
        </w:tc>
      </w:tr>
      <w:tr>
        <w:tc>
          <w:tcPr>
            <w:tcW w:type="dxa" w:w="2340"/>
          </w:tcPr>
          <w:p>
            <w:pPr>
              <w:spacing w:after="0" w:before="0"/>
            </w:pPr>
            <w:r/>
            <w:r>
              <w:rPr>
                <w:sz w:val="18"/>
              </w:rPr>
              <w:t>Software</w:t>
            </w:r>
          </w:p>
        </w:tc>
        <w:tc>
          <w:tcPr>
            <w:tcW w:type="dxa" w:w="2340"/>
          </w:tcPr>
          <w:p>
            <w:pPr>
              <w:spacing w:after="0" w:before="0"/>
            </w:pPr>
            <w:r/>
            <w:r>
              <w:rPr>
                <w:sz w:val="18"/>
              </w:rPr>
              <w:t>scipy</w:t>
            </w:r>
          </w:p>
        </w:tc>
        <w:tc>
          <w:tcPr>
            <w:tcW w:type="dxa" w:w="2340"/>
          </w:tcPr>
          <w:p>
            <w:pPr>
              <w:spacing w:after="0" w:before="0"/>
            </w:pPr>
            <w:r/>
            <w:r>
              <w:rPr>
                <w:sz w:val="18"/>
              </w:rPr>
              <w:t>Virtanen et al.</w:t>
            </w:r>
          </w:p>
        </w:tc>
        <w:tc>
          <w:tcPr>
            <w:tcW w:type="dxa" w:w="2340"/>
          </w:tcPr>
          <w:p>
            <w:pPr>
              <w:spacing w:after="0" w:before="0"/>
            </w:pPr>
            <w:r/>
            <w:r>
              <w:rPr>
                <w:sz w:val="18"/>
              </w:rPr>
              <w:t>1.15.3</w:t>
            </w:r>
          </w:p>
        </w:tc>
      </w:tr>
      <w:tr>
        <w:tc>
          <w:tcPr>
            <w:tcW w:type="dxa" w:w="2340"/>
          </w:tcPr>
          <w:p>
            <w:pPr>
              <w:spacing w:after="0" w:before="0"/>
            </w:pPr>
            <w:r/>
            <w:r>
              <w:rPr>
                <w:sz w:val="18"/>
              </w:rPr>
              <w:t>Software</w:t>
            </w:r>
          </w:p>
        </w:tc>
        <w:tc>
          <w:tcPr>
            <w:tcW w:type="dxa" w:w="2340"/>
          </w:tcPr>
          <w:p>
            <w:pPr>
              <w:spacing w:after="0" w:before="0"/>
            </w:pPr>
            <w:r/>
            <w:r>
              <w:rPr>
                <w:sz w:val="18"/>
              </w:rPr>
              <w:t>scikit-learn (ridge probe, logistic probe, splits)</w:t>
            </w:r>
          </w:p>
        </w:tc>
        <w:tc>
          <w:tcPr>
            <w:tcW w:type="dxa" w:w="2340"/>
          </w:tcPr>
          <w:p>
            <w:pPr>
              <w:spacing w:after="0" w:before="0"/>
            </w:pPr>
            <w:r/>
            <w:r>
              <w:rPr>
                <w:sz w:val="18"/>
              </w:rPr>
              <w:t>Pedregosa et al.</w:t>
            </w:r>
          </w:p>
        </w:tc>
        <w:tc>
          <w:tcPr>
            <w:tcW w:type="dxa" w:w="2340"/>
          </w:tcPr>
          <w:p>
            <w:pPr>
              <w:spacing w:after="0" w:before="0"/>
            </w:pPr>
            <w:r/>
            <w:r>
              <w:rPr>
                <w:sz w:val="18"/>
              </w:rPr>
              <w:t>1.6.1</w:t>
            </w:r>
          </w:p>
        </w:tc>
      </w:tr>
      <w:tr>
        <w:tc>
          <w:tcPr>
            <w:tcW w:type="dxa" w:w="2340"/>
          </w:tcPr>
          <w:p>
            <w:pPr>
              <w:spacing w:after="0" w:before="0"/>
            </w:pPr>
            <w:r/>
            <w:r>
              <w:rPr>
                <w:sz w:val="18"/>
              </w:rPr>
              <w:t>Software</w:t>
            </w:r>
          </w:p>
        </w:tc>
        <w:tc>
          <w:tcPr>
            <w:tcW w:type="dxa" w:w="2340"/>
          </w:tcPr>
          <w:p>
            <w:pPr>
              <w:spacing w:after="0" w:before="0"/>
            </w:pPr>
            <w:r/>
            <w:r>
              <w:rPr>
                <w:sz w:val="18"/>
              </w:rPr>
              <w:t>PyTorch (GAT, GCN, MLP autoencoder, gradient reversal)</w:t>
            </w:r>
          </w:p>
        </w:tc>
        <w:tc>
          <w:tcPr>
            <w:tcW w:type="dxa" w:w="2340"/>
          </w:tcPr>
          <w:p>
            <w:pPr>
              <w:spacing w:after="0" w:before="0"/>
            </w:pPr>
            <w:r/>
            <w:r>
              <w:rPr>
                <w:sz w:val="18"/>
              </w:rPr>
              <w:t>Paszke et al.</w:t>
            </w:r>
          </w:p>
        </w:tc>
        <w:tc>
          <w:tcPr>
            <w:tcW w:type="dxa" w:w="2340"/>
          </w:tcPr>
          <w:p>
            <w:pPr>
              <w:spacing w:after="0" w:before="0"/>
            </w:pPr>
            <w:r/>
            <w:r>
              <w:rPr>
                <w:sz w:val="18"/>
              </w:rPr>
              <w:t>2.13</w:t>
            </w:r>
          </w:p>
        </w:tc>
      </w:tr>
      <w:tr>
        <w:tc>
          <w:tcPr>
            <w:tcW w:type="dxa" w:w="2340"/>
          </w:tcPr>
          <w:p>
            <w:pPr>
              <w:spacing w:after="0" w:before="0"/>
            </w:pPr>
            <w:r/>
            <w:r>
              <w:rPr>
                <w:sz w:val="18"/>
              </w:rPr>
              <w:t>Software</w:t>
            </w:r>
          </w:p>
        </w:tc>
        <w:tc>
          <w:tcPr>
            <w:tcW w:type="dxa" w:w="2340"/>
          </w:tcPr>
          <w:p>
            <w:pPr>
              <w:spacing w:after="0" w:before="0"/>
            </w:pPr>
            <w:r/>
            <w:r>
              <w:rPr>
                <w:sz w:val="18"/>
              </w:rPr>
              <w:t>matplotlib (all figures)</w:t>
            </w:r>
          </w:p>
        </w:tc>
        <w:tc>
          <w:tcPr>
            <w:tcW w:type="dxa" w:w="2340"/>
          </w:tcPr>
          <w:p>
            <w:pPr>
              <w:spacing w:after="0" w:before="0"/>
            </w:pPr>
            <w:r/>
            <w:r>
              <w:rPr>
                <w:sz w:val="18"/>
              </w:rPr>
              <w:t>Hunter</w:t>
            </w:r>
          </w:p>
        </w:tc>
        <w:tc>
          <w:tcPr>
            <w:tcW w:type="dxa" w:w="2340"/>
          </w:tcPr>
          <w:p>
            <w:pPr>
              <w:spacing w:after="0" w:before="0"/>
            </w:pPr>
            <w:r/>
            <w:r>
              <w:rPr>
                <w:sz w:val="18"/>
              </w:rPr>
              <w:t>as pinned in requirements-patterns.txt</w:t>
            </w:r>
          </w:p>
        </w:tc>
      </w:tr>
      <w:tr>
        <w:tc>
          <w:tcPr>
            <w:tcW w:type="dxa" w:w="2340"/>
          </w:tcPr>
          <w:p>
            <w:pPr>
              <w:spacing w:after="0" w:before="0"/>
            </w:pPr>
            <w:r/>
            <w:r>
              <w:rPr>
                <w:sz w:val="18"/>
              </w:rPr>
              <w:t>Software</w:t>
            </w:r>
          </w:p>
        </w:tc>
        <w:tc>
          <w:tcPr>
            <w:tcW w:type="dxa" w:w="2340"/>
          </w:tcPr>
          <w:p>
            <w:pPr>
              <w:spacing w:after="0" w:before="0"/>
            </w:pPr>
            <w:r/>
            <w:r>
              <w:rPr>
                <w:sz w:val="18"/>
              </w:rPr>
              <w:t>Audit engine (τ_in, τ_LOO, τ_LGO, σ̂, LDI, R)</w:t>
            </w:r>
          </w:p>
        </w:tc>
        <w:tc>
          <w:tcPr>
            <w:tcW w:type="dxa" w:w="2340"/>
          </w:tcPr>
          <w:p>
            <w:pPr>
              <w:spacing w:after="0" w:before="0"/>
            </w:pPr>
            <w:r/>
            <w:r>
              <w:rPr>
                <w:sz w:val="18"/>
              </w:rPr>
              <w:t>this paper</w:t>
            </w:r>
          </w:p>
        </w:tc>
        <w:tc>
          <w:tcPr>
            <w:tcW w:type="dxa" w:w="2340"/>
          </w:tcPr>
          <w:p>
            <w:pPr>
              <w:spacing w:after="0" w:before="0"/>
            </w:pPr>
            <w:r/>
            <w:r>
              <w:rPr>
                <w:sz w:val="18"/>
              </w:rPr>
              <w:t>scripts/refit_grid_audit.py</w:t>
            </w:r>
          </w:p>
        </w:tc>
      </w:tr>
      <w:tr>
        <w:tc>
          <w:tcPr>
            <w:tcW w:type="dxa" w:w="2340"/>
          </w:tcPr>
          <w:p>
            <w:pPr>
              <w:spacing w:after="0" w:before="0"/>
            </w:pPr>
            <w:r/>
            <w:r>
              <w:rPr>
                <w:sz w:val="18"/>
              </w:rPr>
              <w:t>Software</w:t>
            </w:r>
          </w:p>
        </w:tc>
        <w:tc>
          <w:tcPr>
            <w:tcW w:type="dxa" w:w="2340"/>
          </w:tcPr>
          <w:p>
            <w:pPr>
              <w:spacing w:after="0" w:before="0"/>
            </w:pPr>
            <w:r/>
            <w:r>
              <w:rPr>
                <w:sz w:val="18"/>
              </w:rPr>
              <w:t>Cross-domain runner</w:t>
            </w:r>
          </w:p>
        </w:tc>
        <w:tc>
          <w:tcPr>
            <w:tcW w:type="dxa" w:w="2340"/>
          </w:tcPr>
          <w:p>
            <w:pPr>
              <w:spacing w:after="0" w:before="0"/>
            </w:pPr>
            <w:r/>
            <w:r>
              <w:rPr>
                <w:sz w:val="18"/>
              </w:rPr>
              <w:t>this paper</w:t>
            </w:r>
          </w:p>
        </w:tc>
        <w:tc>
          <w:tcPr>
            <w:tcW w:type="dxa" w:w="2340"/>
          </w:tcPr>
          <w:p>
            <w:pPr>
              <w:spacing w:after="0" w:before="0"/>
            </w:pPr>
            <w:r/>
            <w:r>
              <w:rPr>
                <w:sz w:val="18"/>
              </w:rPr>
              <w:t>scripts/exp_crossdomain_audit.py</w:t>
            </w:r>
          </w:p>
        </w:tc>
      </w:tr>
      <w:tr>
        <w:tc>
          <w:tcPr>
            <w:tcW w:type="dxa" w:w="2340"/>
          </w:tcPr>
          <w:p>
            <w:pPr>
              <w:spacing w:after="0" w:before="0"/>
            </w:pPr>
            <w:r/>
            <w:r>
              <w:rPr>
                <w:sz w:val="18"/>
              </w:rPr>
              <w:t>Software</w:t>
            </w:r>
          </w:p>
        </w:tc>
        <w:tc>
          <w:tcPr>
            <w:tcW w:type="dxa" w:w="2340"/>
          </w:tcPr>
          <w:p>
            <w:pPr>
              <w:spacing w:after="0" w:before="0"/>
            </w:pPr>
            <w:r/>
            <w:r>
              <w:rPr>
                <w:sz w:val="18"/>
              </w:rPr>
              <w:t>Unit-resolution ladder</w:t>
            </w:r>
          </w:p>
        </w:tc>
        <w:tc>
          <w:tcPr>
            <w:tcW w:type="dxa" w:w="2340"/>
          </w:tcPr>
          <w:p>
            <w:pPr>
              <w:spacing w:after="0" w:before="0"/>
            </w:pPr>
            <w:r/>
            <w:r>
              <w:rPr>
                <w:sz w:val="18"/>
              </w:rPr>
              <w:t>this paper</w:t>
            </w:r>
          </w:p>
        </w:tc>
        <w:tc>
          <w:tcPr>
            <w:tcW w:type="dxa" w:w="2340"/>
          </w:tcPr>
          <w:p>
            <w:pPr>
              <w:spacing w:after="0" w:before="0"/>
            </w:pPr>
            <w:r/>
            <w:r>
              <w:rPr>
                <w:sz w:val="18"/>
              </w:rPr>
              <w:t>scripts/exp_unit_ladder_cervical.py</w:t>
            </w:r>
          </w:p>
        </w:tc>
      </w:tr>
      <w:tr>
        <w:tc>
          <w:tcPr>
            <w:tcW w:type="dxa" w:w="2340"/>
          </w:tcPr>
          <w:p>
            <w:pPr>
              <w:spacing w:after="0" w:before="0"/>
            </w:pPr>
            <w:r/>
            <w:r>
              <w:rPr>
                <w:sz w:val="18"/>
              </w:rPr>
              <w:t>Software</w:t>
            </w:r>
          </w:p>
        </w:tc>
        <w:tc>
          <w:tcPr>
            <w:tcW w:type="dxa" w:w="2340"/>
          </w:tcPr>
          <w:p>
            <w:pPr>
              <w:spacing w:after="0" w:before="0"/>
            </w:pPr>
            <w:r/>
            <w:r>
              <w:rPr>
                <w:sz w:val="18"/>
              </w:rPr>
              <w:t>Within-group-label control</w:t>
            </w:r>
          </w:p>
        </w:tc>
        <w:tc>
          <w:tcPr>
            <w:tcW w:type="dxa" w:w="2340"/>
          </w:tcPr>
          <w:p>
            <w:pPr>
              <w:spacing w:after="0" w:before="0"/>
            </w:pPr>
            <w:r/>
            <w:r>
              <w:rPr>
                <w:sz w:val="18"/>
              </w:rPr>
              <w:t>this paper</w:t>
            </w:r>
          </w:p>
        </w:tc>
        <w:tc>
          <w:tcPr>
            <w:tcW w:type="dxa" w:w="2340"/>
          </w:tcPr>
          <w:p>
            <w:pPr>
              <w:spacing w:after="0" w:before="0"/>
            </w:pPr>
            <w:r/>
            <w:r>
              <w:rPr>
                <w:sz w:val="18"/>
              </w:rPr>
              <w:t>scripts/exp_within_group_label_geomx.py</w:t>
            </w:r>
          </w:p>
        </w:tc>
      </w:tr>
      <w:tr>
        <w:tc>
          <w:tcPr>
            <w:tcW w:type="dxa" w:w="2340"/>
          </w:tcPr>
          <w:p>
            <w:pPr>
              <w:spacing w:after="0" w:before="0"/>
            </w:pPr>
            <w:r/>
            <w:r>
              <w:rPr>
                <w:sz w:val="18"/>
              </w:rPr>
              <w:t>Software</w:t>
            </w:r>
          </w:p>
        </w:tc>
        <w:tc>
          <w:tcPr>
            <w:tcW w:type="dxa" w:w="2340"/>
          </w:tcPr>
          <w:p>
            <w:pPr>
              <w:spacing w:after="0" w:before="0"/>
            </w:pPr>
            <w:r/>
            <w:r>
              <w:rPr>
                <w:sz w:val="18"/>
              </w:rPr>
              <w:t>Domain-agnostic cohort simulator</w:t>
            </w:r>
          </w:p>
        </w:tc>
        <w:tc>
          <w:tcPr>
            <w:tcW w:type="dxa" w:w="2340"/>
          </w:tcPr>
          <w:p>
            <w:pPr>
              <w:spacing w:after="0" w:before="0"/>
            </w:pPr>
            <w:r/>
            <w:r>
              <w:rPr>
                <w:sz w:val="18"/>
              </w:rPr>
              <w:t>this paper</w:t>
            </w:r>
          </w:p>
        </w:tc>
        <w:tc>
          <w:tcPr>
            <w:tcW w:type="dxa" w:w="2340"/>
          </w:tcPr>
          <w:p>
            <w:pPr>
              <w:spacing w:after="0" w:before="0"/>
            </w:pPr>
            <w:r/>
            <w:r>
              <w:rPr>
                <w:sz w:val="18"/>
              </w:rPr>
              <w:t>released with the tagged release</w:t>
            </w:r>
          </w:p>
        </w:tc>
      </w:tr>
      <w:tr>
        <w:tc>
          <w:tcPr>
            <w:tcW w:type="dxa" w:w="2340"/>
          </w:tcPr>
          <w:p>
            <w:pPr>
              <w:spacing w:after="0" w:before="0"/>
            </w:pPr>
            <w:r/>
            <w:r>
              <w:rPr>
                <w:sz w:val="18"/>
              </w:rPr>
              <w:t>Software</w:t>
            </w:r>
          </w:p>
        </w:tc>
        <w:tc>
          <w:tcPr>
            <w:tcW w:type="dxa" w:w="2340"/>
          </w:tcPr>
          <w:p>
            <w:pPr>
              <w:spacing w:after="0" w:before="0"/>
            </w:pPr>
            <w:r/>
            <w:r>
              <w:rPr>
                <w:sz w:val="18"/>
              </w:rPr>
              <w:t>Manifest-to-result pipeline (one JSON manifest per run)</w:t>
            </w:r>
          </w:p>
        </w:tc>
        <w:tc>
          <w:tcPr>
            <w:tcW w:type="dxa" w:w="2340"/>
          </w:tcPr>
          <w:p>
            <w:pPr>
              <w:spacing w:after="0" w:before="0"/>
            </w:pPr>
            <w:r/>
            <w:r>
              <w:rPr>
                <w:sz w:val="18"/>
              </w:rPr>
              <w:t>this paper</w:t>
            </w:r>
          </w:p>
        </w:tc>
        <w:tc>
          <w:tcPr>
            <w:tcW w:type="dxa" w:w="2340"/>
          </w:tcPr>
          <w:p>
            <w:pPr>
              <w:spacing w:after="0" w:before="0"/>
            </w:pPr>
            <w:r/>
            <w:r>
              <w:rPr>
                <w:sz w:val="18"/>
              </w:rPr>
              <w:t>released with the tagged release</w:t>
            </w:r>
          </w:p>
        </w:tc>
      </w:tr>
      <w:tr>
        <w:tc>
          <w:tcPr>
            <w:tcW w:type="dxa" w:w="2340"/>
          </w:tcPr>
          <w:p>
            <w:pPr>
              <w:spacing w:after="0" w:before="0"/>
            </w:pPr>
            <w:r/>
            <w:r>
              <w:rPr>
                <w:sz w:val="18"/>
              </w:rPr>
              <w:t>Software</w:t>
            </w:r>
          </w:p>
        </w:tc>
        <w:tc>
          <w:tcPr>
            <w:tcW w:type="dxa" w:w="2340"/>
          </w:tcPr>
          <w:p>
            <w:pPr>
              <w:spacing w:after="0" w:before="0"/>
            </w:pPr>
            <w:r/>
            <w:r>
              <w:rPr>
                <w:sz w:val="18"/>
              </w:rPr>
              <w:t>Figure and table build scripts</w:t>
            </w:r>
          </w:p>
        </w:tc>
        <w:tc>
          <w:tcPr>
            <w:tcW w:type="dxa" w:w="2340"/>
          </w:tcPr>
          <w:p>
            <w:pPr>
              <w:spacing w:after="0" w:before="0"/>
            </w:pPr>
            <w:r/>
            <w:r>
              <w:rPr>
                <w:sz w:val="18"/>
              </w:rPr>
              <w:t>this paper</w:t>
            </w:r>
          </w:p>
        </w:tc>
        <w:tc>
          <w:tcPr>
            <w:tcW w:type="dxa" w:w="2340"/>
          </w:tcPr>
          <w:p>
            <w:pPr>
              <w:spacing w:after="0" w:before="0"/>
            </w:pPr>
            <w:r/>
            <w:r>
              <w:rPr>
                <w:sz w:val="18"/>
              </w:rPr>
              <w:t>scripts/make_figures_patterns.py and companions</w:t>
            </w:r>
          </w:p>
        </w:tc>
      </w:tr>
      <w:tr>
        <w:tc>
          <w:tcPr>
            <w:tcW w:type="dxa" w:w="2340"/>
          </w:tcPr>
          <w:p>
            <w:pPr>
              <w:spacing w:after="0" w:before="0"/>
            </w:pPr>
            <w:r/>
            <w:r>
              <w:rPr>
                <w:sz w:val="18"/>
              </w:rPr>
              <w:t>Other</w:t>
            </w:r>
          </w:p>
        </w:tc>
        <w:tc>
          <w:tcPr>
            <w:tcW w:type="dxa" w:w="2340"/>
          </w:tcPr>
          <w:p>
            <w:pPr>
              <w:spacing w:after="0" w:before="0"/>
            </w:pPr>
            <w:r/>
            <w:r>
              <w:rPr>
                <w:sz w:val="18"/>
              </w:rPr>
              <w:t>Compute</w:t>
            </w:r>
          </w:p>
        </w:tc>
        <w:tc>
          <w:tcPr>
            <w:tcW w:type="dxa" w:w="2340"/>
          </w:tcPr>
          <w:p>
            <w:pPr>
              <w:spacing w:after="0" w:before="0"/>
            </w:pPr>
            <w:r/>
            <w:r>
              <w:rPr>
                <w:sz w:val="18"/>
              </w:rPr>
              <w:t>AutoDL cloud instance</w:t>
            </w:r>
          </w:p>
        </w:tc>
        <w:tc>
          <w:tcPr>
            <w:tcW w:type="dxa" w:w="2340"/>
          </w:tcPr>
          <w:p>
            <w:pPr>
              <w:spacing w:after="0" w:before="0"/>
            </w:pPr>
            <w:r/>
            <w:r>
              <w:rPr>
                <w:sz w:val="18"/>
              </w:rPr>
              <w:t>single NVIDIA GeForce RTX 4080 SUPER, 32 GB</w:t>
            </w:r>
          </w:p>
        </w:tc>
      </w:tr>
    </w:tbl>
    <w:p/>
    <w:p>
      <w:pPr>
        <w:pStyle w:val="Heading2"/>
      </w:pPr>
      <w:r>
        <w:rPr>
          <w:rFonts w:ascii="Times New Roman" w:hAnsi="Times New Roman"/>
          <w:color w:val="000000"/>
        </w:rPr>
        <w:t>Notation, probes, and the instrument</w:t>
      </w:r>
    </w:p>
    <w:p>
      <w:r>
        <w:t>For a cohort of m units (section-mean embeddings after training), y ∈ {0,1}^m the label vector, and X the embedding matrix: τ_in is the in-sample Kendall association between the ridge-probe score X·w and y, with w fit on all m units; τ_LOO is its leave-one-unit-out counterpart (probe fit on m−1, scored on the held-out unit); τ_LDO is the group-level variant in which all sibling units of a group leave jointly. The label-dependence index is LDI = (τ_LOO − τ_⊥)/σ̂, where σ̂ is the standard deviation of the permutation null of τ_LOO (refit inference: the probe is refit per permutation) at B = 2,000 permutations, seed 20261010, and τ_⊥ = 0.001 the null floor; the calibrated detection gate is LDI &lt; 1.645 (one-sided 5%). The analytic ceiling τ_max for binary labels with class sizes (n₀, n₁) is n₀n₁ / sqrt((n₀n₁ + T)(n₀n₁)), where T = C(n₀,2) + C(n₁,2); e.g. 0.707 for (50,40), 0.713 for (18,14), 0.7303 for (8,8). Permutation-depth sensitivity: recomputing the external-cohort nulls at B = 10,000 moved σ̂ by ≤ 4.4% and changed the gate decision in 0 of 15 external-cohort runs, all doses included (Table S4).</w:t>
      </w:r>
    </w:p>
    <w:p>
      <w:pPr>
        <w:pStyle w:val="Heading2"/>
      </w:pPr>
      <w:r>
        <w:rPr>
          <w:rFonts w:ascii="Times New Roman" w:hAnsi="Times New Roman"/>
          <w:color w:val="000000"/>
        </w:rPr>
        <w:t>Relation of LDI to existing calibration procedures</w:t>
      </w:r>
    </w:p>
    <w:p>
      <w:r>
        <w:t xml:space="preserve">LDI is not offered as a new test. It is a reporting unit: a calibrated cross-validated rank statistic expressed in null-scale units, chosen because three things the protocol needs are awkward in p-value units (comparability across cohorts of different size, a threshold computable before any repair, and an acceptance record a third party can re-derive from a manifest). What follows states which parts of it are standard and which carry the claim. The </w:t>
      </w:r>
      <w:r>
        <w:rPr>
          <w:i/>
        </w:rPr>
        <w:t>calibration machinery</w:t>
      </w:r>
      <w:r>
        <w:t xml:space="preserve"> is standard: LDI is the standardized excess of a statistic over its own permutation null, and because LDI is a strictly increasing affine function of τ, it orders samples identically to the usual permutation p-value p = (1 + #{b : τ*_b ≥ τ_obs})/(1 + B), the two being related by LDI ≈ Φ⁻¹(1 − p) up to Monte-Carlo error at B = 2,000. We report the index rather than the p-value for three reasons: p saturates at 1/(1 + B) ≈ 5 × 10⁻⁴ and is therefore not comparable across cohorts of different size; LDI is expressed in null-scale units, which is exactly the quantity Proposition 1 thresholds; and a null scale, unlike a p-value, can be estimated once at baseline and reused, which is what makes the feasibility ratio pre-computable.</w:t>
      </w:r>
    </w:p>
    <w:p>
      <w:r>
        <w:t xml:space="preserve">What is </w:t>
      </w:r>
      <w:r>
        <w:rPr>
          <w:i/>
        </w:rPr>
        <w:t>not</w:t>
      </w:r>
      <w:r>
        <w:t xml:space="preserve"> standard is the object being calibrated, and three choices carry the contribution. First, the statistic is a group-level association (Kendall τ under leave-one-group-out) rather than a loss or an accuracy, so it measures dependence rather than error and has a known analytic ceiling for a given class split. Second, the null is a </w:t>
      </w:r>
      <w:r>
        <w:rPr>
          <w:i/>
        </w:rPr>
        <w:t>refit</w:t>
      </w:r>
      <w:r>
        <w:t xml:space="preserve"> null: the probe is refit inside every fold and again inside every permutation, because the quantity under test is produced by a fitting procedure; a null that permutes labels while reusing a fitted probe understates σ̂ and inflates significance.[39] Third, the index is paired with calibration on planted controls (75 positive-control runs, 45 identity-confounding runs), which is what licenses the non-blindness claim; a generic permutation test of association carries no such calibration and cannot separate "the leak is gone" from "the model is empty".</w:t>
      </w:r>
    </w:p>
    <w:p>
      <w:r>
        <w:t>Relative to group-aware cross-validation, standard practice is to report a held-out loss under group-disjoint splits. That practice targets the same failure but reports an uncalibrated quantity: a held-out loss has no null, so a small generalization gap cannot distinguish a model that has stopped using identity from one that has stopped working. The uncalibrated analogue of our numerator is the memorization gap τ_in − τ_LOO, which we also report; LDI is that statistic placed on its own null. We therefore claim no novelty for permutation calibration as such, and locate the contribution in the group-level, refit-calibrated target, its expression in null-scale units, and its combination with a pre-computable feasibility condition and planted-control calibration.</w:t>
      </w:r>
    </w:p>
    <w:p>
      <w:pPr>
        <w:pStyle w:val="Heading2"/>
      </w:pPr>
      <w:r>
        <w:rPr>
          <w:rFonts w:ascii="Times New Roman" w:hAnsi="Times New Roman"/>
          <w:color w:val="000000"/>
        </w:rPr>
        <w:t>Proposition 1 (precondition test for the dual gate)</w:t>
      </w:r>
    </w:p>
    <w:p>
      <w:r>
        <w:t>Stated here because it is used as a protocol element rather than reported as a result. Let LDI(τ) = (τ − τ_⊥)/σ̂ be the calibrated index, strictly increasing in τ, with gate value 1.645 and null floor τ_⊥ ≈ 0. The post-repair τ feasible set of the dual gate {LDI &lt; 1.645 ∧ τ ≥ c·τ_base} is non-empty if and only if c·τ_base &lt; τ_⊥ + 1.645·σ̂, i.e. τ_base/σ̂ &lt; 1.645/c + τ_⊥/(c·σ̂) ≈ 2.35 for c = 0.7.</w:t>
      </w:r>
    </w:p>
    <w:p>
      <w:r>
        <w:rPr>
          <w:i/>
        </w:rPr>
        <w:t>Proof.</w:t>
      </w:r>
      <w:r>
        <w:t xml:space="preserve"> Immediate from monotonicity: LDI &lt; 1.645 ⟺ τ &lt; τ_⊥ + 1.645σ̂; intersecting with [c·τ_base, τ_base] is non-empty iff c·τ_base &lt; τ_⊥ + 1.645σ̂. ∎</w:t>
      </w:r>
    </w:p>
    <w:p>
      <w:r>
        <w:rPr>
          <w:b/>
        </w:rPr>
        <w:t>How the conflict scales (Remark 1).</w:t>
      </w:r>
      <w:r>
        <w:t xml:space="preserve"> For any cohort with a fixed true baseline association τ_base &gt; 0, the dual gate is structurally empty once the cohort is large enough (σ̂ → 0 as the group count grows), because the gate then demands near-zero τ while preservation demands a large fraction of τ_base. The dual gate therefore conflates "leakage removed" with "signal removed" exactly when the signal is strongest.</w:t>
      </w:r>
    </w:p>
    <w:p>
      <w:r>
        <w:rPr>
          <w:b/>
        </w:rPr>
        <w:t>What the proposition is, and what c is (Remark 2).</w:t>
      </w:r>
      <w:r>
        <w:t xml:space="preserve"> It is an identifiability condition rather than a limit theorem or a new estimator: its proof is one line of monotonicity, and its role is to make a threshold quotable rather than to add to statistical theory. c is not a constant of nature but the fraction of the baseline association a deployer is willing to give up, so it is set by that deployer (threshold 1.645/c: c = 0.5 gives 3.29, c = 0.7 gives 2.35, c = 0.9 gives 1.83; Table S15). Because c is a normative choice, we do not ask the reader to adopt a value. Rearranged, the same condition defines a quantity that is free of it: the </w:t>
      </w:r>
      <w:r>
        <w:rPr>
          <w:b/>
        </w:rPr>
        <w:t>critical retention</w:t>
      </w:r>
      <w:r>
        <w:t xml:space="preserve"> c_crit = 1.645 σ̂/τ_base, the largest retention requirement under which a feasible dose can exist. The gate is non-empty for every c &lt; c_crit and empty for every c ≥ c_crit, so a cohort is characterised by c_crit (Table 1) rather than by a verdict taken at our c, and we display c = 0.7 only as a reading convention. The ordering of cohorts by feasibility is the same at every c; only the cut point moves. Realized retention τ_LDO/τ_base at leakage-passing cells is 0.46–0.73 on head and neck and 0.67–0.76 on prostate, which is what makes the region near c = 0.7 the informative one on these data: below 0.46 the gate would certify cells that have given up more than half the association, and above 0.76 it would certify none.</w:t>
      </w:r>
    </w:p>
    <w:p>
      <w:r>
        <w:rPr>
          <w:b/>
        </w:rPr>
        <w:t>Protocol.</w:t>
      </w:r>
      <w:r>
        <w:t xml:space="preserve"> Fit the unrepaired baseline once and read off c_crit = 1.645 σ̂/τ_base (equivalently, form τ_base/σ̂ and read it against 1.645/c). Where the deployer requires more retention than the cohort admits, adopt the three-axis protocol instead of searching for a dose. Report c_crit and let the deployer supply c; do not tune c to obtain a preferred verdict. Observed ratios: shared-program simulation 5.8; cervical ≈ 2.4; head and neck 2.18; prostate ≈ 2.0 (Table 1).</w:t>
      </w:r>
    </w:p>
    <w:p>
      <w:r>
        <w:rPr>
          <w:b/>
        </w:rPr>
        <w:t>Degenerate regime, to be read before any accept verdict is used.</w:t>
      </w:r>
      <w:r>
        <w:t xml:space="preserve"> The fidelity axis is relative (τ_LDO ≥ c · τ_base), so where τ_base is itself indistinguishable from the permutation null the gate is satisfied almost automatically, and an "accepted" verdict then carries no information: on the spurious simulation arm, where τ_base/σ̂ was 0.35 and 0.52 under the two backbones, 2 of 12 dosed cells passed the dual gate on each (Table S12). The proposition is not wrong there; it is a statement about the existence of a feasible operating point and not about whether that point is worth using, and the two come apart precisely at this end. The operational consequence is a rule rather than a caveat, and we recommend τ_LDO ≥ 1.645 σ̂ computed under leave-one-group-out as the default absolute floor: </w:t>
      </w:r>
      <w:r>
        <w:rPr>
          <w:i/>
        </w:rPr>
        <w:t>an accept verdict is interpretable only where the baseline association is detectably above the null scale</w:t>
      </w:r>
      <w:r>
        <w:t>, and the relative gate should be paired with an absolute floor (for example τ_LDO ≥ 1.645 σ̂ computed under leave-one-group-out, or a domain-specific minimum effect size). We did not implement such a floor, so every verdict reported in this paper is conditional on the relative gate alone (Protocol step 9), and the cells accepted on the spurious arm should be read as illustrations of the degeneracy rather than as evidence that repair helped.</w:t>
      </w:r>
    </w:p>
    <w:p>
      <w:pPr>
        <w:pStyle w:val="Heading2"/>
      </w:pPr>
      <w:r>
        <w:rPr>
          <w:rFonts w:ascii="Times New Roman" w:hAnsi="Times New Roman"/>
          <w:color w:val="000000"/>
        </w:rPr>
        <w:t>Repair operator</w:t>
      </w:r>
    </w:p>
    <w:p>
      <w:r>
        <w:t>Encoder: two-layer graph attention (GAT;[14] GCN variant[15] in Table S5; structure-free two-layer perceptron variant, no message passing, in Table S12) over the unit-level kNN graph (k = 6, both directions; section coordinates offset by 50,000 units per section to prevent cross-section edges); decoder: linear, reconstructing log1p library-normalized expression over the union panel (top-2,000-variance genes per sample, union across samples; 6,586 genes for the head-and-neck cohort). Loss: reconstruction + λ · CE(adversary(GRL(z)), group-ID), with GRL reversal strength α = 0 during the warm-up window (W epochs), then α = min(1, 2·(epoch − W)/(epochs_total − W)) · α_cap with α_cap = 1; adversary: 2-layer MLP. The base configuration sets W = 0; the stability variant adds W = 50, gradient clipping at 1.0, and spectral normalization of the adversary. Optimization: Adam, 300 epochs, full batch. Doses λ ∈ {0, 0.5, 1, 2, 5}; three training seeds per cell (matching the simulation seed). Hardware: single NVIDIA GeForce RTX 4080 SUPER GPU (32 GB) on a cloud instance (AutoDL), ~30 s per training run on the external cohort.</w:t>
      </w:r>
    </w:p>
    <w:p>
      <w:pPr>
        <w:pStyle w:val="Heading2"/>
      </w:pPr>
      <w:r>
        <w:rPr>
          <w:rFonts w:ascii="Times New Roman" w:hAnsi="Times New Roman"/>
          <w:color w:val="000000"/>
        </w:rPr>
        <w:t>Simulations</w:t>
      </w:r>
    </w:p>
    <w:p>
      <w:r>
        <w:t>Generator (released): units on a jittered hex grid (1,500 per section), sparse log-normal background expression with group-level batch fingerprint N(0, 0.6) per gene, per-group program response coefficients; shared-program arm with planted amplitude (0.5–2.5), identity-confounding arm with class-balanced fingerprints, weak-signal arm with heterogeneity. Phase grid: groups n ∈ {4, 8, 16, 32, 64} (5:4 class ratio), k ∈ {1, 2, 4, 8} units per group, signals {1.0, 0.3}, group-invariant parameters shared across a group's units; three seeds per cell (seeds 3–4 at boundary cells in Table S6). Cell statistics: mean R = τ_LOO/τ_in over seeds. Because the generator takes only structural inputs, the same grid can be re-derived for other domains by changing the nuisance-channel configuration.</w:t>
      </w:r>
    </w:p>
    <w:p>
      <w:pPr>
        <w:pStyle w:val="Heading2"/>
      </w:pPr>
      <w:r>
        <w:rPr>
          <w:rFonts w:ascii="Times New Roman" w:hAnsi="Times New Roman"/>
          <w:color w:val="000000"/>
        </w:rPr>
        <w:t>Cross-domain (non-biological) cohorts</w:t>
      </w:r>
    </w:p>
    <w:p>
      <w:r>
        <w:t xml:space="preserve">Two public non-biological group-structured datasets were audited with the identical instrument and the identical repair family, to test whether the framework's objects and its two decision boundaries behave as predicted outside the validation domain. </w:t>
      </w:r>
      <w:r>
        <w:rPr>
          <w:b/>
        </w:rPr>
        <w:t>UCI HAR</w:t>
      </w:r>
      <w:r>
        <w:t xml:space="preserve">[24] (wearable human-activity recognition): 10,299 accelerometer and gyroscope windows of 561 engineered features from 30 subjects performing six activities; grouping variable = subject (G = 30); label = activity, scored as an ordinal 0–5 because the instrument is a rank statistic. </w:t>
      </w:r>
      <w:r>
        <w:rPr>
          <w:b/>
        </w:rPr>
        <w:t>UCI Gas Sensor Array Drift</w:t>
      </w:r>
      <w:r>
        <w:t>[25] (chemical sensing): 13,910 measurements of 128 sensor features covering six gas species, collected in 10 measurement batches over different months; grouping variable = batch (G = 10); label = gas species, ordinal 0–5. Both are from the UCI Machine Learning Repository.[26]</w:t>
      </w:r>
    </w:p>
    <w:p>
      <w:r>
        <w:t xml:space="preserve">Audit units: 300 observations drawn by within-group proportional stratified sampling (seed 20261010), which preserves each cohort's </w:t>
      </w:r>
      <w:r>
        <w:rPr>
          <w:i/>
        </w:rPr>
        <w:t>natural</w:t>
      </w:r>
      <w:r>
        <w:t xml:space="preserve"> group × label joint distribution: a (group × label) cell-mean construction would artificially balance the label across groups and destroy the very coupling under study. Group–label coupling is reported as normalized mutual information κ on the full observation set. Encoder: multilayer-perceptron autoencoder (d → 256 → h → 256 → d, ReLU; h = 64 for HAR, 32 for gas drift) with a gradient-reversal adversary (h → 128 → G, cross-entropy): the same operator family as the validation domain, with the graph-attention encoder replaced by a multilayer perceptron because these data carry no spatial graph. That substitution is itself part of the test: Proposition 1 and both decision boundaries make no use of the encoder's internal structure, so the prediction must survive it. Doses λ ∈ {0, 0.5, 1, 2, 5}; three training seeds; 40 epochs; Adam, learning rate 10⁻³, batch 512. Group-identity probe: multinomial logistic regression on the embedding (C = 1), 50/50 stratified split at the observation level capped at 2,500 observations, accuracy compared against the 1/G chance rate. All instrument quantities (τ_in, τ_LOO, τ_LGO, σ̂ at B = 2,000 seed 20261010, LDI, R) are computed by the same code used for the transcriptomic cohorts.</w:t>
      </w:r>
    </w:p>
    <w:p>
      <w:pPr>
        <w:pStyle w:val="Heading2"/>
      </w:pPr>
      <w:r>
        <w:rPr>
          <w:rFonts w:ascii="Times New Roman" w:hAnsi="Times New Roman"/>
          <w:color w:val="000000"/>
        </w:rPr>
        <w:t>Configuration manifests and reproducibility</w:t>
      </w:r>
    </w:p>
    <w:p>
      <w:r>
        <w:t xml:space="preserve">Every run reported here, simulated or real, is produced by a script that reads one JSON configuration manifest and writes one JSON result file; no analysis step accepts an interactive argument that is not recorded in the manifest. A manifest records: </w:t>
      </w:r>
      <w:r>
        <w:rPr>
          <w:rFonts w:ascii="Consolas" w:hAnsi="Consolas"/>
        </w:rPr>
        <w:t>cohort</w:t>
      </w:r>
      <w:r>
        <w:t xml:space="preserve"> (source identifier, and for simulations the full generator parameters: planted amplitude, identity offset, and whether the planted direction is shared or spurious); </w:t>
      </w:r>
      <w:r>
        <w:rPr>
          <w:rFonts w:ascii="Consolas" w:hAnsi="Consolas"/>
        </w:rPr>
        <w:t>split</w:t>
      </w:r>
      <w:r>
        <w:t xml:space="preserve"> (grouping variable, split scheme, number of groups and units per group); </w:t>
      </w:r>
      <w:r>
        <w:rPr>
          <w:rFonts w:ascii="Consolas" w:hAnsi="Consolas"/>
        </w:rPr>
        <w:t>label</w:t>
      </w:r>
      <w:r>
        <w:t xml:space="preserve"> (target and class sizes); </w:t>
      </w:r>
      <w:r>
        <w:rPr>
          <w:rFonts w:ascii="Consolas" w:hAnsi="Consolas"/>
        </w:rPr>
        <w:t>encoder</w:t>
      </w:r>
      <w:r>
        <w:t xml:space="preserve"> (backbone, layer widths, neighbourhood size); </w:t>
      </w:r>
      <w:r>
        <w:rPr>
          <w:rFonts w:ascii="Consolas" w:hAnsi="Consolas"/>
        </w:rPr>
        <w:t>objective</w:t>
      </w:r>
      <w:r>
        <w:t xml:space="preserve"> (method, dose λ or its Group-DRO or IRM equivalent, gradient-reversal schedule, warm-up); </w:t>
      </w:r>
      <w:r>
        <w:rPr>
          <w:rFonts w:ascii="Consolas" w:hAnsi="Consolas"/>
        </w:rPr>
        <w:t>seed</w:t>
      </w:r>
      <w:r>
        <w:t xml:space="preserve"> (training seed, recorded separately from the permutation seed); </w:t>
      </w:r>
      <w:r>
        <w:rPr>
          <w:rFonts w:ascii="Consolas" w:hAnsi="Consolas"/>
        </w:rPr>
        <w:t>probe</w:t>
      </w:r>
      <w:r>
        <w:t xml:space="preserve"> (probe family and regularisation); </w:t>
      </w:r>
      <w:r>
        <w:rPr>
          <w:rFonts w:ascii="Consolas" w:hAnsi="Consolas"/>
        </w:rPr>
        <w:t>audit</w:t>
      </w:r>
      <w:r>
        <w:t xml:space="preserve"> (permutation count B for σ̂, permutation count for p, null floor τ_⊥, gate value, retained fraction c); and </w:t>
      </w:r>
      <w:r>
        <w:rPr>
          <w:rFonts w:ascii="Consolas" w:hAnsi="Consolas"/>
        </w:rPr>
        <w:t>outputs</w:t>
      </w:r>
      <w:r>
        <w:t xml:space="preserve"> (paths of the result file and of any derived figure data). Manifests are archived together with the results they produced, so every number in every table is traceable to one manifest and one result file. The archive also contains a checksum index mapping each table row and figure panel to the manifest and result file from which it was computed, which is the artefact a reader needs in order to re-derive any reported value without correspondence with the authors.</w:t>
      </w:r>
    </w:p>
    <w:p>
      <w:pPr>
        <w:pStyle w:val="Heading2"/>
      </w:pPr>
      <w:r>
        <w:rPr>
          <w:rFonts w:ascii="Times New Roman" w:hAnsi="Times New Roman"/>
          <w:color w:val="000000"/>
        </w:rPr>
        <w:t>Gene-direction readout (validation-domain check)</w:t>
      </w:r>
    </w:p>
    <w:p>
      <w:r>
        <w:t>On the four strict pairs available (λ = 2, seeds 0–2, and the λ = 5 maximal-dose seed; head-and-neck cohort, stability variant): ridge fit of the HPV direction d on section-mean embeddings (α = 1, standardized); gene loadings L = W·d through each run's own decoder W (strict pairing); enrichment computed in unique-symbol space (6,586-entry panel → 4,647 unique symbols, per-gene max |loading| across duplicate entries), by hypergeometric test against the 11-marker in-panel background, with a 2,000-draw permutation null on random 100-gene sets; all four strict pairs in Table S7. Gene names normalized (platform prefix stripped).</w:t>
      </w:r>
    </w:p>
    <w:p>
      <w:pPr>
        <w:pStyle w:val="Heading2"/>
      </w:pPr>
      <w:r>
        <w:rPr>
          <w:rFonts w:ascii="Times New Roman" w:hAnsi="Times New Roman"/>
          <w:color w:val="000000"/>
        </w:rPr>
        <w:t>Quantification and statistical analysis</w:t>
      </w:r>
    </w:p>
    <w:p>
      <w:r>
        <w:t xml:space="preserve">All reported gate decisions use the calibrated LDI with the seeds and permutation depths above; the transferable-fraction statistic is R = τ_LOO/τ_in within the same run (the group-transferable share of what the run fits in-sample). Two σ̂ perturbations are reported and are different quantities. </w:t>
      </w:r>
      <w:r>
        <w:rPr>
          <w:i/>
        </w:rPr>
        <w:t>Permutation depth:</w:t>
      </w:r>
      <w:r>
        <w:t xml:space="preserve"> gate decisions on the external cohorts were rechecked at B = 10,000 with no flips (Table S4); all other gate decisions use B = 2,000, and under the largest σ̂ perturbation observed in that recheck (4.4% on σ̂; LDI rescales reciprocally, at most +4.6% in the worst direction) no reported decision changes: the closest-to-gate value outside the directly rechecked runs (identity-confounding maximum LDI = 1.55) would move to at most ≈ 1.62, still under the gate. </w:t>
      </w:r>
      <w:r>
        <w:rPr>
          <w:i/>
        </w:rPr>
        <w:t>Dose-grid drift:</w:t>
      </w:r>
      <w:r>
        <w:t xml:space="preserve"> σ̂ is re-estimated for every run, and across the dose grid of the two external cohorts it deviates from its baseline value by at most 7.6% (head and neck) and 9.5% (prostate); because LDI is inversely proportional to σ̂, replacing a run's own σ̂ by the baseline σ̂ would move its LDI by the same percentage. Recomputing all 30 external-cohort cells that way flips no gate decision, and the smallest distance from a recomputed LDI to the 1.645 gate is 0.05 (head and neck, λ = 2: 1.59 recomputed against 1.60 observed) and 0.10 (prostate, λ = 1: 1.54 recomputed against 1.44 observed) (Table S14). At every accepted cell the change in τ_LOO exceeds the change in σ̂, so no acceptance verdict is carried by the null scale rather than by the association. The drift statistic is defined so that it can be recomputed: max over cells of |σ̂(λ) − σ̂(0)| / σ̂(0), with σ̂(0) the mean baseline σ̂ of Table 1 (0.2717 on head and neck, 0.1406 on prostate). Downstream endpoints are reported with per-seed values and standard deviations; where the number of positive groups makes the AUROC standard error comparable to the observed differences (prostate, four benign donors, SE ≈ 0.11), we report the series descriptively and draw no inference.</w:t>
      </w:r>
    </w:p>
    <w:p>
      <w:r>
        <w:rPr>
          <w:b/>
        </w:rPr>
        <w:t>What each n counts.</w:t>
      </w:r>
      <w:r>
        <w:t xml:space="preserve"> The letter n denotes two different quantities in this paper and the two are never pooled. In the real cohorts n counts </w:t>
      </w:r>
      <w:r>
        <w:rPr>
          <w:i/>
        </w:rPr>
        <w:t>groups</w:t>
      </w:r>
      <w:r>
        <w:t xml:space="preserve">, that is independent donors, patients, or cases, not units: head and neck, n = 16 sections from 16 patients (8 HPV-positive, 8 HPV-negative); prostate, n = 52 sections from 52 patients (48 tumour, 4 benign); cervix, n = 35 sections from 34 donors; GeoMx control, 186 ROIs from n = 7 cases. Each of those cohorts contributes approximately one unit per group, which is the structural fact the sibling-unit trap turns on. In simulations n counts </w:t>
      </w:r>
      <w:r>
        <w:rPr>
          <w:i/>
        </w:rPr>
        <w:t>simulated groups</w:t>
      </w:r>
      <w:r>
        <w:t xml:space="preserve"> (4, 8, 16, 32, 64) at a stated number of units per group (1, 2, 4, 8); simulation n is a design parameter rather than a sample size, and no simulation n is combined with a cohort n in any reported statistic. In the two non-biological cohorts the group is a subject (HAR, G = 30) or a measurement batch (gas drift, G = 10) while the unit is an observation window or a single measurement, with 300 audited observations per cohort, so group counts and unit counts differ by two orders of magnitude and are reported separately (Table 5).</w:t>
      </w:r>
    </w:p>
    <w:p>
      <w:r>
        <w:rPr>
          <w:b/>
        </w:rPr>
        <w:t>Seeds.</w:t>
      </w:r>
      <w:r>
        <w:t xml:space="preserve"> Two seed families are fixed and recorded separately in every manifest. Training seeds index model initialisation: three per dose-by-cohort cell (0, 1, 2; seeds 3 and 4 added at boundary cells, Table S6). The permutation seed fixes the null: 20261010 throughout, chosen independently of the training seed so that no null is correlated with a particular fit.</w:t>
      </w:r>
    </w:p>
    <w:p>
      <w:r>
        <w:rPr>
          <w:b/>
        </w:rPr>
        <w:t>Permutation depth.</w:t>
      </w:r>
      <w:r>
        <w:t xml:space="preserve"> σ̂ is estimated at B = 2,000 refit permutations, and the null behind the reported p-value uses the same B. Depth sensitivity was measured by recomputing the external-cohort nulls at B = 10,000 (Table S4): σ̂ moved by at most 4.4% and no gate decision changed in 15 external-cohort runs.</w:t>
      </w:r>
    </w:p>
    <w:p>
      <w:r>
        <w:rPr>
          <w:b/>
        </w:rPr>
        <w:t>Definition of σ̂ and of the gate.</w:t>
      </w:r>
      <w:r>
        <w:t xml:space="preserve"> σ̂ is the standard deviation, across the B permutations, of the leave-one-group-out (equivalently leave-one-donor-out) Kendall τ recomputed with the probe refit inside every permutation. The gate value 1.645 is the one-sided 5% quantile of the standard normal distribution, applied to LDI = (τ_LGO − 0.001)/σ̂. The feasibility threshold 2.35 in Proposition 1 is 1.645/c at the reading convention c = 0.7 and is not a calibrated constant of nature (Table S15).</w:t>
      </w:r>
    </w:p>
    <w:p>
      <w:r>
        <w:rPr>
          <w:b/>
        </w:rPr>
        <w:t>Dispersion.</w:t>
      </w:r>
      <w:r>
        <w:t xml:space="preserve"> Every spread reported here is a standard deviation (SD) across training seeds, with the seed count stated at the point of report. We do not report standard errors of the mean, because at three seeds an SEM would understate exactly the spread we are trying to convey. Where a standard error is quoted (prostate AUROC, SE approximately 0.11 at four positive donors) it is quoted only to show that the observed difference is not resolvable at that n, and no inference is drawn from it.</w:t>
      </w:r>
    </w:p>
    <w:p>
      <w:r>
        <w:rPr>
          <w:b/>
        </w:rPr>
        <w:t>Multiplicity.</w:t>
      </w:r>
      <w:r>
        <w:t xml:space="preserve"> The dose grid (λ in {0, 0.5, 1, 2, 5}) is a descriptive operating-characteristics curve, not a family of hypothesis tests. We apply no multiplicity correction across doses and we report no dose optimum: where a cohort admits an accepted region we describe it as an operating-point interval carrying its measured seed spread (prostate: a single operating point).</w:t>
      </w:r>
    </w:p>
    <w:p>
      <w:r>
        <w:rPr>
          <w:b/>
        </w:rPr>
        <w:t>Software.</w:t>
      </w:r>
      <w:r>
        <w:t xml:space="preserve"> Python 3.13.5, numpy 2.4.4, pandas 3.0.6, scipy 1.15.3, scikit-learn 1.6.1, PyTorch 2.13, matplotlib for figures, python-docx for submission files; versions are pinned in requirements-patterns.txt in the tagged release.</w:t>
      </w:r>
    </w:p>
    <w:p>
      <w:pPr>
        <w:pStyle w:val="Heading1"/>
      </w:pPr>
      <w:r>
        <w:rPr>
          <w:rFonts w:ascii="Times New Roman" w:hAnsi="Times New Roman"/>
          <w:color w:val="000000"/>
        </w:rPr>
        <w:t>FIGURE AND TABLE LEGENDS</w:t>
      </w:r>
    </w:p>
    <w:p>
      <w:r>
        <w:rPr>
          <w:b/>
        </w:rPr>
        <w:t>Symbols common to the figures and tables.</w:t>
      </w:r>
      <w:r>
        <w:t xml:space="preserve"> τ is Kendall's rank correlation between predicted and observed</w:t>
      </w:r>
    </w:p>
    <w:p>
      <w:r>
        <w:t xml:space="preserve">label. Subscripts: </w:t>
      </w:r>
      <w:r>
        <w:rPr>
          <w:i/>
        </w:rPr>
        <w:t>in</w:t>
      </w:r>
      <w:r>
        <w:t xml:space="preserve">, the in-sample fit; </w:t>
      </w:r>
      <w:r>
        <w:rPr>
          <w:i/>
        </w:rPr>
        <w:t>LDO</w:t>
      </w:r>
      <w:r>
        <w:t xml:space="preserve">, leave-one-donor-out; </w:t>
      </w:r>
      <w:r>
        <w:rPr>
          <w:i/>
        </w:rPr>
        <w:t>LGO</w:t>
      </w:r>
      <w:r>
        <w:t>, leave-one-group-out, the</w:t>
      </w:r>
    </w:p>
    <w:p>
      <w:r>
        <w:t xml:space="preserve">domain-neutral form of LDO; </w:t>
      </w:r>
      <w:r>
        <w:rPr>
          <w:i/>
        </w:rPr>
        <w:t>LOO</w:t>
      </w:r>
      <w:r>
        <w:t xml:space="preserve">, leave-one-observation-out. </w:t>
      </w:r>
      <w:r>
        <w:rPr>
          <w:b/>
        </w:rPr>
        <w:t>LDI</w:t>
      </w:r>
      <w:r>
        <w:t>, the label-dependence index, is τ_LGO</w:t>
      </w:r>
    </w:p>
    <w:p>
      <w:r>
        <w:t>expressed in units of σ̂, the scale of the refit permutation null; the acceptance gate is LDI &lt; 1.645 (one-sided</w:t>
      </w:r>
    </w:p>
    <w:p>
      <w:r>
        <w:t xml:space="preserve">α = 0.05). </w:t>
      </w:r>
      <w:r>
        <w:rPr>
          <w:b/>
        </w:rPr>
        <w:t>R</w:t>
      </w:r>
      <w:r>
        <w:t xml:space="preserve"> = τ_LDO/τ_in is the fraction of a run's in-sample association that survives removal of the</w:t>
      </w:r>
    </w:p>
    <w:p>
      <w:r>
        <w:t xml:space="preserve">group. </w:t>
      </w:r>
      <w:r>
        <w:rPr>
          <w:b/>
        </w:rPr>
        <w:t>λ</w:t>
      </w:r>
      <w:r>
        <w:t xml:space="preserve"> is the adversarial dose, with λ = 0 the unrepaired baseline. </w:t>
      </w:r>
      <w:r>
        <w:rPr>
          <w:b/>
        </w:rPr>
        <w:t>κ</w:t>
      </w:r>
      <w:r>
        <w:t xml:space="preserve"> is the normalized mutual</w:t>
      </w:r>
    </w:p>
    <w:p>
      <w:r>
        <w:t xml:space="preserve">information between group membership and label. </w:t>
      </w:r>
      <w:r>
        <w:rPr>
          <w:b/>
        </w:rPr>
        <w:t>Identity lift</w:t>
      </w:r>
      <w:r>
        <w:t xml:space="preserve"> is a linear probe's group-identification</w:t>
      </w:r>
    </w:p>
    <w:p>
      <w:r>
        <w:t xml:space="preserve">accuracy divided by the 1/G chance rate. </w:t>
      </w:r>
      <w:r>
        <w:rPr>
          <w:b/>
        </w:rPr>
        <w:t>G</w:t>
      </w:r>
      <w:r>
        <w:t xml:space="preserve"> is the number of groups.</w:t>
      </w:r>
    </w:p>
    <w:p>
      <w:r>
        <w:rPr>
          <w:b/>
        </w:rPr>
        <w:t>What n counts, and what the bars are.</w:t>
      </w:r>
      <w:r>
        <w:t xml:space="preserve"> In the real-cohort figures n counts independent donors, patients or cases, never units; in the simulation figures n counts simulated groups and is a design parameter rather than a sample size; the two are never combined in a reported statistic, and the distinction is set out cohort by cohort under Experimental Procedures ("What each n counts"). Where a panel varies the dose, each faint marker is one training seed, the line joins the seed means, and every error bar, ± value and shaded band is the standard deviation across those seeds, except where a band is described as a range, in which case it spans the minimum to the maximum seed. No standard error of the mean is used as a dispersion measure in any figure or table; the single standard error quoted in the text (prostate AUROC) appears only to show that a difference is unresolved at that n.</w:t>
      </w:r>
    </w:p>
    <w:p>
      <w:r>
        <w:t>Every figure and table below is readable without reference to the main text.</w:t>
      </w:r>
    </w:p>
    <w:p>
      <w:pPr>
        <w:spacing w:before="200"/>
      </w:pPr>
      <w:r>
        <w:rPr>
          <w:b/>
        </w:rPr>
        <w:t>Figure 1. Identity leakage in group-structured data, and why repairing a trained model afterwards cannot work.</w:t>
      </w:r>
      <w:r>
        <w:t xml:space="preserve"> (A) The auditable loop: detect leakage with a calibrated statistic under leave-one-group-out;</w:t>
      </w:r>
    </w:p>
    <w:p>
      <w:r>
        <w:t>repair with a training-time group-adversarial operator; re-audit against three acceptance axes (safety of</w:t>
      </w:r>
    </w:p>
    <w:p>
      <w:r>
        <w:t>the shared signal, reduction of cross-group label dependence, non-blindness of the instrument). (B)</w:t>
      </w:r>
    </w:p>
    <w:p>
      <w:r>
        <w:t>Post-hoc projection of the group-mean subspace out of a trained representation, cervical cohort: at one</w:t>
      </w:r>
    </w:p>
    <w:p>
      <w:r>
        <w:t>removed direction the in-sample association is preserved while leave-one-out transfer is destroyed (mean</w:t>
      </w:r>
    </w:p>
    <w:p>
      <w:r>
        <w:t>τ_LOO 0.46 → −0.08); at two directions both collapse (τ_LOO → −0.44). (C) The same manipulation on a</w:t>
      </w:r>
    </w:p>
    <w:p>
      <w:r>
        <w:t>simulation with a planted shared program collapses outright at one direction (τ_LOO 0.71 → −0.71, τ_in → 0.02):</w:t>
      </w:r>
    </w:p>
    <w:p>
      <w:r>
        <w:t>after training, group identity and target signal occupy overlapping directions that no post-hoc linear</w:t>
      </w:r>
    </w:p>
    <w:p>
      <w:r>
        <w:t>filter can separate.</w:t>
      </w:r>
    </w:p>
    <w:p>
      <w:pPr>
        <w:spacing w:before="200"/>
      </w:pPr>
      <w:r>
        <w:rPr>
          <w:b/>
        </w:rPr>
        <w:t>Figure 2. Operating characteristics of the instrument, and the real-cohort dose–response.</w:t>
      </w:r>
      <w:r>
        <w:t xml:space="preserve"> (A) Safety:</w:t>
      </w:r>
    </w:p>
    <w:p>
      <w:r>
        <w:t>R = τ_LOO/τ_in at the analytic ceiling in 75 of 75 runs, across planted-program amplitudes, doses and seeds, each point one run</w:t>
      </w:r>
    </w:p>
    <w:p>
      <w:r>
        <w:t>(graph-attention encoder; graph-convolutional replication at the reference amplitude). (B) Non-blindness:</w:t>
      </w:r>
    </w:p>
    <w:p>
      <w:r>
        <w:t>on an identity-confounding control the LDI stays below the 1.645 gate in 45 of 45 runs (36 of 36 among dosed runs, no false alarms; each point is one run), while clearance of the planted in-sample fingerprint is only partial (≈ 12%). (C) External</w:t>
      </w:r>
    </w:p>
    <w:p>
      <w:r>
        <w:t>head-and-neck cohort: τ_LOO (solid) and LDI (dotted) against λ, three seeds, gate at 1.645, accepted operating</w:t>
      </w:r>
    </w:p>
    <w:p>
      <w:r>
        <w:t>points at λ ∈ {0.5, 1, 2}, analytic ceiling 0.730 marked, maximal-dose recovery point (R = 0.90) annotated.</w:t>
      </w:r>
    </w:p>
    <w:p>
      <w:r>
        <w:t>(D) Backbone replication: graph-convolutional results overlay the graph-attention stability variant (mean</w:t>
      </w:r>
    </w:p>
    <w:p>
      <w:r>
        <w:t>and range across seeds).</w:t>
      </w:r>
    </w:p>
    <w:p>
      <w:pPr>
        <w:spacing w:before="200"/>
      </w:pPr>
      <w:r>
        <w:rPr>
          <w:b/>
        </w:rPr>
        <w:t>Figure 3. The repairability phase map over group count, dose and signal strength.</w:t>
      </w:r>
      <w:r>
        <w:t xml:space="preserve"> (A) R as a function of</w:t>
      </w:r>
    </w:p>
    <w:p>
      <w:r>
        <w:t>group count n and dose λ, at planted signal amplitude 1.0 and 0.3 (three seeds per cell; n here counts simulated groups, not donors): detection is</w:t>
      </w:r>
    </w:p>
    <w:p>
      <w:r>
        <w:t>group-count-robust at λ = 0, whereas the repair-damage boundary lies between 16 and 32 groups at amplitude</w:t>
      </w:r>
    </w:p>
    <w:p>
      <w:r>
        <w:t>1.0 and between 32 and 64 at amplitude 0.3 (placements for this configuration, not transferable cut-offs; gas</w:t>
      </w:r>
    </w:p>
    <w:p>
      <w:r>
        <w:t>drift has G = 10 and still retains 0.89–0.93 of its group-level transfer under repair, Table 5). (B) Boundary placement with five-seed verification cells. (C)</w:t>
      </w:r>
    </w:p>
    <w:p>
      <w:r>
        <w:t>The sibling-unit trap: unit-level leave-one-out stays pinned at the ceiling while group-level τ_LDO collapses</w:t>
      </w:r>
    </w:p>
    <w:p>
      <w:r>
        <w:t>after repair (k ∈ {2, 4, 8} units per group), so acceptance must be measured at the group level.</w:t>
      </w:r>
    </w:p>
    <w:p>
      <w:pPr>
        <w:spacing w:before="200"/>
      </w:pPr>
      <w:r>
        <w:rPr>
          <w:b/>
        </w:rPr>
        <w:t>Figure 4. Validation-domain check: the structure that survives an audited repair matches the biology already known for the contrast.</w:t>
      </w:r>
      <w:r>
        <w:t xml:space="preserve"> Gene loadings of the surviving label direction in the validation domain</w:t>
      </w:r>
    </w:p>
    <w:p>
      <w:r>
        <w:t>(head-and-neck cohort, λ = 2, seed 0; decoder and embedding taken from the same run). Genes are ranked by</w:t>
      </w:r>
    </w:p>
    <w:p>
      <w:r>
        <w:t>absolute loading; enrichment of a curated reference marker set is computed over the top 100. In-panel</w:t>
      </w:r>
    </w:p>
    <w:p>
      <w:r>
        <w:t>HPV-positive reference markers and keratinization-family genes are highlighted, with hypergeometric and</w:t>
      </w:r>
    </w:p>
    <w:p>
      <w:r>
        <w:t>permutation-null statistics; the highest-loading stromal and plasma-cell genes are labelled. Reported as a</w:t>
      </w:r>
    </w:p>
    <w:p>
      <w:r>
        <w:t>check on the acceptance protocol, not as a biological finding.</w:t>
      </w:r>
    </w:p>
    <w:p>
      <w:pPr>
        <w:spacing w:before="200"/>
      </w:pPr>
      <w:r>
        <w:rPr>
          <w:b/>
        </w:rPr>
        <w:t>Figure 5. Test of the theory's predictions in two non-biological domains.</w:t>
      </w:r>
      <w:r>
        <w:t xml:space="preserve"> UCI HAR (wearable activity</w:t>
      </w:r>
    </w:p>
    <w:p>
      <w:r>
        <w:t>recognition; grouping variable = subject, G = 30) and UCI Gas Sensor Array Drift (chemical sensing;</w:t>
      </w:r>
    </w:p>
    <w:p>
      <w:r>
        <w:t>grouping variable = measurement batch, G = 10); three training seeds per dose and per domain, each drawn as a faint marker, with the line at the seed mean and the error bars at the standard deviation across those three seeds. (A) The LDI never approaches the 1.645 gate in either domain, as Proposition 1 predicts from the</w:t>
      </w:r>
    </w:p>
    <w:p>
      <w:r>
        <w:t>pre-repair ratio τ_base/σ̂ (13.8 and 11.0 against a threshold of ≈ 2.35). (B) Unit-level τ_LOO and group-level</w:t>
      </w:r>
    </w:p>
    <w:p>
      <w:r>
        <w:t>τ_LGO track each other within 0.01 in HAR (κ = 0.0025) but are separated by ≈ 0.05 in gas drift (κ = 0.0511).</w:t>
      </w:r>
    </w:p>
    <w:p>
      <w:r>
        <w:t>(C) Identity lift falls in both domains as the dose rises, with a multilayer-perceptron encoder. (D) The</w:t>
      </w:r>
    </w:p>
    <w:p>
      <w:r>
        <w:t>sibling-unit inflation τ_LOO − τ_LGO, the quantity decision boundary I keys on, separates the two domains at</w:t>
      </w:r>
    </w:p>
    <w:p>
      <w:r>
        <w:t>every dose and shrinks under repair in gas drift. These panels test predictions: neither cohort has a</w:t>
      </w:r>
    </w:p>
    <w:p>
      <w:r>
        <w:t>downstream endpoint, a planted control, or a domain readout.</w:t>
      </w:r>
    </w:p>
    <w:p>
      <w:pPr>
        <w:spacing w:before="200"/>
      </w:pPr>
      <w:r>
        <w:rPr>
          <w:b/>
        </w:rPr>
        <w:t>Table 1. Proposition 1 predicts acceptance feasibility, and the prediction is made before any dose is chosen.</w:t>
      </w:r>
      <w:r>
        <w:t xml:space="preserve"> For each cohort: the pre-repair association τ_base, the permutation null scale σ̂, their ratio, and the critical retention c_crit = 1.645 σ̂/τ_base at which the gate closes (non-empty for every c &lt; c_crit, empty for every c ≥ c_crit; the equivalent threshold expressed as a ratio is 1.645/c, ≈ 2.35 at c = 0.7), whether the remove-and-</w:t>
      </w:r>
    </w:p>
    <w:p>
      <w:r>
        <w:t xml:space="preserve">preserve dual gate has a non-empty feasible set, and what was actually observed. Every entry in the τ_base and σ̂ columns is estimated at λ = 0, from the unrepaired baseline model alone, before any dose is chosen; no repaired run contributes to any number in this table. σ̂ is the scale of the refit permutation null (B = 2,000 permutations, seed 20261010). Two different perturbations of σ̂ appear in this paper and should not be confused. (i) </w:t>
      </w:r>
      <w:r>
        <w:rPr>
          <w:i/>
        </w:rPr>
        <w:t>Dose-grid drift</w:t>
      </w:r>
      <w:r>
        <w:t xml:space="preserve">: the LDI values reported in Table 2 are computed per cell against that cell's own σ̂, because an audit has to grade the representation as it stands after dosing; across the dose grid σ̂ deviates from its baseline value by at most 7.6% (head and neck) and 9.5% (prostate), and because LDI is inversely proportional to σ̂, a drift of that size moves LDI by the same percentage. (ii) </w:t>
      </w:r>
      <w:r>
        <w:rPr>
          <w:i/>
        </w:rPr>
        <w:t>Permutation-depth sensitivity</w:t>
      </w:r>
      <w:r>
        <w:t>: recomputing the null at B = 10,000 instead of 2,000 moved σ̂ by ≤ 4.4% and flipped no gate decision (Table S4); the 4.4% is an upper bound on the second quantity only and is not the grid drift of (i). Neither perturbation changes a verdict we report. Substituting the baseline σ̂ for the per-run σ̂ in all 30 external-cohort cells flips no gate decision, the smallest distance from any recomputed LDI to the gate being 0.05 (head and neck) and 0.10 (prostate), and at every accepted cell the movement of τ_LOO exceeds the movement of σ̂, so no acceptance verdict is carried by the null scale (Table S14). "Accepted" is counted on two axes throughout: the leakage axis (LDI &lt; 1.645) and the fidelity axis (τ_LDO ≥ 0.7 · τ_base). Where a seed count is quoted without naming the axes, the count is the leakage axis alone; counts on both axes are given alongside it. Finally, LDI at λ = 0 and the ratio τ_base/σ̂ are different statistics that happen to agree numerically here: they differ by the null-floor term τ_⊥ ≈ 0.001, which is negligible against these τ values, so cervical reads 2.4 as an LDI and 2.4 as a ratio, and head and neck reads 2.18 either way (2.2 when rounded to two digits; we quote 2.18 throughout). The ratio governs whether a feasible dose exists; the LDI grades whether a given run is acceptable. The three GSE316098 rows are one cohort carrying three labels, not three cohorts: the prediction attaches to a label, and the cohort is listed three times to make that visible (Table S17).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before="0"/>
            </w:pPr>
            <w:r/>
            <w:r>
              <w:rPr>
                <w:b/>
                <w:sz w:val="18"/>
              </w:rPr>
              <w:t>Cohort</w:t>
            </w:r>
          </w:p>
        </w:tc>
        <w:tc>
          <w:tcPr>
            <w:tcW w:type="dxa" w:w="1170"/>
          </w:tcPr>
          <w:p>
            <w:pPr>
              <w:spacing w:after="0" w:before="0"/>
            </w:pPr>
            <w:r/>
            <w:r>
              <w:rPr>
                <w:b/>
                <w:sz w:val="18"/>
              </w:rPr>
              <w:t>Label type</w:t>
            </w:r>
          </w:p>
        </w:tc>
        <w:tc>
          <w:tcPr>
            <w:tcW w:type="dxa" w:w="1170"/>
          </w:tcPr>
          <w:p>
            <w:pPr>
              <w:spacing w:after="0" w:before="0"/>
            </w:pPr>
            <w:r/>
            <w:r>
              <w:rPr>
                <w:b/>
                <w:sz w:val="18"/>
              </w:rPr>
              <w:t>τ_base</w:t>
            </w:r>
          </w:p>
        </w:tc>
        <w:tc>
          <w:tcPr>
            <w:tcW w:type="dxa" w:w="1170"/>
          </w:tcPr>
          <w:p>
            <w:pPr>
              <w:spacing w:after="0" w:before="0"/>
            </w:pPr>
            <w:r/>
            <w:r>
              <w:rPr>
                <w:b/>
                <w:sz w:val="18"/>
              </w:rPr>
              <w:t>σ̂</w:t>
            </w:r>
          </w:p>
        </w:tc>
        <w:tc>
          <w:tcPr>
            <w:tcW w:type="dxa" w:w="1170"/>
          </w:tcPr>
          <w:p>
            <w:pPr>
              <w:spacing w:after="0" w:before="0"/>
            </w:pPr>
            <w:r/>
            <w:r>
              <w:rPr>
                <w:b/>
                <w:sz w:val="18"/>
              </w:rPr>
              <w:t>τ_base/σ̂</w:t>
            </w:r>
          </w:p>
        </w:tc>
        <w:tc>
          <w:tcPr>
            <w:tcW w:type="dxa" w:w="1170"/>
          </w:tcPr>
          <w:p>
            <w:pPr>
              <w:spacing w:after="0" w:before="0"/>
            </w:pPr>
            <w:r/>
            <w:r>
              <w:rPr>
                <w:b/>
                <w:sz w:val="18"/>
              </w:rPr>
              <w:t>Critical retention c_crit</w:t>
            </w:r>
          </w:p>
        </w:tc>
        <w:tc>
          <w:tcPr>
            <w:tcW w:type="dxa" w:w="1170"/>
          </w:tcPr>
          <w:p>
            <w:pPr>
              <w:spacing w:after="0" w:before="0"/>
            </w:pPr>
            <w:r/>
            <w:r>
              <w:rPr>
                <w:b/>
                <w:sz w:val="18"/>
              </w:rPr>
              <w:t>Dual-gate window</w:t>
            </w:r>
          </w:p>
        </w:tc>
        <w:tc>
          <w:tcPr>
            <w:tcW w:type="dxa" w:w="1170"/>
          </w:tcPr>
          <w:p>
            <w:pPr>
              <w:spacing w:after="0" w:before="0"/>
            </w:pPr>
            <w:r/>
            <w:r>
              <w:rPr>
                <w:b/>
                <w:sz w:val="18"/>
              </w:rPr>
              <w:t>Observed accepted operating points</w:t>
            </w:r>
          </w:p>
        </w:tc>
      </w:tr>
      <w:tr>
        <w:tc>
          <w:tcPr>
            <w:tcW w:type="dxa" w:w="1170"/>
          </w:tcPr>
          <w:p>
            <w:pPr>
              <w:spacing w:after="0" w:before="0"/>
            </w:pPr>
            <w:r/>
            <w:r>
              <w:rPr>
                <w:sz w:val="18"/>
              </w:rPr>
              <w:t>Shared-program simulation</w:t>
            </w:r>
          </w:p>
        </w:tc>
        <w:tc>
          <w:tcPr>
            <w:tcW w:type="dxa" w:w="1170"/>
          </w:tcPr>
          <w:p>
            <w:pPr>
              <w:spacing w:after="0" w:before="0"/>
            </w:pPr>
            <w:r/>
            <w:r>
              <w:rPr>
                <w:sz w:val="18"/>
              </w:rPr>
              <w:t>planted shared program</w:t>
            </w:r>
          </w:p>
        </w:tc>
        <w:tc>
          <w:tcPr>
            <w:tcW w:type="dxa" w:w="1170"/>
          </w:tcPr>
          <w:p>
            <w:pPr>
              <w:spacing w:after="0" w:before="0"/>
            </w:pPr>
            <w:r/>
            <w:r>
              <w:rPr>
                <w:sz w:val="18"/>
              </w:rPr>
              <w:t>n/a</w:t>
            </w:r>
          </w:p>
        </w:tc>
        <w:tc>
          <w:tcPr>
            <w:tcW w:type="dxa" w:w="1170"/>
          </w:tcPr>
          <w:p>
            <w:pPr>
              <w:spacing w:after="0" w:before="0"/>
            </w:pPr>
            <w:r/>
            <w:r>
              <w:rPr>
                <w:sz w:val="18"/>
              </w:rPr>
              <w:t>n/a</w:t>
            </w:r>
          </w:p>
        </w:tc>
        <w:tc>
          <w:tcPr>
            <w:tcW w:type="dxa" w:w="1170"/>
          </w:tcPr>
          <w:p>
            <w:pPr>
              <w:spacing w:after="0" w:before="0"/>
            </w:pPr>
            <w:r/>
            <w:r>
              <w:rPr>
                <w:sz w:val="18"/>
              </w:rPr>
              <w:t>5.8</w:t>
            </w:r>
          </w:p>
        </w:tc>
        <w:tc>
          <w:tcPr>
            <w:tcW w:type="dxa" w:w="1170"/>
          </w:tcPr>
          <w:p>
            <w:pPr>
              <w:spacing w:after="0" w:before="0"/>
            </w:pPr>
            <w:r/>
            <w:r>
              <w:rPr>
                <w:sz w:val="18"/>
              </w:rPr>
              <w:t>0.28</w:t>
            </w:r>
          </w:p>
        </w:tc>
        <w:tc>
          <w:tcPr>
            <w:tcW w:type="dxa" w:w="1170"/>
          </w:tcPr>
          <w:p>
            <w:pPr>
              <w:spacing w:after="0" w:before="0"/>
            </w:pPr>
            <w:r/>
            <w:r>
              <w:rPr>
                <w:sz w:val="18"/>
              </w:rPr>
              <w:t>empty</w:t>
            </w:r>
          </w:p>
        </w:tc>
        <w:tc>
          <w:tcPr>
            <w:tcW w:type="dxa" w:w="1170"/>
          </w:tcPr>
          <w:p>
            <w:pPr>
              <w:spacing w:after="0" w:before="0"/>
            </w:pPr>
            <w:r/>
            <w:r>
              <w:rPr>
                <w:sz w:val="18"/>
              </w:rPr>
              <w:t>none (by construction)</w:t>
            </w:r>
          </w:p>
        </w:tc>
      </w:tr>
      <w:tr>
        <w:tc>
          <w:tcPr>
            <w:tcW w:type="dxa" w:w="1170"/>
          </w:tcPr>
          <w:p>
            <w:pPr>
              <w:spacing w:after="0" w:before="0"/>
            </w:pPr>
            <w:r/>
            <w:r>
              <w:rPr>
                <w:sz w:val="18"/>
              </w:rPr>
              <w:t>Cervical (35 sections, 34 donors)</w:t>
            </w:r>
          </w:p>
        </w:tc>
        <w:tc>
          <w:tcPr>
            <w:tcW w:type="dxa" w:w="1170"/>
          </w:tcPr>
          <w:p>
            <w:pPr>
              <w:spacing w:after="0" w:before="0"/>
            </w:pPr>
            <w:r/>
            <w:r>
              <w:rPr>
                <w:sz w:val="18"/>
              </w:rPr>
              <w:t>ordinal severity</w:t>
            </w:r>
          </w:p>
        </w:tc>
        <w:tc>
          <w:tcPr>
            <w:tcW w:type="dxa" w:w="1170"/>
          </w:tcPr>
          <w:p>
            <w:pPr>
              <w:spacing w:after="0" w:before="0"/>
            </w:pPr>
            <w:r/>
            <w:r>
              <w:rPr>
                <w:sz w:val="18"/>
              </w:rPr>
              <w:t>0.42</w:t>
            </w:r>
          </w:p>
        </w:tc>
        <w:tc>
          <w:tcPr>
            <w:tcW w:type="dxa" w:w="1170"/>
          </w:tcPr>
          <w:p>
            <w:pPr>
              <w:spacing w:after="0" w:before="0"/>
            </w:pPr>
            <w:r/>
            <w:r>
              <w:rPr>
                <w:sz w:val="18"/>
              </w:rPr>
              <w:t>≈ 0.176</w:t>
            </w:r>
          </w:p>
        </w:tc>
        <w:tc>
          <w:tcPr>
            <w:tcW w:type="dxa" w:w="1170"/>
          </w:tcPr>
          <w:p>
            <w:pPr>
              <w:spacing w:after="0" w:before="0"/>
            </w:pPr>
            <w:r/>
            <w:r>
              <w:rPr>
                <w:sz w:val="18"/>
              </w:rPr>
              <w:t>≈ 2.4</w:t>
            </w:r>
          </w:p>
        </w:tc>
        <w:tc>
          <w:tcPr>
            <w:tcW w:type="dxa" w:w="1170"/>
          </w:tcPr>
          <w:p>
            <w:pPr>
              <w:spacing w:after="0" w:before="0"/>
            </w:pPr>
            <w:r/>
            <w:r>
              <w:rPr>
                <w:sz w:val="18"/>
              </w:rPr>
              <w:t>0.69</w:t>
            </w:r>
          </w:p>
        </w:tc>
        <w:tc>
          <w:tcPr>
            <w:tcW w:type="dxa" w:w="1170"/>
          </w:tcPr>
          <w:p>
            <w:pPr>
              <w:spacing w:after="0" w:before="0"/>
            </w:pPr>
            <w:r/>
            <w:r>
              <w:rPr>
                <w:sz w:val="18"/>
              </w:rPr>
              <w:t>empty</w:t>
            </w:r>
          </w:p>
        </w:tc>
        <w:tc>
          <w:tcPr>
            <w:tcW w:type="dxa" w:w="1170"/>
          </w:tcPr>
          <w:p>
            <w:pPr>
              <w:spacing w:after="0" w:before="0"/>
            </w:pPr>
            <w:r/>
            <w:r>
              <w:rPr>
                <w:sz w:val="18"/>
              </w:rPr>
              <w:t>none; bistable, no stable point at any dose</w:t>
            </w:r>
          </w:p>
        </w:tc>
      </w:tr>
      <w:tr>
        <w:tc>
          <w:tcPr>
            <w:tcW w:type="dxa" w:w="1170"/>
          </w:tcPr>
          <w:p>
            <w:pPr>
              <w:spacing w:after="0" w:before="0"/>
            </w:pPr>
            <w:r/>
            <w:r>
              <w:rPr>
                <w:sz w:val="18"/>
              </w:rPr>
              <w:t>Head and neck (16 patients, GSE268014)</w:t>
            </w:r>
          </w:p>
        </w:tc>
        <w:tc>
          <w:tcPr>
            <w:tcW w:type="dxa" w:w="1170"/>
          </w:tcPr>
          <w:p>
            <w:pPr>
              <w:spacing w:after="0" w:before="0"/>
            </w:pPr>
            <w:r/>
            <w:r>
              <w:rPr>
                <w:sz w:val="18"/>
              </w:rPr>
              <w:t>etiological (HPV)</w:t>
            </w:r>
          </w:p>
        </w:tc>
        <w:tc>
          <w:tcPr>
            <w:tcW w:type="dxa" w:w="1170"/>
          </w:tcPr>
          <w:p>
            <w:pPr>
              <w:spacing w:after="0" w:before="0"/>
            </w:pPr>
            <w:r/>
            <w:r>
              <w:rPr>
                <w:sz w:val="18"/>
              </w:rPr>
              <w:t>0.59</w:t>
            </w:r>
          </w:p>
        </w:tc>
        <w:tc>
          <w:tcPr>
            <w:tcW w:type="dxa" w:w="1170"/>
          </w:tcPr>
          <w:p>
            <w:pPr>
              <w:spacing w:after="0" w:before="0"/>
            </w:pPr>
            <w:r/>
            <w:r>
              <w:rPr>
                <w:sz w:val="18"/>
              </w:rPr>
              <w:t>≈ 0.27</w:t>
            </w:r>
          </w:p>
        </w:tc>
        <w:tc>
          <w:tcPr>
            <w:tcW w:type="dxa" w:w="1170"/>
          </w:tcPr>
          <w:p>
            <w:pPr>
              <w:spacing w:after="0" w:before="0"/>
            </w:pPr>
            <w:r/>
            <w:r>
              <w:rPr>
                <w:sz w:val="18"/>
              </w:rPr>
              <w:t>2.18</w:t>
            </w:r>
          </w:p>
        </w:tc>
        <w:tc>
          <w:tcPr>
            <w:tcW w:type="dxa" w:w="1170"/>
          </w:tcPr>
          <w:p>
            <w:pPr>
              <w:spacing w:after="0" w:before="0"/>
            </w:pPr>
            <w:r/>
            <w:r>
              <w:rPr>
                <w:sz w:val="18"/>
              </w:rPr>
              <w:t>0.75</w:t>
            </w:r>
          </w:p>
        </w:tc>
        <w:tc>
          <w:tcPr>
            <w:tcW w:type="dxa" w:w="1170"/>
          </w:tcPr>
          <w:p>
            <w:pPr>
              <w:spacing w:after="0" w:before="0"/>
            </w:pPr>
            <w:r/>
            <w:r>
              <w:rPr>
                <w:sz w:val="18"/>
              </w:rPr>
              <w:t>non-empty</w:t>
            </w:r>
          </w:p>
        </w:tc>
        <w:tc>
          <w:tcPr>
            <w:tcW w:type="dxa" w:w="1170"/>
          </w:tcPr>
          <w:p>
            <w:pPr>
              <w:spacing w:after="0" w:before="0"/>
            </w:pPr>
            <w:r/>
            <w:r>
              <w:rPr>
                <w:sz w:val="18"/>
              </w:rPr>
              <w:t>leakage axis 7/9 at λ ∈ {0.5, 1, 2}; both axes 1/9 (λ = 2, retention 0.73); R 0.38–0.60</w:t>
            </w:r>
          </w:p>
        </w:tc>
      </w:tr>
      <w:tr>
        <w:tc>
          <w:tcPr>
            <w:tcW w:type="dxa" w:w="1170"/>
          </w:tcPr>
          <w:p>
            <w:pPr>
              <w:spacing w:after="0" w:before="0"/>
            </w:pPr>
            <w:r/>
            <w:r>
              <w:rPr>
                <w:sz w:val="18"/>
              </w:rPr>
              <w:t>Prostate (52 patients, GSE278936)</w:t>
            </w:r>
          </w:p>
        </w:tc>
        <w:tc>
          <w:tcPr>
            <w:tcW w:type="dxa" w:w="1170"/>
          </w:tcPr>
          <w:p>
            <w:pPr>
              <w:spacing w:after="0" w:before="0"/>
            </w:pPr>
            <w:r/>
            <w:r>
              <w:rPr>
                <w:sz w:val="18"/>
              </w:rPr>
              <w:t>benign vs tumour</w:t>
            </w:r>
          </w:p>
        </w:tc>
        <w:tc>
          <w:tcPr>
            <w:tcW w:type="dxa" w:w="1170"/>
          </w:tcPr>
          <w:p>
            <w:pPr>
              <w:spacing w:after="0" w:before="0"/>
            </w:pPr>
            <w:r/>
            <w:r>
              <w:rPr>
                <w:sz w:val="18"/>
              </w:rPr>
              <w:t>0.288</w:t>
            </w:r>
          </w:p>
        </w:tc>
        <w:tc>
          <w:tcPr>
            <w:tcW w:type="dxa" w:w="1170"/>
          </w:tcPr>
          <w:p>
            <w:pPr>
              <w:spacing w:after="0" w:before="0"/>
            </w:pPr>
            <w:r/>
            <w:r>
              <w:rPr>
                <w:sz w:val="18"/>
              </w:rPr>
              <w:t>≈ 0.143</w:t>
            </w:r>
          </w:p>
        </w:tc>
        <w:tc>
          <w:tcPr>
            <w:tcW w:type="dxa" w:w="1170"/>
          </w:tcPr>
          <w:p>
            <w:pPr>
              <w:spacing w:after="0" w:before="0"/>
            </w:pPr>
            <w:r/>
            <w:r>
              <w:rPr>
                <w:sz w:val="18"/>
              </w:rPr>
              <w:t>≈ 2.0</w:t>
            </w:r>
          </w:p>
        </w:tc>
        <w:tc>
          <w:tcPr>
            <w:tcW w:type="dxa" w:w="1170"/>
          </w:tcPr>
          <w:p>
            <w:pPr>
              <w:spacing w:after="0" w:before="0"/>
            </w:pPr>
            <w:r/>
            <w:r>
              <w:rPr>
                <w:sz w:val="18"/>
              </w:rPr>
              <w:t>0.80</w:t>
            </w:r>
          </w:p>
        </w:tc>
        <w:tc>
          <w:tcPr>
            <w:tcW w:type="dxa" w:w="1170"/>
          </w:tcPr>
          <w:p>
            <w:pPr>
              <w:spacing w:after="0" w:before="0"/>
            </w:pPr>
            <w:r/>
            <w:r>
              <w:rPr>
                <w:sz w:val="18"/>
              </w:rPr>
              <w:t>narrow</w:t>
            </w:r>
          </w:p>
        </w:tc>
        <w:tc>
          <w:tcPr>
            <w:tcW w:type="dxa" w:w="1170"/>
          </w:tcPr>
          <w:p>
            <w:pPr>
              <w:spacing w:after="0" w:before="0"/>
            </w:pPr>
            <w:r/>
            <w:r>
              <w:rPr>
                <w:sz w:val="18"/>
              </w:rPr>
              <w:t>λ = 1.0 only, 2 of 3 seeds on both axes (LDI 1.51; re-run 1.46 ± 0.86; R 0.60; retention 0.74–0.76); single operating point with measured spread, see text</w:t>
            </w:r>
          </w:p>
        </w:tc>
      </w:tr>
      <w:tr>
        <w:tc>
          <w:tcPr>
            <w:tcW w:type="dxa" w:w="1170"/>
          </w:tcPr>
          <w:p>
            <w:pPr>
              <w:spacing w:after="0" w:before="0"/>
            </w:pPr>
            <w:r/>
            <w:r>
              <w:rPr>
                <w:sz w:val="18"/>
              </w:rPr>
              <w:t>Cervix ROI-level, GSE316098 (186 ROIs, 7 cases); label: patient risk</w:t>
            </w:r>
          </w:p>
        </w:tc>
        <w:tc>
          <w:tcPr>
            <w:tcW w:type="dxa" w:w="1170"/>
          </w:tcPr>
          <w:p>
            <w:pPr>
              <w:spacing w:after="0" w:before="0"/>
            </w:pPr>
            <w:r/>
            <w:r>
              <w:rPr>
                <w:sz w:val="18"/>
              </w:rPr>
              <w:t>ordinal risk stratum</w:t>
            </w:r>
          </w:p>
        </w:tc>
        <w:tc>
          <w:tcPr>
            <w:tcW w:type="dxa" w:w="1170"/>
          </w:tcPr>
          <w:p>
            <w:pPr>
              <w:spacing w:after="0" w:before="0"/>
            </w:pPr>
            <w:r/>
            <w:r>
              <w:rPr>
                <w:sz w:val="18"/>
              </w:rPr>
              <w:t>0.75</w:t>
            </w:r>
          </w:p>
        </w:tc>
        <w:tc>
          <w:tcPr>
            <w:tcW w:type="dxa" w:w="1170"/>
          </w:tcPr>
          <w:p>
            <w:pPr>
              <w:spacing w:after="0" w:before="0"/>
            </w:pPr>
            <w:r/>
            <w:r>
              <w:rPr>
                <w:sz w:val="18"/>
              </w:rPr>
              <w:t>≈ 0.080</w:t>
            </w:r>
          </w:p>
        </w:tc>
        <w:tc>
          <w:tcPr>
            <w:tcW w:type="dxa" w:w="1170"/>
          </w:tcPr>
          <w:p>
            <w:pPr>
              <w:spacing w:after="0" w:before="0"/>
            </w:pPr>
            <w:r/>
            <w:r>
              <w:rPr>
                <w:sz w:val="18"/>
              </w:rPr>
              <w:t>9.34</w:t>
            </w:r>
          </w:p>
        </w:tc>
        <w:tc>
          <w:tcPr>
            <w:tcW w:type="dxa" w:w="1170"/>
          </w:tcPr>
          <w:p>
            <w:pPr>
              <w:spacing w:after="0" w:before="0"/>
            </w:pPr>
            <w:r/>
            <w:r>
              <w:rPr>
                <w:sz w:val="18"/>
              </w:rPr>
              <w:t>0.18</w:t>
            </w:r>
          </w:p>
        </w:tc>
        <w:tc>
          <w:tcPr>
            <w:tcW w:type="dxa" w:w="1170"/>
          </w:tcPr>
          <w:p>
            <w:pPr>
              <w:spacing w:after="0" w:before="0"/>
            </w:pPr>
            <w:r/>
            <w:r>
              <w:rPr>
                <w:sz w:val="18"/>
              </w:rPr>
              <w:t>empty</w:t>
            </w:r>
          </w:p>
        </w:tc>
        <w:tc>
          <w:tcPr>
            <w:tcW w:type="dxa" w:w="1170"/>
          </w:tcPr>
          <w:p>
            <w:pPr>
              <w:spacing w:after="0" w:before="0"/>
            </w:pPr>
            <w:r/>
            <w:r>
              <w:rPr>
                <w:sz w:val="18"/>
              </w:rPr>
              <w:t>none (0 of 12 dosed cells on both axes; leakage axis also 0 of 12)</w:t>
            </w:r>
          </w:p>
        </w:tc>
      </w:tr>
      <w:tr>
        <w:tc>
          <w:tcPr>
            <w:tcW w:type="dxa" w:w="1170"/>
          </w:tcPr>
          <w:p>
            <w:pPr>
              <w:spacing w:after="0" w:before="0"/>
            </w:pPr>
            <w:r/>
            <w:r>
              <w:rPr>
                <w:sz w:val="18"/>
              </w:rPr>
              <w:t>Cervix ROI-level, GSE316098; label: Silva invasion pattern, annotated per ROI</w:t>
            </w:r>
          </w:p>
        </w:tc>
        <w:tc>
          <w:tcPr>
            <w:tcW w:type="dxa" w:w="1170"/>
          </w:tcPr>
          <w:p>
            <w:pPr>
              <w:spacing w:after="0" w:before="0"/>
            </w:pPr>
            <w:r/>
            <w:r>
              <w:rPr>
                <w:sz w:val="18"/>
              </w:rPr>
              <w:t>ordinal histologic pattern</w:t>
            </w:r>
          </w:p>
        </w:tc>
        <w:tc>
          <w:tcPr>
            <w:tcW w:type="dxa" w:w="1170"/>
          </w:tcPr>
          <w:p>
            <w:pPr>
              <w:spacing w:after="0" w:before="0"/>
            </w:pPr>
            <w:r/>
            <w:r>
              <w:rPr>
                <w:sz w:val="18"/>
              </w:rPr>
              <w:t>0.80</w:t>
            </w:r>
          </w:p>
        </w:tc>
        <w:tc>
          <w:tcPr>
            <w:tcW w:type="dxa" w:w="1170"/>
          </w:tcPr>
          <w:p>
            <w:pPr>
              <w:spacing w:after="0" w:before="0"/>
            </w:pPr>
            <w:r/>
            <w:r>
              <w:rPr>
                <w:sz w:val="18"/>
              </w:rPr>
              <w:t>≈ 0.077</w:t>
            </w:r>
          </w:p>
        </w:tc>
        <w:tc>
          <w:tcPr>
            <w:tcW w:type="dxa" w:w="1170"/>
          </w:tcPr>
          <w:p>
            <w:pPr>
              <w:spacing w:after="0" w:before="0"/>
            </w:pPr>
            <w:r/>
            <w:r>
              <w:rPr>
                <w:sz w:val="18"/>
              </w:rPr>
              <w:t>10.39</w:t>
            </w:r>
          </w:p>
        </w:tc>
        <w:tc>
          <w:tcPr>
            <w:tcW w:type="dxa" w:w="1170"/>
          </w:tcPr>
          <w:p>
            <w:pPr>
              <w:spacing w:after="0" w:before="0"/>
            </w:pPr>
            <w:r/>
            <w:r>
              <w:rPr>
                <w:sz w:val="18"/>
              </w:rPr>
              <w:t>0.16</w:t>
            </w:r>
          </w:p>
        </w:tc>
        <w:tc>
          <w:tcPr>
            <w:tcW w:type="dxa" w:w="1170"/>
          </w:tcPr>
          <w:p>
            <w:pPr>
              <w:spacing w:after="0" w:before="0"/>
            </w:pPr>
            <w:r/>
            <w:r>
              <w:rPr>
                <w:sz w:val="18"/>
              </w:rPr>
              <w:t>empty</w:t>
            </w:r>
          </w:p>
        </w:tc>
        <w:tc>
          <w:tcPr>
            <w:tcW w:type="dxa" w:w="1170"/>
          </w:tcPr>
          <w:p>
            <w:pPr>
              <w:spacing w:after="0" w:before="0"/>
            </w:pPr>
            <w:r/>
            <w:r>
              <w:rPr>
                <w:sz w:val="18"/>
              </w:rPr>
              <w:t>none (0 of 12 on both axes; leakage axis also 0 of 12)</w:t>
            </w:r>
          </w:p>
        </w:tc>
      </w:tr>
      <w:tr>
        <w:tc>
          <w:tcPr>
            <w:tcW w:type="dxa" w:w="1170"/>
          </w:tcPr>
          <w:p>
            <w:pPr>
              <w:spacing w:after="0" w:before="0"/>
            </w:pPr>
            <w:r/>
            <w:r>
              <w:rPr>
                <w:sz w:val="18"/>
              </w:rPr>
              <w:t>Cervix ROI-level, GSE316098; label: ROI cell type, epithelium versus stroma</w:t>
            </w:r>
          </w:p>
        </w:tc>
        <w:tc>
          <w:tcPr>
            <w:tcW w:type="dxa" w:w="1170"/>
          </w:tcPr>
          <w:p>
            <w:pPr>
              <w:spacing w:after="0" w:before="0"/>
            </w:pPr>
            <w:r/>
            <w:r>
              <w:rPr>
                <w:sz w:val="18"/>
              </w:rPr>
              <w:t>nominal, orthogonal to group</w:t>
            </w:r>
          </w:p>
        </w:tc>
        <w:tc>
          <w:tcPr>
            <w:tcW w:type="dxa" w:w="1170"/>
          </w:tcPr>
          <w:p>
            <w:pPr>
              <w:spacing w:after="0" w:before="0"/>
            </w:pPr>
            <w:r/>
            <w:r>
              <w:rPr>
                <w:sz w:val="18"/>
              </w:rPr>
              <w:t>0.71</w:t>
            </w:r>
          </w:p>
        </w:tc>
        <w:tc>
          <w:tcPr>
            <w:tcW w:type="dxa" w:w="1170"/>
          </w:tcPr>
          <w:p>
            <w:pPr>
              <w:spacing w:after="0" w:before="0"/>
            </w:pPr>
            <w:r/>
            <w:r>
              <w:rPr>
                <w:sz w:val="18"/>
              </w:rPr>
              <w:t>≈ 0.084</w:t>
            </w:r>
          </w:p>
        </w:tc>
        <w:tc>
          <w:tcPr>
            <w:tcW w:type="dxa" w:w="1170"/>
          </w:tcPr>
          <w:p>
            <w:pPr>
              <w:spacing w:after="0" w:before="0"/>
            </w:pPr>
            <w:r/>
            <w:r>
              <w:rPr>
                <w:sz w:val="18"/>
              </w:rPr>
              <w:t>8.49</w:t>
            </w:r>
          </w:p>
        </w:tc>
        <w:tc>
          <w:tcPr>
            <w:tcW w:type="dxa" w:w="1170"/>
          </w:tcPr>
          <w:p>
            <w:pPr>
              <w:spacing w:after="0" w:before="0"/>
            </w:pPr>
            <w:r/>
            <w:r>
              <w:rPr>
                <w:sz w:val="18"/>
              </w:rPr>
              <w:t>0.19</w:t>
            </w:r>
          </w:p>
        </w:tc>
        <w:tc>
          <w:tcPr>
            <w:tcW w:type="dxa" w:w="1170"/>
          </w:tcPr>
          <w:p>
            <w:pPr>
              <w:spacing w:after="0" w:before="0"/>
            </w:pPr>
            <w:r/>
            <w:r>
              <w:rPr>
                <w:sz w:val="18"/>
              </w:rPr>
              <w:t>empty</w:t>
            </w:r>
          </w:p>
        </w:tc>
        <w:tc>
          <w:tcPr>
            <w:tcW w:type="dxa" w:w="1170"/>
          </w:tcPr>
          <w:p>
            <w:pPr>
              <w:spacing w:after="0" w:before="0"/>
            </w:pPr>
            <w:r/>
            <w:r>
              <w:rPr>
                <w:sz w:val="18"/>
              </w:rPr>
              <w:t>none (0 of 12 on both axes; leakage axis also 0 of 12)</w:t>
            </w:r>
          </w:p>
        </w:tc>
      </w:tr>
    </w:tbl>
    <w:p/>
    <w:p>
      <w:pPr>
        <w:spacing w:before="200"/>
      </w:pPr>
      <w:r>
        <w:rPr>
          <w:b/>
        </w:rPr>
        <w:t>Table 2. External-cohort dose–response (three seeds, stability variant).</w:t>
      </w:r>
      <w:r>
        <w:t xml:space="preserve"> LDI against the 1.645 gate and</w:t>
      </w:r>
    </w:p>
    <w:p>
      <w:r>
        <w:t>R = τ_LDO/τ_in at each adversarial dose λ, for the head-and-neck and prostate cohorts of the validation</w:t>
      </w:r>
    </w:p>
    <w:p>
      <w:r>
        <w:t>domain. Values are from the stability-hardened three-seed graph-attention run (300 epochs). "Gate passes" counts seeds whose LDI falls below 1.645, i.e. the leakage-reduction axis of the acceptance protocol; a dose can pass that axis and still be excluded by the safety axis, which is what happens at λ = 5 on head and neck. R is reported over the seeds that pass at that dose; pooled over all seven accepted head-and-neck cells the range is 0.38–0.60, the figure quoted in the text. Primary runs are reported; the independent prostate re-run is noted. "Gate passes" is a per-seed count on both cohorts: at λ = 1.0 on prostate the three seeds give LDI 1.41, 1.44 and 1.70, i.e. two of three below the gate, for a mean of 1.51. We nonetheless carry the prostate verdict on the mean rather than on the seed count, because the spread between seeds at that dose (SD 0.16, and 0.86 in the independent re-run) is wider than the distance from the mean to the gate; the head-and-neck figure of 7/9 is quoted as a seed count because there all three seeds are sub-gate at λ = 0.5 with a spread of 0.25. Applying the fidelity axis in addition (τ_LDO ≥ 0.7 · τ_base, with τ_base = 0.59 on head and neck and 0.288 on prostate) leaves 1 of 9 head-and-neck cells accepted (seed 1 at λ = 2) and 2 of 9 prostate cells (both at λ = 1.0); realized retention τ_LDO/τ_base at leakage-passing cells is 0.46–0.73 on head and neck and 0.67–0.76 on prostate, which is why c = 0.7 binds rather than being vacuous here. The last row shows a dose the gate rejects despite carrying the numerically best endpoint. Baseline (λ = 0) LDI in this configuration is 2.18 for head and neck and 2.04 for prostate; the head-to-head comparison of Table 3 uses a cheaper configuration (single seed, 100 epochs, not stability-hardened) whose head-and-neck baseline LDI was 1.28, and the two are not interchangeable.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before="0"/>
            </w:pPr>
            <w:r/>
            <w:r>
              <w:rPr>
                <w:b/>
                <w:sz w:val="18"/>
              </w:rPr>
              <w:t>Cohort</w:t>
            </w:r>
          </w:p>
        </w:tc>
        <w:tc>
          <w:tcPr>
            <w:tcW w:type="dxa" w:w="1337"/>
          </w:tcPr>
          <w:p>
            <w:pPr>
              <w:spacing w:after="0" w:before="0"/>
            </w:pPr>
            <w:r/>
            <w:r>
              <w:rPr>
                <w:b/>
                <w:sz w:val="18"/>
              </w:rPr>
              <w:t>λ</w:t>
            </w:r>
          </w:p>
        </w:tc>
        <w:tc>
          <w:tcPr>
            <w:tcW w:type="dxa" w:w="1337"/>
          </w:tcPr>
          <w:p>
            <w:pPr>
              <w:spacing w:after="0" w:before="0"/>
            </w:pPr>
            <w:r/>
            <w:r>
              <w:rPr>
                <w:b/>
                <w:sz w:val="18"/>
              </w:rPr>
              <w:t>mean LDI</w:t>
            </w:r>
          </w:p>
        </w:tc>
        <w:tc>
          <w:tcPr>
            <w:tcW w:type="dxa" w:w="1337"/>
          </w:tcPr>
          <w:p>
            <w:pPr>
              <w:spacing w:after="0" w:before="0"/>
            </w:pPr>
            <w:r/>
            <w:r>
              <w:rPr>
                <w:b/>
                <w:sz w:val="18"/>
              </w:rPr>
              <w:t>Gate passes (seeds)</w:t>
            </w:r>
          </w:p>
        </w:tc>
        <w:tc>
          <w:tcPr>
            <w:tcW w:type="dxa" w:w="1337"/>
          </w:tcPr>
          <w:p>
            <w:pPr>
              <w:spacing w:after="0" w:before="0"/>
            </w:pPr>
            <w:r/>
            <w:r>
              <w:rPr>
                <w:b/>
                <w:sz w:val="18"/>
              </w:rPr>
              <w:t>τ_LDO</w:t>
            </w:r>
          </w:p>
        </w:tc>
        <w:tc>
          <w:tcPr>
            <w:tcW w:type="dxa" w:w="1337"/>
          </w:tcPr>
          <w:p>
            <w:pPr>
              <w:spacing w:after="0" w:before="0"/>
            </w:pPr>
            <w:r/>
            <w:r>
              <w:rPr>
                <w:b/>
                <w:sz w:val="18"/>
              </w:rPr>
              <w:t>R</w:t>
            </w:r>
          </w:p>
        </w:tc>
        <w:tc>
          <w:tcPr>
            <w:tcW w:type="dxa" w:w="1337"/>
          </w:tcPr>
          <w:p>
            <w:pPr>
              <w:spacing w:after="0" w:before="0"/>
            </w:pPr>
            <w:r/>
            <w:r>
              <w:rPr>
                <w:b/>
                <w:sz w:val="18"/>
              </w:rPr>
              <w:t>Note</w:t>
            </w:r>
          </w:p>
        </w:tc>
      </w:tr>
      <w:tr>
        <w:tc>
          <w:tcPr>
            <w:tcW w:type="dxa" w:w="1337"/>
          </w:tcPr>
          <w:p>
            <w:pPr>
              <w:spacing w:after="0" w:before="0"/>
            </w:pPr>
            <w:r/>
            <w:r>
              <w:rPr>
                <w:sz w:val="18"/>
              </w:rPr>
              <w:t>Head and neck (16)</w:t>
            </w:r>
          </w:p>
        </w:tc>
        <w:tc>
          <w:tcPr>
            <w:tcW w:type="dxa" w:w="1337"/>
          </w:tcPr>
          <w:p>
            <w:pPr>
              <w:spacing w:after="0" w:before="0"/>
            </w:pPr>
            <w:r/>
            <w:r>
              <w:rPr>
                <w:sz w:val="18"/>
              </w:rPr>
              <w:t>0</w:t>
            </w:r>
          </w:p>
        </w:tc>
        <w:tc>
          <w:tcPr>
            <w:tcW w:type="dxa" w:w="1337"/>
          </w:tcPr>
          <w:p>
            <w:pPr>
              <w:spacing w:after="0" w:before="0"/>
            </w:pPr>
            <w:r/>
            <w:r>
              <w:rPr>
                <w:sz w:val="18"/>
              </w:rPr>
              <w:t>2.18 (1.88–2.49)</w:t>
            </w:r>
          </w:p>
        </w:tc>
        <w:tc>
          <w:tcPr>
            <w:tcW w:type="dxa" w:w="1337"/>
          </w:tcPr>
          <w:p>
            <w:pPr>
              <w:spacing w:after="0" w:before="0"/>
            </w:pPr>
            <w:r/>
            <w:r>
              <w:rPr>
                <w:sz w:val="18"/>
              </w:rPr>
              <w:t>0/3</w:t>
            </w:r>
          </w:p>
        </w:tc>
        <w:tc>
          <w:tcPr>
            <w:tcW w:type="dxa" w:w="1337"/>
          </w:tcPr>
          <w:p>
            <w:pPr>
              <w:spacing w:after="0" w:before="0"/>
            </w:pPr>
            <w:r/>
            <w:r>
              <w:rPr>
                <w:sz w:val="18"/>
              </w:rPr>
              <w:t>0.59 (0.50–0.68)</w:t>
            </w:r>
          </w:p>
        </w:tc>
        <w:tc>
          <w:tcPr>
            <w:tcW w:type="dxa" w:w="1337"/>
          </w:tcPr>
          <w:p>
            <w:pPr>
              <w:spacing w:after="0" w:before="0"/>
            </w:pPr>
            <w:r/>
            <w:r>
              <w:rPr>
                <w:sz w:val="18"/>
              </w:rPr>
              <w:t>0.69–0.94</w:t>
            </w:r>
          </w:p>
        </w:tc>
        <w:tc>
          <w:tcPr>
            <w:tcW w:type="dxa" w:w="1337"/>
          </w:tcPr>
          <w:p>
            <w:pPr>
              <w:spacing w:after="0" w:before="0"/>
            </w:pPr>
            <w:r/>
            <w:r>
              <w:rPr>
                <w:sz w:val="18"/>
              </w:rPr>
              <w:t>baseline above gate</w:t>
            </w:r>
          </w:p>
        </w:tc>
      </w:tr>
      <w:tr>
        <w:tc>
          <w:tcPr>
            <w:tcW w:type="dxa" w:w="1337"/>
          </w:tcPr>
          <w:p>
            <w:pPr>
              <w:spacing w:after="0" w:before="0"/>
            </w:pPr>
            <w:r/>
            <w:r>
              <w:rPr>
                <w:sz w:val="18"/>
              </w:rPr>
            </w:r>
          </w:p>
        </w:tc>
        <w:tc>
          <w:tcPr>
            <w:tcW w:type="dxa" w:w="1337"/>
          </w:tcPr>
          <w:p>
            <w:pPr>
              <w:spacing w:after="0" w:before="0"/>
            </w:pPr>
            <w:r/>
            <w:r>
              <w:rPr>
                <w:sz w:val="18"/>
              </w:rPr>
              <w:t>0.5</w:t>
            </w:r>
          </w:p>
        </w:tc>
        <w:tc>
          <w:tcPr>
            <w:tcW w:type="dxa" w:w="1337"/>
          </w:tcPr>
          <w:p>
            <w:pPr>
              <w:spacing w:after="0" w:before="0"/>
            </w:pPr>
            <w:r/>
            <w:r>
              <w:rPr>
                <w:sz w:val="18"/>
              </w:rPr>
              <w:t>1.22 (1.13–1.37)</w:t>
            </w:r>
          </w:p>
        </w:tc>
        <w:tc>
          <w:tcPr>
            <w:tcW w:type="dxa" w:w="1337"/>
          </w:tcPr>
          <w:p>
            <w:pPr>
              <w:spacing w:after="0" w:before="0"/>
            </w:pPr>
            <w:r/>
            <w:r>
              <w:rPr>
                <w:sz w:val="18"/>
              </w:rPr>
              <w:t>3/3</w:t>
            </w:r>
          </w:p>
        </w:tc>
        <w:tc>
          <w:tcPr>
            <w:tcW w:type="dxa" w:w="1337"/>
          </w:tcPr>
          <w:p>
            <w:pPr>
              <w:spacing w:after="0" w:before="0"/>
            </w:pPr>
            <w:r/>
            <w:r>
              <w:rPr>
                <w:sz w:val="18"/>
              </w:rPr>
              <w:t>0.35 (0.32–0.39)</w:t>
            </w:r>
          </w:p>
        </w:tc>
        <w:tc>
          <w:tcPr>
            <w:tcW w:type="dxa" w:w="1337"/>
          </w:tcPr>
          <w:p>
            <w:pPr>
              <w:spacing w:after="0" w:before="0"/>
            </w:pPr>
            <w:r/>
            <w:r>
              <w:rPr>
                <w:sz w:val="18"/>
              </w:rPr>
              <w:t>0.44–0.53</w:t>
            </w:r>
          </w:p>
        </w:tc>
        <w:tc>
          <w:tcPr>
            <w:tcW w:type="dxa" w:w="1337"/>
          </w:tcPr>
          <w:p>
            <w:pPr>
              <w:spacing w:after="0" w:before="0"/>
            </w:pPr>
            <w:r/>
            <w:r>
              <w:rPr>
                <w:sz w:val="18"/>
              </w:rPr>
              <w:t>minimum LDI; all seeds accepted</w:t>
            </w:r>
          </w:p>
        </w:tc>
      </w:tr>
      <w:tr>
        <w:tc>
          <w:tcPr>
            <w:tcW w:type="dxa" w:w="1337"/>
          </w:tcPr>
          <w:p>
            <w:pPr>
              <w:spacing w:after="0" w:before="0"/>
            </w:pPr>
            <w:r/>
            <w:r>
              <w:rPr>
                <w:sz w:val="18"/>
              </w:rPr>
            </w:r>
          </w:p>
        </w:tc>
        <w:tc>
          <w:tcPr>
            <w:tcW w:type="dxa" w:w="1337"/>
          </w:tcPr>
          <w:p>
            <w:pPr>
              <w:spacing w:after="0" w:before="0"/>
            </w:pPr>
            <w:r/>
            <w:r>
              <w:rPr>
                <w:sz w:val="18"/>
              </w:rPr>
              <w:t>1</w:t>
            </w:r>
          </w:p>
        </w:tc>
        <w:tc>
          <w:tcPr>
            <w:tcW w:type="dxa" w:w="1337"/>
          </w:tcPr>
          <w:p>
            <w:pPr>
              <w:spacing w:after="0" w:before="0"/>
            </w:pPr>
            <w:r/>
            <w:r>
              <w:rPr>
                <w:sz w:val="18"/>
              </w:rPr>
              <w:t>1.27 (0.95–1.82)</w:t>
            </w:r>
          </w:p>
        </w:tc>
        <w:tc>
          <w:tcPr>
            <w:tcW w:type="dxa" w:w="1337"/>
          </w:tcPr>
          <w:p>
            <w:pPr>
              <w:spacing w:after="0" w:before="0"/>
            </w:pPr>
            <w:r/>
            <w:r>
              <w:rPr>
                <w:sz w:val="18"/>
              </w:rPr>
              <w:t>2/3</w:t>
            </w:r>
          </w:p>
        </w:tc>
        <w:tc>
          <w:tcPr>
            <w:tcW w:type="dxa" w:w="1337"/>
          </w:tcPr>
          <w:p>
            <w:pPr>
              <w:spacing w:after="0" w:before="0"/>
            </w:pPr>
            <w:r/>
            <w:r>
              <w:rPr>
                <w:sz w:val="18"/>
              </w:rPr>
              <w:t>0.37 (0.27–0.52)</w:t>
            </w:r>
          </w:p>
        </w:tc>
        <w:tc>
          <w:tcPr>
            <w:tcW w:type="dxa" w:w="1337"/>
          </w:tcPr>
          <w:p>
            <w:pPr>
              <w:spacing w:after="0" w:before="0"/>
            </w:pPr>
            <w:r/>
            <w:r>
              <w:rPr>
                <w:sz w:val="18"/>
              </w:rPr>
              <w:t>0.38–0.41</w:t>
            </w:r>
          </w:p>
        </w:tc>
        <w:tc>
          <w:tcPr>
            <w:tcW w:type="dxa" w:w="1337"/>
          </w:tcPr>
          <w:p>
            <w:pPr>
              <w:spacing w:after="0" w:before="0"/>
            </w:pPr>
            <w:r/>
            <w:r>
              <w:rPr>
                <w:sz w:val="18"/>
              </w:rPr>
              <w:t>accepted</w:t>
            </w:r>
          </w:p>
        </w:tc>
      </w:tr>
      <w:tr>
        <w:tc>
          <w:tcPr>
            <w:tcW w:type="dxa" w:w="1337"/>
          </w:tcPr>
          <w:p>
            <w:pPr>
              <w:spacing w:after="0" w:before="0"/>
            </w:pPr>
            <w:r/>
            <w:r>
              <w:rPr>
                <w:sz w:val="18"/>
              </w:rPr>
            </w:r>
          </w:p>
        </w:tc>
        <w:tc>
          <w:tcPr>
            <w:tcW w:type="dxa" w:w="1337"/>
          </w:tcPr>
          <w:p>
            <w:pPr>
              <w:spacing w:after="0" w:before="0"/>
            </w:pPr>
            <w:r/>
            <w:r>
              <w:rPr>
                <w:sz w:val="18"/>
              </w:rPr>
              <w:t>2</w:t>
            </w:r>
          </w:p>
        </w:tc>
        <w:tc>
          <w:tcPr>
            <w:tcW w:type="dxa" w:w="1337"/>
          </w:tcPr>
          <w:p>
            <w:pPr>
              <w:spacing w:after="0" w:before="0"/>
            </w:pPr>
            <w:r/>
            <w:r>
              <w:rPr>
                <w:sz w:val="18"/>
              </w:rPr>
              <w:t>1.55 (1.32–1.73)</w:t>
            </w:r>
          </w:p>
        </w:tc>
        <w:tc>
          <w:tcPr>
            <w:tcW w:type="dxa" w:w="1337"/>
          </w:tcPr>
          <w:p>
            <w:pPr>
              <w:spacing w:after="0" w:before="0"/>
            </w:pPr>
            <w:r/>
            <w:r>
              <w:rPr>
                <w:sz w:val="18"/>
              </w:rPr>
              <w:t>2/3</w:t>
            </w:r>
          </w:p>
        </w:tc>
        <w:tc>
          <w:tcPr>
            <w:tcW w:type="dxa" w:w="1337"/>
          </w:tcPr>
          <w:p>
            <w:pPr>
              <w:spacing w:after="0" w:before="0"/>
            </w:pPr>
            <w:r/>
            <w:r>
              <w:rPr>
                <w:sz w:val="18"/>
              </w:rPr>
              <w:t>0.44 (0.39–0.50)</w:t>
            </w:r>
          </w:p>
        </w:tc>
        <w:tc>
          <w:tcPr>
            <w:tcW w:type="dxa" w:w="1337"/>
          </w:tcPr>
          <w:p>
            <w:pPr>
              <w:spacing w:after="0" w:before="0"/>
            </w:pPr>
            <w:r/>
            <w:r>
              <w:rPr>
                <w:sz w:val="18"/>
              </w:rPr>
              <w:t>0.59</w:t>
            </w:r>
          </w:p>
        </w:tc>
        <w:tc>
          <w:tcPr>
            <w:tcW w:type="dxa" w:w="1337"/>
          </w:tcPr>
          <w:p>
            <w:pPr>
              <w:spacing w:after="0" w:before="0"/>
            </w:pPr>
            <w:r/>
            <w:r>
              <w:rPr>
                <w:sz w:val="18"/>
              </w:rPr>
              <w:t>accepted</w:t>
            </w:r>
          </w:p>
        </w:tc>
      </w:tr>
      <w:tr>
        <w:tc>
          <w:tcPr>
            <w:tcW w:type="dxa" w:w="1337"/>
          </w:tcPr>
          <w:p>
            <w:pPr>
              <w:spacing w:after="0" w:before="0"/>
            </w:pPr>
            <w:r/>
            <w:r>
              <w:rPr>
                <w:sz w:val="18"/>
              </w:rPr>
            </w:r>
          </w:p>
        </w:tc>
        <w:tc>
          <w:tcPr>
            <w:tcW w:type="dxa" w:w="1337"/>
          </w:tcPr>
          <w:p>
            <w:pPr>
              <w:spacing w:after="0" w:before="0"/>
            </w:pPr>
            <w:r/>
            <w:r>
              <w:rPr>
                <w:sz w:val="18"/>
              </w:rPr>
              <w:t>5</w:t>
            </w:r>
          </w:p>
        </w:tc>
        <w:tc>
          <w:tcPr>
            <w:tcW w:type="dxa" w:w="1337"/>
          </w:tcPr>
          <w:p>
            <w:pPr>
              <w:spacing w:after="0" w:before="0"/>
            </w:pPr>
            <w:r/>
            <w:r>
              <w:rPr>
                <w:sz w:val="18"/>
              </w:rPr>
              <w:t>1.34 (0.33–2.19)</w:t>
            </w:r>
          </w:p>
        </w:tc>
        <w:tc>
          <w:tcPr>
            <w:tcW w:type="dxa" w:w="1337"/>
          </w:tcPr>
          <w:p>
            <w:pPr>
              <w:spacing w:after="0" w:before="0"/>
            </w:pPr>
            <w:r/>
            <w:r>
              <w:rPr>
                <w:sz w:val="18"/>
              </w:rPr>
              <w:t>2/3</w:t>
            </w:r>
          </w:p>
        </w:tc>
        <w:tc>
          <w:tcPr>
            <w:tcW w:type="dxa" w:w="1337"/>
          </w:tcPr>
          <w:p>
            <w:pPr>
              <w:spacing w:after="0" w:before="0"/>
            </w:pPr>
            <w:r/>
            <w:r>
              <w:rPr>
                <w:sz w:val="18"/>
              </w:rPr>
              <w:t>0.37 (0.09–0.64)</w:t>
            </w:r>
          </w:p>
        </w:tc>
        <w:tc>
          <w:tcPr>
            <w:tcW w:type="dxa" w:w="1337"/>
          </w:tcPr>
          <w:p>
            <w:pPr>
              <w:spacing w:after="0" w:before="0"/>
            </w:pPr>
            <w:r/>
            <w:r>
              <w:rPr>
                <w:sz w:val="18"/>
              </w:rPr>
              <w:t>0.13–0.90</w:t>
            </w:r>
          </w:p>
        </w:tc>
        <w:tc>
          <w:tcPr>
            <w:tcW w:type="dxa" w:w="1337"/>
          </w:tcPr>
          <w:p>
            <w:pPr>
              <w:spacing w:after="0" w:before="0"/>
            </w:pPr>
            <w:r/>
            <w:r>
              <w:rPr>
                <w:sz w:val="18"/>
              </w:rPr>
              <w:t>rebounding, seed-unstable; excluded by the safety axis</w:t>
            </w:r>
          </w:p>
        </w:tc>
      </w:tr>
      <w:tr>
        <w:tc>
          <w:tcPr>
            <w:tcW w:type="dxa" w:w="1337"/>
          </w:tcPr>
          <w:p>
            <w:pPr>
              <w:spacing w:after="0" w:before="0"/>
            </w:pPr>
            <w:r/>
            <w:r>
              <w:rPr>
                <w:sz w:val="18"/>
              </w:rPr>
              <w:t>Prostate (52)</w:t>
            </w:r>
          </w:p>
        </w:tc>
        <w:tc>
          <w:tcPr>
            <w:tcW w:type="dxa" w:w="1337"/>
          </w:tcPr>
          <w:p>
            <w:pPr>
              <w:spacing w:after="0" w:before="0"/>
            </w:pPr>
            <w:r/>
            <w:r>
              <w:rPr>
                <w:sz w:val="18"/>
              </w:rPr>
              <w:t>0</w:t>
            </w:r>
          </w:p>
        </w:tc>
        <w:tc>
          <w:tcPr>
            <w:tcW w:type="dxa" w:w="1337"/>
          </w:tcPr>
          <w:p>
            <w:pPr>
              <w:spacing w:after="0" w:before="0"/>
            </w:pPr>
            <w:r/>
            <w:r>
              <w:rPr>
                <w:sz w:val="18"/>
              </w:rPr>
              <w:t>2.04 ± 0.25</w:t>
            </w:r>
          </w:p>
        </w:tc>
        <w:tc>
          <w:tcPr>
            <w:tcW w:type="dxa" w:w="1337"/>
          </w:tcPr>
          <w:p>
            <w:pPr>
              <w:spacing w:after="0" w:before="0"/>
            </w:pPr>
            <w:r/>
            <w:r>
              <w:rPr>
                <w:sz w:val="18"/>
              </w:rPr>
              <w:t>0/3</w:t>
            </w:r>
          </w:p>
        </w:tc>
        <w:tc>
          <w:tcPr>
            <w:tcW w:type="dxa" w:w="1337"/>
          </w:tcPr>
          <w:p>
            <w:pPr>
              <w:spacing w:after="0" w:before="0"/>
            </w:pPr>
            <w:r/>
            <w:r>
              <w:rPr>
                <w:sz w:val="18"/>
              </w:rPr>
              <w:t>0.288 ± 0.034</w:t>
            </w:r>
          </w:p>
        </w:tc>
        <w:tc>
          <w:tcPr>
            <w:tcW w:type="dxa" w:w="1337"/>
          </w:tcPr>
          <w:p>
            <w:pPr>
              <w:spacing w:after="0" w:before="0"/>
            </w:pPr>
            <w:r/>
            <w:r>
              <w:rPr>
                <w:sz w:val="18"/>
              </w:rPr>
              <w:t>0.76</w:t>
            </w:r>
          </w:p>
        </w:tc>
        <w:tc>
          <w:tcPr>
            <w:tcW w:type="dxa" w:w="1337"/>
          </w:tcPr>
          <w:p>
            <w:pPr>
              <w:spacing w:after="0" w:before="0"/>
            </w:pPr>
            <w:r/>
            <w:r>
              <w:rPr>
                <w:sz w:val="18"/>
              </w:rPr>
              <w:t>baseline above gate</w:t>
            </w:r>
          </w:p>
        </w:tc>
      </w:tr>
      <w:tr>
        <w:tc>
          <w:tcPr>
            <w:tcW w:type="dxa" w:w="1337"/>
          </w:tcPr>
          <w:p>
            <w:pPr>
              <w:spacing w:after="0" w:before="0"/>
            </w:pPr>
            <w:r/>
            <w:r>
              <w:rPr>
                <w:sz w:val="18"/>
              </w:rPr>
            </w:r>
          </w:p>
        </w:tc>
        <w:tc>
          <w:tcPr>
            <w:tcW w:type="dxa" w:w="1337"/>
          </w:tcPr>
          <w:p>
            <w:pPr>
              <w:spacing w:after="0" w:before="0"/>
            </w:pPr>
            <w:r/>
            <w:r>
              <w:rPr>
                <w:sz w:val="18"/>
              </w:rPr>
              <w:t>0.5</w:t>
            </w:r>
          </w:p>
        </w:tc>
        <w:tc>
          <w:tcPr>
            <w:tcW w:type="dxa" w:w="1337"/>
          </w:tcPr>
          <w:p>
            <w:pPr>
              <w:spacing w:after="0" w:before="0"/>
            </w:pPr>
            <w:r/>
            <w:r>
              <w:rPr>
                <w:sz w:val="18"/>
              </w:rPr>
              <w:t>2.01</w:t>
            </w:r>
          </w:p>
        </w:tc>
        <w:tc>
          <w:tcPr>
            <w:tcW w:type="dxa" w:w="1337"/>
          </w:tcPr>
          <w:p>
            <w:pPr>
              <w:spacing w:after="0" w:before="0"/>
            </w:pPr>
            <w:r/>
            <w:r>
              <w:rPr>
                <w:sz w:val="18"/>
              </w:rPr>
              <w:t>0/3</w:t>
            </w:r>
          </w:p>
        </w:tc>
        <w:tc>
          <w:tcPr>
            <w:tcW w:type="dxa" w:w="1337"/>
          </w:tcPr>
          <w:p>
            <w:pPr>
              <w:spacing w:after="0" w:before="0"/>
            </w:pPr>
            <w:r/>
            <w:r>
              <w:rPr>
                <w:sz w:val="18"/>
              </w:rPr>
              <w:t>0.296</w:t>
            </w:r>
          </w:p>
        </w:tc>
        <w:tc>
          <w:tcPr>
            <w:tcW w:type="dxa" w:w="1337"/>
          </w:tcPr>
          <w:p>
            <w:pPr>
              <w:spacing w:after="0" w:before="0"/>
            </w:pPr>
            <w:r/>
            <w:r>
              <w:rPr>
                <w:sz w:val="18"/>
              </w:rPr>
              <w:t>0.78</w:t>
            </w:r>
          </w:p>
        </w:tc>
        <w:tc>
          <w:tcPr>
            <w:tcW w:type="dxa" w:w="1337"/>
          </w:tcPr>
          <w:p>
            <w:pPr>
              <w:spacing w:after="0" w:before="0"/>
            </w:pPr>
            <w:r/>
            <w:r>
              <w:rPr>
                <w:sz w:val="18"/>
              </w:rPr>
            </w:r>
          </w:p>
        </w:tc>
      </w:tr>
      <w:tr>
        <w:tc>
          <w:tcPr>
            <w:tcW w:type="dxa" w:w="1337"/>
          </w:tcPr>
          <w:p>
            <w:pPr>
              <w:spacing w:after="0" w:before="0"/>
            </w:pPr>
            <w:r/>
            <w:r>
              <w:rPr>
                <w:sz w:val="18"/>
              </w:rPr>
            </w:r>
          </w:p>
        </w:tc>
        <w:tc>
          <w:tcPr>
            <w:tcW w:type="dxa" w:w="1337"/>
          </w:tcPr>
          <w:p>
            <w:pPr>
              <w:spacing w:after="0" w:before="0"/>
            </w:pPr>
            <w:r/>
            <w:r>
              <w:rPr>
                <w:sz w:val="18"/>
              </w:rPr>
              <w:t>1.0</w:t>
            </w:r>
          </w:p>
        </w:tc>
        <w:tc>
          <w:tcPr>
            <w:tcW w:type="dxa" w:w="1337"/>
          </w:tcPr>
          <w:p>
            <w:pPr>
              <w:spacing w:after="0" w:before="0"/>
            </w:pPr>
            <w:r/>
            <w:r>
              <w:rPr>
                <w:sz w:val="18"/>
              </w:rPr>
              <w:t>1.51</w:t>
            </w:r>
          </w:p>
        </w:tc>
        <w:tc>
          <w:tcPr>
            <w:tcW w:type="dxa" w:w="1337"/>
          </w:tcPr>
          <w:p>
            <w:pPr>
              <w:spacing w:after="0" w:before="0"/>
            </w:pPr>
            <w:r/>
            <w:r>
              <w:rPr>
                <w:sz w:val="18"/>
              </w:rPr>
              <w:t>2/3</w:t>
            </w:r>
          </w:p>
        </w:tc>
        <w:tc>
          <w:tcPr>
            <w:tcW w:type="dxa" w:w="1337"/>
          </w:tcPr>
          <w:p>
            <w:pPr>
              <w:spacing w:after="0" w:before="0"/>
            </w:pPr>
            <w:r/>
            <w:r>
              <w:rPr>
                <w:sz w:val="18"/>
              </w:rPr>
              <w:t>0.229</w:t>
            </w:r>
          </w:p>
        </w:tc>
        <w:tc>
          <w:tcPr>
            <w:tcW w:type="dxa" w:w="1337"/>
          </w:tcPr>
          <w:p>
            <w:pPr>
              <w:spacing w:after="0" w:before="0"/>
            </w:pPr>
            <w:r/>
            <w:r>
              <w:rPr>
                <w:sz w:val="18"/>
              </w:rPr>
              <w:t>0.60 (0.56–0.67)</w:t>
            </w:r>
          </w:p>
        </w:tc>
        <w:tc>
          <w:tcPr>
            <w:tcW w:type="dxa" w:w="1337"/>
          </w:tcPr>
          <w:p>
            <w:pPr>
              <w:spacing w:after="0" w:before="0"/>
            </w:pPr>
            <w:r/>
            <w:r>
              <w:rPr>
                <w:sz w:val="18"/>
              </w:rPr>
              <w:t>accepted; re-run 1.46 ± 0.86 (R = 0.58)</w:t>
            </w:r>
          </w:p>
        </w:tc>
      </w:tr>
      <w:tr>
        <w:tc>
          <w:tcPr>
            <w:tcW w:type="dxa" w:w="1337"/>
          </w:tcPr>
          <w:p>
            <w:pPr>
              <w:spacing w:after="0" w:before="0"/>
            </w:pPr>
            <w:r/>
            <w:r>
              <w:rPr>
                <w:sz w:val="18"/>
              </w:rPr>
            </w:r>
          </w:p>
        </w:tc>
        <w:tc>
          <w:tcPr>
            <w:tcW w:type="dxa" w:w="1337"/>
          </w:tcPr>
          <w:p>
            <w:pPr>
              <w:spacing w:after="0" w:before="0"/>
            </w:pPr>
            <w:r/>
            <w:r>
              <w:rPr>
                <w:sz w:val="18"/>
              </w:rPr>
              <w:t>2.0</w:t>
            </w:r>
          </w:p>
        </w:tc>
        <w:tc>
          <w:tcPr>
            <w:tcW w:type="dxa" w:w="1337"/>
          </w:tcPr>
          <w:p>
            <w:pPr>
              <w:spacing w:after="0" w:before="0"/>
            </w:pPr>
            <w:r/>
            <w:r>
              <w:rPr>
                <w:sz w:val="18"/>
              </w:rPr>
              <w:t>1.73</w:t>
            </w:r>
          </w:p>
        </w:tc>
        <w:tc>
          <w:tcPr>
            <w:tcW w:type="dxa" w:w="1337"/>
          </w:tcPr>
          <w:p>
            <w:pPr>
              <w:spacing w:after="0" w:before="0"/>
            </w:pPr>
            <w:r/>
            <w:r>
              <w:rPr>
                <w:sz w:val="18"/>
              </w:rPr>
              <w:t>0/3</w:t>
            </w:r>
          </w:p>
        </w:tc>
        <w:tc>
          <w:tcPr>
            <w:tcW w:type="dxa" w:w="1337"/>
          </w:tcPr>
          <w:p>
            <w:pPr>
              <w:spacing w:after="0" w:before="0"/>
            </w:pPr>
            <w:r/>
            <w:r>
              <w:rPr>
                <w:sz w:val="18"/>
              </w:rPr>
              <w:t>0.262</w:t>
            </w:r>
          </w:p>
        </w:tc>
        <w:tc>
          <w:tcPr>
            <w:tcW w:type="dxa" w:w="1337"/>
          </w:tcPr>
          <w:p>
            <w:pPr>
              <w:spacing w:after="0" w:before="0"/>
            </w:pPr>
            <w:r/>
            <w:r>
              <w:rPr>
                <w:sz w:val="18"/>
              </w:rPr>
              <w:t>0.69</w:t>
            </w:r>
          </w:p>
        </w:tc>
        <w:tc>
          <w:tcPr>
            <w:tcW w:type="dxa" w:w="1337"/>
          </w:tcPr>
          <w:p>
            <w:pPr>
              <w:spacing w:after="0" w:before="0"/>
            </w:pPr>
            <w:r/>
            <w:r>
              <w:rPr>
                <w:sz w:val="18"/>
              </w:rPr>
            </w:r>
          </w:p>
        </w:tc>
      </w:tr>
      <w:tr>
        <w:tc>
          <w:tcPr>
            <w:tcW w:type="dxa" w:w="1337"/>
          </w:tcPr>
          <w:p>
            <w:pPr>
              <w:spacing w:after="0" w:before="0"/>
            </w:pPr>
            <w:r/>
            <w:r>
              <w:rPr>
                <w:sz w:val="18"/>
              </w:rPr>
            </w:r>
          </w:p>
        </w:tc>
        <w:tc>
          <w:tcPr>
            <w:tcW w:type="dxa" w:w="1337"/>
          </w:tcPr>
          <w:p>
            <w:pPr>
              <w:spacing w:after="0" w:before="0"/>
            </w:pPr>
            <w:r/>
            <w:r>
              <w:rPr>
                <w:sz w:val="18"/>
              </w:rPr>
              <w:t>5.0</w:t>
            </w:r>
          </w:p>
        </w:tc>
        <w:tc>
          <w:tcPr>
            <w:tcW w:type="dxa" w:w="1337"/>
          </w:tcPr>
          <w:p>
            <w:pPr>
              <w:spacing w:after="0" w:before="0"/>
            </w:pPr>
            <w:r/>
            <w:r>
              <w:rPr>
                <w:sz w:val="18"/>
              </w:rPr>
              <w:t>2.17</w:t>
            </w:r>
          </w:p>
        </w:tc>
        <w:tc>
          <w:tcPr>
            <w:tcW w:type="dxa" w:w="1337"/>
          </w:tcPr>
          <w:p>
            <w:pPr>
              <w:spacing w:after="0" w:before="0"/>
            </w:pPr>
            <w:r/>
            <w:r>
              <w:rPr>
                <w:sz w:val="18"/>
              </w:rPr>
              <w:t>0/3</w:t>
            </w:r>
          </w:p>
        </w:tc>
        <w:tc>
          <w:tcPr>
            <w:tcW w:type="dxa" w:w="1337"/>
          </w:tcPr>
          <w:p>
            <w:pPr>
              <w:spacing w:after="0" w:before="0"/>
            </w:pPr>
            <w:r/>
            <w:r>
              <w:rPr>
                <w:sz w:val="18"/>
              </w:rPr>
              <w:t>0.328</w:t>
            </w:r>
          </w:p>
        </w:tc>
        <w:tc>
          <w:tcPr>
            <w:tcW w:type="dxa" w:w="1337"/>
          </w:tcPr>
          <w:p>
            <w:pPr>
              <w:spacing w:after="0" w:before="0"/>
            </w:pPr>
            <w:r/>
            <w:r>
              <w:rPr>
                <w:sz w:val="18"/>
              </w:rPr>
              <w:t>0.86</w:t>
            </w:r>
          </w:p>
        </w:tc>
        <w:tc>
          <w:tcPr>
            <w:tcW w:type="dxa" w:w="1337"/>
          </w:tcPr>
          <w:p>
            <w:pPr>
              <w:spacing w:after="0" w:before="0"/>
            </w:pPr>
            <w:r/>
            <w:r>
              <w:rPr>
                <w:sz w:val="18"/>
              </w:rPr>
              <w:t>gate rejects the numerically best endpoint</w:t>
            </w:r>
          </w:p>
        </w:tc>
      </w:tr>
    </w:tbl>
    <w:p/>
    <w:p>
      <w:pPr>
        <w:spacing w:before="200"/>
      </w:pPr>
      <w:r>
        <w:rPr>
          <w:b/>
        </w:rPr>
        <w:t>Table 3. Head-to-head comparison of deconfounding methods (three seeds).</w:t>
      </w:r>
      <w:r>
        <w:t xml:space="preserve"> Two scale-matched simulations</w:t>
      </w:r>
    </w:p>
    <w:p>
      <w:r>
        <w:t>differing only in the nature of the between-group signal: cohort A carries a strong shared target program</w:t>
      </w:r>
    </w:p>
    <w:p>
      <w:r>
        <w:t>(safety arm: repair must not destroy a real, transferable signal); cohort C carries only an identity</w:t>
      </w:r>
    </w:p>
    <w:p>
      <w:r>
        <w:t>fingerprint confounded with the label (leakage arm: repair must remove it). Columns give LDI, τ_LDO and R</w:t>
      </w:r>
    </w:p>
    <w:p>
      <w:r>
        <w:t>for each arm. Adversarial repair (MRP) removes the cohort-C confound while leaving cohort-A signal at the</w:t>
      </w:r>
    </w:p>
    <w:p>
      <w:r>
        <w:t>ceiling; Group-DRO reduces the in-sample gap but leaves or increases cross-group label dependence; IRM</w:t>
      </w:r>
    </w:p>
    <w:p>
      <w:r>
        <w:t>amplifies the group fingerprint. Cohort C's baseline LDI is +0.345, already below the 1.645 gate, so repair moves the index from a small positive to a small negative value: the confound is removed and the sign flips, but this is not a gate crossing and cannot be read as one, because no gate separated the two states.</w:t>
      </w:r>
    </w:p>
    <w:p>
      <w:pPr>
        <w:spacing w:before="200"/>
      </w:pPr>
      <w:r>
        <w:rPr>
          <w:b/>
        </w:rPr>
        <w:t>Table 4. Cross-domain map for identity leakage.</w:t>
      </w:r>
      <w:r>
        <w:t xml:space="preserve"> The grouping variable is the identity to be removed; the</w:t>
      </w:r>
    </w:p>
    <w:p>
      <w:r>
        <w:t>observation unit is what the model consumes. The final column states the level of evidence for each row:</w:t>
      </w:r>
    </w:p>
    <w:p>
      <w:r>
        <w:t>“validated” means the complete loop of repair, acceptance, endpoint, planted controls and domain readout was</w:t>
      </w:r>
    </w:p>
    <w:p>
      <w:r>
        <w:t>run; “audited” means the instrument and the two decision boundaries were tested on real data in that domain</w:t>
      </w:r>
    </w:p>
    <w:p>
      <w:r>
        <w:t>but without endpoint, planted control or domain readout; “not tested” means the row is a structural</w:t>
      </w:r>
    </w:p>
    <w:p>
      <w:r>
        <w:t>mapping of the same objects, stating conditions under which the protocol would apply, with no experiment</w:t>
      </w:r>
    </w:p>
    <w:p>
      <w:r>
        <w:t>performed. Six of the nine rows are in the last category and carry no claim of transfer.</w:t>
      </w:r>
    </w:p>
    <w:p>
      <w:pPr>
        <w:spacing w:before="200"/>
      </w:pPr>
      <w:r>
        <w:rPr>
          <w:b/>
        </w:rPr>
        <w:t>Table 5. Test of the framework's predictions in two non-biological domains.</w:t>
      </w:r>
      <w:r>
        <w:t xml:space="preserve"> Both cohorts were audited</w:t>
      </w:r>
    </w:p>
    <w:p>
      <w:r>
        <w:t>with the instrument of the validation domain; the encoder was a multilayer-perceptron autoencoder with a</w:t>
      </w:r>
    </w:p>
    <w:p>
      <w:r>
        <w:t>gradient-reversal adversary rather than the graph encoder used in the validation domain. κ is the</w:t>
      </w:r>
    </w:p>
    <w:p>
      <w:r>
        <w:t>normalized mutual information between group and label over all observations. The “dual gate predicted”</w:t>
      </w:r>
    </w:p>
    <w:p>
      <w:r>
        <w:t>column is the prediction made from τ_base/σ̂ before any dose was chosen, and “accepted cells” is what was</w:t>
      </w:r>
    </w:p>
    <w:p>
      <w:r>
        <w:t>observed out of the 12 dosed seed × dose cells (λ &gt; 0); λ = 0 is the unrepaired baseline, not a repair point,</w:t>
      </w:r>
    </w:p>
    <w:p>
      <w:r>
        <w:t>and is excluded from the count. Identity lift is reported as λ = 0 → the most aggressive dose that</w:t>
      </w:r>
    </w:p>
    <w:p>
      <w:r>
        <w:t>reduced it. “τ_LGO retained” is the minimum over doses relative to baseline. “Gap reduction” is the fall in</w:t>
      </w:r>
    </w:p>
    <w:p>
      <w:r>
        <w:t>τ_in − τ_LOO at the best dose. These are tests of predictions, not demonstrations that repair is useful in</w:t>
      </w:r>
    </w:p>
    <w:p>
      <w:r>
        <w:t>these domains.</w:t>
      </w:r>
    </w:p>
    <w:p>
      <w:pPr>
        <w:pStyle w:val="Heading1"/>
      </w:pPr>
      <w:r>
        <w:rPr>
          <w:rFonts w:ascii="Times New Roman" w:hAnsi="Times New Roman"/>
          <w:color w:val="000000"/>
        </w:rPr>
        <w:t>DATA AND CODE AVAILABILITY</w:t>
      </w:r>
    </w:p>
    <w:p>
      <w:r>
        <w:t xml:space="preserve">The external Visium cohorts (GSE268014[17] and GSE278936[19]) and the GeoMx cohort (GSE316098[43]) are publicly available via GEO. The two cross-domain cohorts (UCI HAR[24] and the UCI Gas Sensor Array Drift[25]) are publicly available from the UCI Machine Learning Repository[26] and are re-downloaded, not redistributed, by the released scripts. Simulation, training, audit, and analysis code, with seeds and manifests (including the domain-agnostic cohort simulator, the cross-domain runner </w:t>
      </w:r>
      <w:r>
        <w:rPr>
          <w:rFonts w:ascii="Consolas" w:hAnsi="Consolas"/>
        </w:rPr>
        <w:t>exp_crossdomain_audit.py</w:t>
      </w:r>
      <w:r>
        <w:t xml:space="preserve">, the unit-resolution ladder </w:t>
      </w:r>
      <w:r>
        <w:rPr>
          <w:rFonts w:ascii="Consolas" w:hAnsi="Consolas"/>
        </w:rPr>
        <w:t>exp_unit_ladder_cervical.py</w:t>
      </w:r>
      <w:r>
        <w:t xml:space="preserve"> and the within-group-label control </w:t>
      </w:r>
      <w:r>
        <w:rPr>
          <w:rFonts w:ascii="Consolas" w:hAnsi="Consolas"/>
        </w:rPr>
        <w:t>exp_within_group_label_geomx.py</w:t>
      </w:r>
      <w:r>
        <w:t>), is released at https://github.com/WorldBMW/cervix-st-multimodal, pinned to the tagged release https://github.com/WorldBMW/cervix-st-multimodal/releases/tag/v1.0.0, and deposited in Zenodo before publication, whose DOI is reported in the version of record; the tagged release is the accessible interim location. The tag and the archive are cut from the same commit, so the archived state matches the reported numbers exactly. The cervical cohort is as described in the companion study.[1]</w:t>
      </w:r>
    </w:p>
    <w:p>
      <w:pPr>
        <w:pStyle w:val="Heading1"/>
      </w:pPr>
      <w:r>
        <w:rPr>
          <w:rFonts w:ascii="Times New Roman" w:hAnsi="Times New Roman"/>
          <w:color w:val="000000"/>
        </w:rPr>
        <w:t>ACKNOWLEDGMENTS</w:t>
      </w:r>
    </w:p>
    <w:p>
      <w:r>
        <w:t>We acknowledge the investigators and participants responsible for the public datasets.</w:t>
      </w:r>
    </w:p>
    <w:p>
      <w:pPr>
        <w:pStyle w:val="Heading1"/>
      </w:pPr>
      <w:r>
        <w:rPr>
          <w:rFonts w:ascii="Times New Roman" w:hAnsi="Times New Roman"/>
          <w:color w:val="000000"/>
        </w:rPr>
        <w:t>AUTHOR CONTRIBUTIONS</w:t>
      </w:r>
    </w:p>
    <w:p>
      <w:r>
        <w:t>M.B.: conceptualization, methodology, software, experiments, writing (original draft). Z.G.: data curation, validation. Y.Z.: investigation, review. Z.N.: resources, review. L.G.: supervision, project administration, writing (review and editing). All authors read and approved the final manuscript.</w:t>
      </w:r>
    </w:p>
    <w:p>
      <w:pPr>
        <w:pStyle w:val="Heading1"/>
      </w:pPr>
      <w:r>
        <w:rPr>
          <w:rFonts w:ascii="Times New Roman" w:hAnsi="Times New Roman"/>
          <w:color w:val="000000"/>
        </w:rPr>
        <w:t>DECLARATION OF INTERESTS</w:t>
      </w:r>
    </w:p>
    <w:p>
      <w:r>
        <w:t>The authors declare no competing interests.</w:t>
      </w:r>
    </w:p>
    <w:p>
      <w:pPr>
        <w:pStyle w:val="Heading1"/>
      </w:pPr>
      <w:r>
        <w:rPr>
          <w:rFonts w:ascii="Times New Roman" w:hAnsi="Times New Roman"/>
          <w:color w:val="000000"/>
        </w:rPr>
        <w:t>DECLARATION OF GENERATIVE AI USE</w:t>
      </w:r>
    </w:p>
    <w:p>
      <w:r>
        <w:t>During the preparation of this work the authors used two AI-assisted tools. Trae (Z.ai GLM) was used for drafting, revising, and grammar and syntax checking of text and code. OpenAI Codex was used for editorial review, checking source evidence, journal-specific restructuring, and preparation of submission files. Neither tool generated core algorithmic logic or experimental results; all scientific content, analyses, and conclusions were produced and verified by the authors. All content was reviewed, verified, and edited by the authors, who take full responsibility for the manuscript.</w:t>
      </w:r>
    </w:p>
    <w:p>
      <w:pPr>
        <w:pStyle w:val="Heading1"/>
      </w:pPr>
      <w:r>
        <w:rPr>
          <w:rFonts w:ascii="Times New Roman" w:hAnsi="Times New Roman"/>
          <w:color w:val="000000"/>
        </w:rPr>
        <w:t>SUPPLEMENTAL INFORMATION</w:t>
      </w:r>
    </w:p>
    <w:p>
      <w:pPr>
        <w:spacing w:before="200"/>
      </w:pPr>
      <w:r>
        <w:rPr>
          <w:b/>
        </w:rPr>
        <w:t>Table S1.</w:t>
      </w:r>
      <w:r>
        <w:t xml:space="preserve"> Weak-signal arm: baseline detectability and the λ = 0.5 preconditioning effect (three seeds).</w:t>
      </w:r>
    </w:p>
    <w:p>
      <w:pPr>
        <w:spacing w:before="200"/>
      </w:pPr>
      <w:r>
        <w:rPr>
          <w:b/>
        </w:rPr>
        <w:t>Table S2.</w:t>
      </w:r>
      <w:r>
        <w:t xml:space="preserve"> Identity-confounding arm across stability variants: LDI non-blindness (45 runs) and partial fingerprint clearance.</w:t>
      </w:r>
    </w:p>
    <w:p>
      <w:pPr>
        <w:spacing w:before="200"/>
      </w:pPr>
      <w:r>
        <w:rPr>
          <w:b/>
        </w:rPr>
        <w:t>Table S3.</w:t>
      </w:r>
      <w:r>
        <w:t xml:space="preserve"> Cervical cohort dose–response, stability variant: bistability across seeds (LDI ranges; retention 27–50% at high-dose below-gate runs).</w:t>
      </w:r>
    </w:p>
    <w:p>
      <w:pPr>
        <w:spacing w:before="200"/>
      </w:pPr>
      <w:r>
        <w:rPr>
          <w:b/>
        </w:rPr>
        <w:t>Table S4.</w:t>
      </w:r>
      <w:r>
        <w:t xml:space="preserve"> External cohort: independent non-hardened replication and permutation-depth recheck (B = 2,000 → 10,000; 0 of 15 external-cohort runs changed gate decision; σ̂ change ≤ 4.4%). This recheck concerns permutation depth only; dose-grid drift of σ̂ is a separate quantity and is checked in Table S14.</w:t>
      </w:r>
    </w:p>
    <w:p>
      <w:pPr>
        <w:spacing w:before="200"/>
      </w:pPr>
      <w:r>
        <w:rPr>
          <w:b/>
        </w:rPr>
        <w:t>Table S5.</w:t>
      </w:r>
      <w:r>
        <w:t xml:space="preserve"> GCN backbone: safety (15/15 at ceiling), non-blindness (15/15), external-cohort dose–response.</w:t>
      </w:r>
    </w:p>
    <w:p>
      <w:pPr>
        <w:spacing w:before="200"/>
      </w:pPr>
      <w:r>
        <w:rPr>
          <w:b/>
        </w:rPr>
        <w:t>Table S6.</w:t>
      </w:r>
      <w:r>
        <w:t xml:space="preserve"> Boundary robustness: five seeds at n ∈ {16, 32} (both signals); boundary placement unchanged; signal 1.0: worst repair-dose cell mean 0.56 at n = 16 (damaged) versus 0.90 at n = 32 (intact; boundary in (16, 32]); signal 0.3: 0.16 at n = 16, 0.84 at n = 32 (both damaged; boundary in (32, 64]).</w:t>
      </w:r>
    </w:p>
    <w:p>
      <w:pPr>
        <w:spacing w:before="200"/>
      </w:pPr>
      <w:r>
        <w:rPr>
          <w:b/>
        </w:rPr>
        <w:t>Table S7.</w:t>
      </w:r>
      <w:r>
        <w:t xml:space="preserve"> Gene-direction readout, multi-seed strict pairs: per-seed enrichment of the surviving HPV direction.</w:t>
      </w:r>
    </w:p>
    <w:p>
      <w:pPr>
        <w:spacing w:before="200"/>
      </w:pPr>
      <w:r>
        <w:rPr>
          <w:b/>
        </w:rPr>
        <w:t>Table S8.</w:t>
      </w:r>
      <w:r>
        <w:t xml:space="preserve"> Per-seed phase-grid values for all panels (source data).</w:t>
      </w:r>
    </w:p>
    <w:p>
      <w:pPr>
        <w:spacing w:before="200"/>
      </w:pPr>
      <w:r>
        <w:rPr>
          <w:b/>
        </w:rPr>
        <w:t>Table S9.</w:t>
      </w:r>
      <w:r>
        <w:t xml:space="preserve"> Downstream endpoint under repair: leave-one-donor-out HPV AUROC on the head-and-neck cohort, per seed and dose (baseline 0.906 versus 0.766–0.813 under repair).</w:t>
      </w:r>
    </w:p>
    <w:p>
      <w:pPr>
        <w:spacing w:before="200"/>
      </w:pPr>
      <w:r>
        <w:rPr>
          <w:b/>
        </w:rPr>
        <w:t>Table S10.</w:t>
      </w:r>
      <w:r>
        <w:t xml:space="preserve"> Real-cohort head-to-head comparison on the prostate cohort (GSE278936, 52 patients, three seeds): LDI and τ_LDO for Group-DRO, IRM, and the adversarial repair under a common encoder and dose schedule.</w:t>
      </w:r>
    </w:p>
    <w:p>
      <w:pPr>
        <w:spacing w:before="200"/>
      </w:pPr>
      <w:r>
        <w:rPr>
          <w:b/>
        </w:rPr>
        <w:t>Table S11.</w:t>
      </w:r>
      <w:r>
        <w:t xml:space="preserve"> Downstream endpoints on the cervical and prostate cohorts: leave-one-donor-out AUROC by dose, with in-sample values for reference.</w:t>
      </w:r>
    </w:p>
    <w:p>
      <w:pPr>
        <w:spacing w:before="200"/>
      </w:pPr>
      <w:r>
        <w:rPr>
          <w:b/>
        </w:rPr>
        <w:t>Table S12. Backbone control in the validation domain.</w:t>
      </w:r>
      <w:r>
        <w:t xml:space="preserve"> Two simulated donor cohorts of the validation domain (32 donors, 800 units each, 3,000 genes; arm A: program amplitude 2.5, identity offset 0.3, shared direction; arm C: amplitude 1.2, offset 0.5, spurious direction), three seeds each, dose grid λ ∈ {0, 0.5, 1, 2, 5}, 150 epochs, identical decoder, adversary, gradient-reversal schedule and audit instrument. Only the encoder differs: two-layer graph attention over the unit-level k-nearest-neighbour graph (k = 6) versus a two-layer perceptron of the same widths that performs no message passing, which is the encoder family used in the cross-domain audit. τ_base/σ̂ is computed at λ = 0, before any repair is attempted, and is compared against the Proposition 1 threshold of 2.35 for a retained fraction of c = 0.7. "Accepted cells" counts dosed (λ &gt; 0) seed × dose cells passing both gates: leakage (LDI &lt; 1.645) and fidelity (τ_LDO ≥ 0.7 · τ_base); λ = 0 is the unrepaired baseline and is not a repair point. The two backbones agree on the prediction and on the outcome in both arms.</w:t>
      </w:r>
    </w:p>
    <w:p>
      <w:pPr>
        <w:spacing w:before="200"/>
      </w:pPr>
      <w:r>
        <w:rPr>
          <w:b/>
        </w:rPr>
        <w:t>Table S13.</w:t>
      </w:r>
      <w:r>
        <w:t xml:space="preserve"> Cross-domain sibling-unit inflation, per seed and per dose: τ_LOO, τ_LGO, their difference Δ, LDI, and the dual-gate verdict for all 30 seed × dose cells of the two non-biological cohorts.</w:t>
      </w:r>
    </w:p>
    <w:p>
      <w:pPr>
        <w:spacing w:before="200"/>
      </w:pPr>
      <w:r>
        <w:rPr>
          <w:b/>
        </w:rPr>
        <w:t>Table S14.</w:t>
      </w:r>
      <w:r>
        <w:t xml:space="preserve"> Dose-grid drift of σ̂ and the gate-robustness check that supports the pre-computability claim: for every external-cohort cell, the run's own σ̂, the LDI computed against it, the LDI recomputed against the baseline σ̂, whether the gate decision changes, and the movement of τ_LOO alongside that of σ̂.</w:t>
      </w:r>
    </w:p>
    <w:p>
      <w:pPr>
        <w:spacing w:before="200"/>
      </w:pPr>
      <w:r>
        <w:rPr>
          <w:b/>
        </w:rPr>
        <w:t>Table S15.</w:t>
      </w:r>
      <w:r>
        <w:t xml:space="preserve"> Sensitivity of the feasibility threshold to the retained fraction c: threshold 1.645/c for c ∈ {0.5, 0.6, 0.7, 0.8, 0.9}, and for each cohort whether the dual gate is predicted feasible at that value, together with the realized retention τ_LDO/τ_base observed at leakage-passing cells.</w:t>
      </w:r>
    </w:p>
    <w:p>
      <w:pPr>
        <w:spacing w:before="200"/>
      </w:pPr>
      <w:r>
        <w:rPr>
          <w:b/>
        </w:rPr>
        <w:t>Table S16.</w:t>
      </w:r>
      <w:r>
        <w:t xml:space="preserve"> Unit-resolution control: redefining the unit does not open a sibling channel. The cervical cohort, the spot embedding, the grouping variable and the donor-level severity label are held fixed and only the definition of the unit changes: at K = 1 the unit is the whole section mean-pooled over its spots, so every donor contributes one unit and leave-one-unit-out is identical to leave-one-group-out, making the sibling inflation zero by construction; at K = 3 and K = 8 the spots of each section are partitioned at random into K blocks and each block is mean-pooled into a unit, so each donor contributes K sibling units sharing its label. Reported per K, dose and seed: τ_LOO, τ_LGO, their difference Δ, σ̂, LDI, and the group-identity accuracy and lift of a classifier fitted on the same embedding, which is what shows that the absence of a channel is not explained by the embedding having lost donor identity. σ̂ is the null scale at the declared resolution and falls as the number of units rises, so LDI is comparable across cohorts at a fixed resolution and not across resolutions of the same data.</w:t>
      </w:r>
    </w:p>
    <w:p>
      <w:pPr>
        <w:spacing w:before="200"/>
      </w:pPr>
      <w:r>
        <w:rPr>
          <w:b/>
        </w:rPr>
        <w:t>Table S17.</w:t>
      </w:r>
      <w:r>
        <w:t xml:space="preserve"> Within-group label variation: the same data, the same grouping, three labels. GSE316098[43] is a NanoString GeoMx cohort of HPV-associated endocervical adenocarcinoma: 186 regions of interest from 7 cases, each ROI carrying its own pathology annotation, so the label varies within a group rather than being a donor-level value broadcast to every unit. Counts were converted to CPM, log1p-transformed and restricted to the 2,000 most variable genes. The feature matrix and the grouping variable are held fixed and only the label changes, along a gradient of group-label coupling: patient risk stratum (κ = 0.225), Silva invasion pattern annotated per ROI (κ = 0.273), and ROI cell type, epithelium versus stroma, balanced within every case and therefore orthogonal to the group (κ = 0.000). At λ = 0 the three arms share one embedding, so encoded identity is identical rather than merely comparable across arms (group-identity lift 6.55x chance in all three), which is what makes this a cleaner test of boundary I than the cross-domain comparison, where identifiability was matched only approximately. Reported per arm, dose and seed: τ_LOO, τ_LGO, their difference Δ, σ̂, LDI, R, the retention of τ_LGO and τ_LOO relative to baseline, group-identity lift, and the verdict on the leakage axis and on both axes. Baseline Δ was +0.0075, +0.3736 and +0.3955 on the three arms and the per-cell distributions do not overlap; τ_base/σ̂ was 8.49, 9.34 and 10.39 against the 2.35 threshold, the dual gate was predicted empty on all three arms, and 0 of 12 dosed cells passed it on each. cell type is a nominal label, so the sign of its τ depends on the arbitrary epithelium/stroma coding and the magnitude is the interpretable quantity.</w:t>
      </w:r>
    </w:p>
    <w:p>
      <w:pPr>
        <w:pStyle w:val="Heading1"/>
      </w:pPr>
      <w:r>
        <w:rPr>
          <w:rFonts w:ascii="Times New Roman" w:hAnsi="Times New Roman"/>
          <w:color w:val="000000"/>
        </w:rPr>
        <w:t>REFERENCES</w:t>
      </w:r>
    </w:p>
    <w:p>
      <w:pPr>
        <w:ind w:left="432" w:hanging="432"/>
      </w:pPr>
      <w:r>
        <w:t>1. Bai, M. et al. A calibrated label-dependence audit for group-structured models identifies block leakage in cervical neoplasia cohorts. Companion manuscript (related submission); the cervical cohort definition is restated in Experimental Procedures and every number in this paper was produced here from the public accessions. Interim access: https://github.com/WorldBMW/cervix-st-multimodal/releases/tag/v1.0.0.</w:t>
      </w:r>
    </w:p>
    <w:p>
      <w:pPr>
        <w:ind w:left="432" w:hanging="432"/>
      </w:pPr>
      <w:r>
        <w:t>2. Kaufman, S., Rosset, S., Perlich, C., and Stitelman, O. Leakage in data mining: formulation, detection, and avoidance. ACM Trans. Knowl. Discov. Data 6, 1–21 (2012).</w:t>
      </w:r>
    </w:p>
    <w:p>
      <w:pPr>
        <w:ind w:left="432" w:hanging="432"/>
      </w:pPr>
      <w:r>
        <w:t>3. Ganin, Y., and Lempitsky, V. Unsupervised domain adaptation by backpropagation. In Proceedings of the 32nd International Conference on Machine Learning, 1180–1189 (2015).</w:t>
      </w:r>
    </w:p>
    <w:p>
      <w:pPr>
        <w:ind w:left="432" w:hanging="432"/>
      </w:pPr>
      <w:r>
        <w:t>4. Ganin, Y. et al. Domain-adversarial training of neural networks. J. Mach. Learn. Res. 17, 1–35 (2016).</w:t>
      </w:r>
    </w:p>
    <w:p>
      <w:pPr>
        <w:ind w:left="432" w:hanging="432"/>
      </w:pPr>
      <w:r>
        <w:t>5. Geirhos, R. et al. Shortcut learning in deep neural networks. Nat. Mach. Intell. 2, 665–673 (2020).</w:t>
      </w:r>
    </w:p>
    <w:p>
      <w:pPr>
        <w:ind w:left="432" w:hanging="432"/>
      </w:pPr>
      <w:r>
        <w:t>6. Roberts, M. et al. Common pitfalls and recommendations for using machine learning to detect and prognosticate for COVID-19 using chest radiographs and CT scans. Nat. Mach. Intell. 3, 199–217 (2021).</w:t>
      </w:r>
    </w:p>
    <w:p>
      <w:pPr>
        <w:ind w:left="432" w:hanging="432"/>
      </w:pPr>
      <w:r>
        <w:t>7. Zech, J.R. et al. Variable generalization performance of a deep learning model to detect pneumonia in chest radiographs: a cross-sectional study. PLoS Med. 15, e1002683 (2018).</w:t>
      </w:r>
    </w:p>
    <w:p>
      <w:pPr>
        <w:ind w:left="432" w:hanging="432"/>
      </w:pPr>
      <w:r>
        <w:t>8. Saeb, A., Lonini, L., Jayaraman, A., Mohr, D.C., and Kording, K.P. The need to approximate the use-case in clinical machine learning. GigaScience 6, 1–9 (2017).</w:t>
      </w:r>
    </w:p>
    <w:p>
      <w:pPr>
        <w:ind w:left="432" w:hanging="432"/>
      </w:pPr>
      <w:r>
        <w:t>9. Golchin, A., and Surdeanu, M. Time travel in LLMs: tracing data contamination in large language models. In International Conference on Learning Representations (2024).</w:t>
      </w:r>
    </w:p>
    <w:p>
      <w:pPr>
        <w:ind w:left="432" w:hanging="432"/>
      </w:pPr>
      <w:r>
        <w:t>10. Sagawa, S. et al. Distributionally robust neural networks for group shifts: on the importance of regularization for worst-case generalization. In International Conference on Learning Representations (2020).</w:t>
      </w:r>
    </w:p>
    <w:p>
      <w:pPr>
        <w:ind w:left="432" w:hanging="432"/>
      </w:pPr>
      <w:r>
        <w:t>11. Arjovsky, M., Bottou, L., Gulrajani, I., and Lopez-Paz, D. Invariant risk minimization. arXiv:1907.02893 (2019).</w:t>
      </w:r>
    </w:p>
    <w:p>
      <w:pPr>
        <w:ind w:left="432" w:hanging="432"/>
      </w:pPr>
      <w:r>
        <w:t>12. Korsunsky, I. et al. Fast, sensitive and accurate integration of single-cell data with Harmony. Nat. Methods 16, 1289–1296 (2019).</w:t>
      </w:r>
    </w:p>
    <w:p>
      <w:pPr>
        <w:ind w:left="432" w:hanging="432"/>
      </w:pPr>
      <w:r>
        <w:t>13. Lopez, R., Regier, J., Cole, M.B., Jordan, M.I., and Yosef, N. Deep generative modeling for single-cell transcriptomics. Nat. Methods 15, 1053–1058 (2018).</w:t>
      </w:r>
    </w:p>
    <w:p>
      <w:pPr>
        <w:ind w:left="432" w:hanging="432"/>
      </w:pPr>
      <w:r>
        <w:t>14. Veličković, P. et al. Graph attention networks. In International Conference on Learning Representations (2018).</w:t>
      </w:r>
    </w:p>
    <w:p>
      <w:pPr>
        <w:ind w:left="432" w:hanging="432"/>
      </w:pPr>
      <w:r>
        <w:t>15. Kipf, T.N., and Welling, M. Semi-supervised classification with graph convolutional networks. In International Conference on Learning Representations (2017).</w:t>
      </w:r>
    </w:p>
    <w:p>
      <w:pPr>
        <w:ind w:left="432" w:hanging="432"/>
      </w:pPr>
      <w:r>
        <w:t>16. Puram, S.V. et al. Single-cell transcriptomic analysis of primary and metastatic tumor ecosystems in head and neck cancer. Cell 171, 1611–1624 (2017).</w:t>
      </w:r>
    </w:p>
    <w:p>
      <w:pPr>
        <w:ind w:left="432" w:hanging="432"/>
      </w:pPr>
      <w:r>
        <w:t>17. [Dataset] Simkin, D. et al. Spatial analysis of head and neck cancer identifies two ecosystems with distinct modes of epithelial-to-mesenchymal transition. Nat. Genet. 58(9), 2240–2253 (2026). https://doi.org/10.1038/s41588-026-02723-7. GSE268014.</w:t>
      </w:r>
    </w:p>
    <w:p>
      <w:pPr>
        <w:ind w:left="432" w:hanging="432"/>
      </w:pPr>
      <w:r>
        <w:t>18. [Dataset] GSE217237: Spatially resolved transcriptomics of human cervical tissue. Gene Expression Omnibus.</w:t>
      </w:r>
    </w:p>
    <w:p>
      <w:pPr>
        <w:ind w:left="432" w:hanging="432"/>
      </w:pPr>
      <w:r>
        <w:t>19. [Dataset] GSE278936: Spatial transcriptomics of prostate cancer. Gene Expression Omnibus.</w:t>
      </w:r>
    </w:p>
    <w:p>
      <w:pPr>
        <w:ind w:left="432" w:hanging="432"/>
      </w:pPr>
      <w:r>
        <w:t>20. Nishimura, K., Bise, R., and Kojima, Y. Towards spatial transcriptomics-guided pathological image recognition with a batch-agnostic encoder. ISBI (2025). arXiv:2503.07173.</w:t>
      </w:r>
    </w:p>
    <w:p>
      <w:pPr>
        <w:ind w:left="432" w:hanging="432"/>
      </w:pPr>
      <w:r>
        <w:t>21. Mehrabi, N., Morstatter, F., Saxena, N., Lerman, K., and Galstyan, A. A survey on bias and fairness in machine learning. ACM Comput. Surv. 54, 1–35 (2021).</w:t>
      </w:r>
    </w:p>
    <w:p>
      <w:pPr>
        <w:ind w:left="432" w:hanging="432"/>
      </w:pPr>
      <w:r>
        <w:t>22. Wilkinson, M.D. et al. The FAIR guiding principles for scientific data management and stewardship. Sci. Data 3, 160018 (2016).</w:t>
      </w:r>
    </w:p>
    <w:p>
      <w:pPr>
        <w:ind w:left="432" w:hanging="432"/>
      </w:pPr>
      <w:r>
        <w:t>23. Kapoor, S., and Narayanan, A. Leakage and the reproducibility crisis in machine-learning-based science. Patterns 4, 100804 (2023). https://doi.org/10.1016/j.patter.2023.100804.</w:t>
      </w:r>
    </w:p>
    <w:p>
      <w:pPr>
        <w:ind w:left="432" w:hanging="432"/>
      </w:pPr>
      <w:r>
        <w:t>24. [Dataset] Anguita, D., Ghio, A., Oneto, L., Parra, X., and Reyes-Ortiz, J.L. A public domain dataset for human activity recognition using smartphones. In Proceedings of the 21st European Symposium on Artificial Neural Networks, 437–442 (2013).</w:t>
      </w:r>
    </w:p>
    <w:p>
      <w:pPr>
        <w:ind w:left="432" w:hanging="432"/>
      </w:pPr>
      <w:r>
        <w:t>25. [Dataset] Vergara, A., Vembu, S., Ayhan, T., Ryan, M.A., Homer, M.L., and Huerta, R. Chemical gas sensor drift compensation using classifier ensembles. Sens. Actuators B Chem. 166–167, 320–329 (2012).</w:t>
      </w:r>
    </w:p>
    <w:p>
      <w:pPr>
        <w:ind w:left="432" w:hanging="432"/>
      </w:pPr>
      <w:r>
        <w:t>26. [Dataset] Dua, D., and Graff, C. UCI Machine Learning Repository. University of California, Irvine, School of Information and Computer Science (2019).</w:t>
      </w:r>
    </w:p>
    <w:p>
      <w:pPr>
        <w:ind w:left="432" w:hanging="432"/>
      </w:pPr>
      <w:r>
        <w:t>27. Edwards, H., and Storkey, A. Censoring representations with an adversary. arXiv:1511.05897 (2015).</w:t>
      </w:r>
    </w:p>
    <w:p>
      <w:pPr>
        <w:ind w:left="432" w:hanging="432"/>
      </w:pPr>
      <w:r>
        <w:t>28. Xie, Q., Dai, Z., Du, Y., Hovy, E., and Neubig, G. Controllable invariance through adversarial feature learning. In Advances in Neural Information Processing Systems 30 (2017).</w:t>
      </w:r>
    </w:p>
    <w:p>
      <w:pPr>
        <w:ind w:left="432" w:hanging="432"/>
      </w:pPr>
      <w:r>
        <w:t>29. Madras, D., Creager, E., Pitassi, T., and Zemel, R. Learning adversarially fair and transferable representations. In Proceedings of the 35th International Conference on Machine Learning, 3384–3393 (2018).</w:t>
      </w:r>
    </w:p>
    <w:p>
      <w:pPr>
        <w:ind w:left="432" w:hanging="432"/>
      </w:pPr>
      <w:r>
        <w:t>30. Elazar, Y., and Goldberg, Y. Adversarial removal of demographic attributes from text data. In Proceedings of the 2018 Conference on Empirical Methods in Natural Language Processing, 11–21 (2018).</w:t>
      </w:r>
    </w:p>
    <w:p>
      <w:pPr>
        <w:ind w:left="432" w:hanging="432"/>
      </w:pPr>
      <w:r>
        <w:t>31. Alvi, M., Zisserman, A., and Nellåker, C. Turning a blind eye: explicit removal of biases and variation from deep neural network embeddings. In Proceedings of the European Conference on Computer Vision, 556–572 (2018).</w:t>
      </w:r>
    </w:p>
    <w:p>
      <w:pPr>
        <w:ind w:left="432" w:hanging="432"/>
      </w:pPr>
      <w:r>
        <w:t>32. Ravfogel, S., Elazar, Y., Gonen, H., Twiton, M., and Goldberg, Y. Null it out: guarding protected attributes by iterative nullspace projection. In Proceedings of the 58th Annual Meeting of the Association for Computational Linguistics, 7237–7256 (2020).</w:t>
      </w:r>
    </w:p>
    <w:p>
      <w:pPr>
        <w:ind w:left="432" w:hanging="432"/>
      </w:pPr>
      <w:r>
        <w:t>33. Wang, D. et al. iMAP: integration of multiple single-cell datasets by adversarial paired transfer networks. Genome Biol. 22, 63 (2021).</w:t>
      </w:r>
    </w:p>
    <w:p>
      <w:pPr>
        <w:ind w:left="432" w:hanging="432"/>
      </w:pPr>
      <w:r>
        <w:t>34. Guo, T., Chen, Y., Shi, M., Li, X., and Zhang, M.Q. Integration of single cell data by disentangled representation learning. Nucleic Acids Res. 50, e8 (2022).</w:t>
      </w:r>
    </w:p>
    <w:p>
      <w:pPr>
        <w:ind w:left="432" w:hanging="432"/>
      </w:pPr>
      <w:r>
        <w:t>35. Hu, J., Zhong, Y., and Shang, X. A versatile and scalable single-cell data integration algorithm based on domain-adversarial and variational approximation. Brief. Bioinform., bbab400 (2021).</w:t>
      </w:r>
    </w:p>
    <w:p>
      <w:pPr>
        <w:ind w:left="432" w:hanging="432"/>
      </w:pPr>
      <w:r>
        <w:t>36. Zemel, R., Wu, Y., Swersky, K., Pitassi, T., and Dwork, C. Learning fair representations. In Proceedings of the 30th International Conference on Machine Learning, 325–333 (2013).</w:t>
      </w:r>
    </w:p>
    <w:p>
      <w:pPr>
        <w:ind w:left="432" w:hanging="432"/>
      </w:pPr>
      <w:r>
        <w:t>37. Louizos, C., Swersky, K., Li, Y., Welling, M., and Zemel, R. The variational fair autoencoder. arXiv:1511.00830 (2015).</w:t>
      </w:r>
    </w:p>
    <w:p>
      <w:pPr>
        <w:ind w:left="432" w:hanging="432"/>
      </w:pPr>
      <w:r>
        <w:t>38. Barocas, S., Hardt, M., and Narayanan, A. Fairness and Machine Learning: Limitations and Opportunities. MIT Press (2023).</w:t>
      </w:r>
    </w:p>
    <w:p>
      <w:pPr>
        <w:ind w:left="432" w:hanging="432"/>
      </w:pPr>
      <w:r>
        <w:t>39. Ojala, M., and Garriga, G. Permutation tests for studying classifier performance. J. Mach. Learn. Res. 11, 1833–1863 (2010).</w:t>
      </w:r>
    </w:p>
    <w:p>
      <w:pPr>
        <w:ind w:left="432" w:hanging="432"/>
      </w:pPr>
      <w:r>
        <w:t>40. Roberts, D.R., Bahn, V., Ciuti, S., Boyce, M.S., Elith, J., Guillera-Arroita, G., Hauenstein, S., Lahoz-Monfort, J.J., Schröder, B., Thuiller, W., Warton, D.I., Wintle, B.A., Hartig, F., and Dormann, C.F. Cross-validation strategies for data with temporal, spatial, hierarchical, or phylogenetic structure. Ecography 40, 913–929 (2017). https://doi.org/10.1111/ecog.02881.</w:t>
      </w:r>
    </w:p>
    <w:p>
      <w:pPr>
        <w:ind w:left="432" w:hanging="432"/>
      </w:pPr>
      <w:r>
        <w:t>41. Ploton, P., Mortier, F., Réjou-Méchain, M., Barbier, N., Picard, N., Rossi, V., Dormann, C., Cornu, G., Viennois, G., Bayol, N., Lyapustin, A., Gourlet-Fleury, S., and Pélissier, R. Spatial validation reveals poor predictive performance of large-scale ecological mapping models. Nat. Commun. 11, 4540 (2020). https://doi.org/10.1038/s41467-020-18321-y.</w:t>
      </w:r>
    </w:p>
    <w:p>
      <w:pPr>
        <w:ind w:left="432" w:hanging="432"/>
      </w:pPr>
      <w:r>
        <w:t>42. Yagis, E., Atnafu, S.W., García Seco de Herrera, A., Marzi, C., Scheda, R., Giannelli, M., Tessa, C., Citi, L., and Diciotti, S. Effect of data leakage in brain MRI classification using 2D convolutional neural networks. Sci. Rep. 11, 22544 (2021). https://doi.org/10.1038/s41598-021-01681-w.</w:t>
      </w:r>
    </w:p>
    <w:p>
      <w:pPr>
        <w:ind w:left="432" w:hanging="432"/>
      </w:pPr>
      <w:r>
        <w:t>43. [Dataset] Axelrod, M.L., Zhou, R., and Sun, L. Spatial transcriptomic landscape of invasion patterns in human papillomavirus-associated endocervical adenocarcinoma. Sci. Rep. 16, 43717 (2026). https://doi.org/10.1038/s41598-026-43717-z. GSE316098.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