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C9C8EF" w14:textId="77777777" w:rsidR="00D038FA" w:rsidRDefault="00D038FA">
      <w:pPr>
        <w:spacing w:before="2400"/>
      </w:pPr>
    </w:p>
    <w:p w14:paraId="6C2E3CC8" w14:textId="77777777" w:rsidR="00D038FA" w:rsidRDefault="00000000">
      <w:pPr>
        <w:spacing w:after="200"/>
        <w:jc w:val="center"/>
      </w:pPr>
      <w:r>
        <w:rPr>
          <w:b/>
          <w:bCs/>
          <w:color w:val="1F4E79"/>
          <w:sz w:val="40"/>
          <w:szCs w:val="40"/>
        </w:rPr>
        <w:t>TECHNICAL GUIDELINES</w:t>
      </w:r>
    </w:p>
    <w:p w14:paraId="44DEBB31" w14:textId="77777777" w:rsidR="00D038FA" w:rsidRDefault="00000000">
      <w:pPr>
        <w:spacing w:after="100"/>
        <w:jc w:val="center"/>
      </w:pPr>
      <w:r>
        <w:rPr>
          <w:color w:val="1F4E79"/>
          <w:sz w:val="32"/>
          <w:szCs w:val="32"/>
        </w:rPr>
        <w:t>FOR</w:t>
      </w:r>
    </w:p>
    <w:p w14:paraId="2FC02E47" w14:textId="77777777" w:rsidR="00D038FA" w:rsidRDefault="00000000">
      <w:pPr>
        <w:spacing w:after="200"/>
        <w:jc w:val="center"/>
      </w:pPr>
      <w:r>
        <w:rPr>
          <w:b/>
          <w:bCs/>
          <w:color w:val="1F4E79"/>
          <w:sz w:val="36"/>
          <w:szCs w:val="36"/>
        </w:rPr>
        <w:t>Small-Scale Fisheries Data Harmonization</w:t>
      </w:r>
    </w:p>
    <w:p w14:paraId="7ABC2DB6" w14:textId="77777777" w:rsidR="00D038FA" w:rsidRDefault="00000000">
      <w:pPr>
        <w:spacing w:after="100"/>
        <w:jc w:val="center"/>
      </w:pPr>
      <w:r>
        <w:rPr>
          <w:color w:val="2E75B6"/>
          <w:sz w:val="32"/>
          <w:szCs w:val="32"/>
        </w:rPr>
        <w:t>in the Western Indian Ocean Region</w:t>
      </w:r>
    </w:p>
    <w:p w14:paraId="203289BE" w14:textId="77777777" w:rsidR="00D038FA" w:rsidRDefault="00D038FA">
      <w:pPr>
        <w:pBdr>
          <w:top w:val="single" w:sz="6" w:space="8" w:color="1F4E79"/>
        </w:pBdr>
        <w:spacing w:before="400" w:after="40"/>
        <w:jc w:val="center"/>
      </w:pPr>
    </w:p>
    <w:p w14:paraId="60DF4DAD" w14:textId="163DCD5A" w:rsidR="00D038FA" w:rsidRDefault="007C2906">
      <w:pPr>
        <w:spacing w:before="200" w:after="80"/>
        <w:jc w:val="center"/>
      </w:pPr>
      <w:r>
        <w:rPr>
          <w:b/>
          <w:bCs/>
          <w:color w:val="333333"/>
          <w:sz w:val="22"/>
          <w:szCs w:val="22"/>
        </w:rPr>
        <w:t>April 2026</w:t>
      </w:r>
    </w:p>
    <w:p w14:paraId="71B3C36E" w14:textId="77777777" w:rsidR="00D038FA" w:rsidRDefault="00000000">
      <w:pPr>
        <w:spacing w:before="800"/>
        <w:jc w:val="center"/>
      </w:pPr>
      <w:r>
        <w:rPr>
          <w:b/>
          <w:bCs/>
          <w:color w:val="CC0000"/>
        </w:rPr>
        <w:t>DRAFT — Version 1.0</w:t>
      </w:r>
    </w:p>
    <w:p w14:paraId="185D4E25" w14:textId="77777777" w:rsidR="00D038FA" w:rsidRDefault="00000000">
      <w:r>
        <w:br w:type="page"/>
      </w:r>
    </w:p>
    <w:p w14:paraId="4E8BAC98" w14:textId="77777777" w:rsidR="00D038FA" w:rsidRDefault="00000000">
      <w:pPr>
        <w:pStyle w:val="Heading1"/>
        <w:spacing w:before="240" w:after="120"/>
      </w:pPr>
      <w:r>
        <w:lastRenderedPageBreak/>
        <w:t>1. Purpose and Scope</w:t>
      </w:r>
    </w:p>
    <w:p w14:paraId="5F69242D" w14:textId="77777777" w:rsidR="00D038FA" w:rsidRDefault="00000000">
      <w:pPr>
        <w:spacing w:after="120" w:line="276" w:lineRule="auto"/>
        <w:jc w:val="both"/>
      </w:pPr>
      <w:r>
        <w:t>This document provides technical guidelines for harmonizing small-scale fisheries (SSF) data collection, management, and reporting across institutions operating in the Western Indian Ocean (WIO) region. It is intended to serve as a practical roadmap for governments, research institutions, non-governmental organizations, and regional bodies seeking to achieve interoperable, comparable, and policy-relevant fisheries datasets.</w:t>
      </w:r>
    </w:p>
    <w:p w14:paraId="5F9DADD5" w14:textId="77777777" w:rsidR="00D038FA" w:rsidRDefault="00000000">
      <w:pPr>
        <w:spacing w:after="120" w:line="276" w:lineRule="auto"/>
        <w:jc w:val="both"/>
      </w:pPr>
      <w:r>
        <w:t>The guidelines address four interconnected domains: (i) the identification of a minimum set of standardized variables through a participatory diagnostic process; (ii) the standardization of sampling methodologies across institutions; (iii) functional requirements for electronic data collection tools; and (iv) the adoption of appropriate ontologies and classification systems aligned with international standards, particularly those of the Food and Agriculture Organization of the United Nations (FAO).</w:t>
      </w:r>
    </w:p>
    <w:p w14:paraId="3F22BC44" w14:textId="77777777" w:rsidR="00D038FA" w:rsidRDefault="00000000">
      <w:pPr>
        <w:spacing w:after="120" w:line="276" w:lineRule="auto"/>
        <w:jc w:val="both"/>
      </w:pPr>
      <w:r>
        <w:t>The scope of this document encompasses catch and effort data, biological sampling, vessel and gear characterization, spatial referencing, and socio-economic indicators relevant to SSF monitoring programmes. While the primary geographic focus is the WIO region, the methodological principles and standards described herein are broadly applicable to SSF data harmonization efforts in other regions.</w:t>
      </w:r>
    </w:p>
    <w:p w14:paraId="56E5FCFF" w14:textId="77777777" w:rsidR="00D038FA" w:rsidRDefault="00000000">
      <w:pPr>
        <w:pStyle w:val="Heading1"/>
        <w:spacing w:before="240" w:after="120"/>
      </w:pPr>
      <w:r>
        <w:t>2. Background and Rationale</w:t>
      </w:r>
    </w:p>
    <w:p w14:paraId="5027B401" w14:textId="77777777" w:rsidR="00D038FA" w:rsidRDefault="00000000">
      <w:pPr>
        <w:pStyle w:val="Heading2"/>
        <w:spacing w:after="120"/>
      </w:pPr>
      <w:r>
        <w:t>2.1 The current data landscape</w:t>
      </w:r>
    </w:p>
    <w:p w14:paraId="1E315D63" w14:textId="77777777" w:rsidR="00D038FA" w:rsidRDefault="00000000">
      <w:pPr>
        <w:spacing w:after="120" w:line="276" w:lineRule="auto"/>
        <w:jc w:val="both"/>
      </w:pPr>
      <w:r>
        <w:t>Fisheries data collection in the WIO is characterized by substantial heterogeneity across five principal dimensions: the type of information collected, the medium of collection (paper versus digital forms), the terminology and variable definitions employed, the species lists and taxonomic resolution adopted, and the contextual fishery information recorded. A regional scoping assessment of 26 institutions across ten WIO countries revealed that while most monitoring systems capture catch and effort data (88%) and vessel/gear information (84%), significant inconsistencies persist in how these variables are defined, measured, and reported. Socio-economic data remain the least frequently collected data type, included in only 48% of systems surveyed.</w:t>
      </w:r>
    </w:p>
    <w:p w14:paraId="66D85C54" w14:textId="77777777" w:rsidR="00D038FA" w:rsidRDefault="00000000">
      <w:pPr>
        <w:spacing w:after="120" w:line="276" w:lineRule="auto"/>
        <w:jc w:val="both"/>
      </w:pPr>
      <w:r>
        <w:t>The assessment further identified that 88% of respondents use consistent internal standards, yet only 28% indicated compatibility with external institutions. Financial sustainability was identified as the most significant challenge (68%), followed by data quality concerns (44%) and issues of reliability and timeliness (36%). These findings confirm that the region possesses a solid foundation of data collection activity but lacks the coordination mechanisms necessary to transform disparate national and institutional datasets into a regionally coherent evidence base.</w:t>
      </w:r>
    </w:p>
    <w:p w14:paraId="155AF9A8" w14:textId="77777777" w:rsidR="00D038FA" w:rsidRDefault="00000000">
      <w:pPr>
        <w:pStyle w:val="Heading2"/>
        <w:spacing w:after="120"/>
      </w:pPr>
      <w:r>
        <w:t>2.2 Why harmonization matters</w:t>
      </w:r>
    </w:p>
    <w:p w14:paraId="5E284E2A" w14:textId="77777777" w:rsidR="00D038FA" w:rsidRDefault="00000000">
      <w:pPr>
        <w:spacing w:after="120" w:line="276" w:lineRule="auto"/>
        <w:jc w:val="both"/>
      </w:pPr>
      <w:r>
        <w:t xml:space="preserve">Data harmonization yields tangible benefits for all stakeholders in the SSF data ecosystem. Harmonized data feed directly into national statistics and regional policy platforms such as the </w:t>
      </w:r>
      <w:r>
        <w:lastRenderedPageBreak/>
        <w:t>Nairobi Convention and SWIOFC, thereby strengthening the visibility and influence of SSF in governance arenas. As donors increasingly demand comparable, standardized evidence, harmonized datasets position organizations for larger, multi-country funding. Harmonization reduces the burden of data cleaning and wrangling, enabling automated analytics that free staff time for community engagement and advocacy. When definitions and protocols are aligned across institutions, the resulting data carry greater credibility and can stand alongside government data in decision-making spaces. Finally, locally collected data that adhere to harmonized standards contribute directly to regional narratives on food security, livelihoods, and climate resilience, effectively scaling local impact to the regional level.</w:t>
      </w:r>
    </w:p>
    <w:p w14:paraId="4B4B7A92" w14:textId="77777777" w:rsidR="00D038FA" w:rsidRDefault="00000000">
      <w:pPr>
        <w:spacing w:after="120" w:line="276" w:lineRule="auto"/>
        <w:jc w:val="both"/>
      </w:pPr>
      <w:r>
        <w:t>Importantly, harmonization does not require forcing all organizations into a single, identical data collection form or process. Rather, it is about identifying a core set of overlapping variables and establishing common definitions that enable cross-dataset comparison while preserving the flexibility of individual programmes to collect additional variables tailored to their specific objectives.</w:t>
      </w:r>
    </w:p>
    <w:p w14:paraId="29AA20A9" w14:textId="77777777" w:rsidR="00D038FA" w:rsidRDefault="00000000">
      <w:pPr>
        <w:pStyle w:val="Heading2"/>
        <w:spacing w:after="120"/>
      </w:pPr>
      <w:r>
        <w:t>2.3 Conceptual framework</w:t>
      </w:r>
    </w:p>
    <w:p w14:paraId="7EB3C344" w14:textId="77777777" w:rsidR="00D038FA" w:rsidRDefault="00000000">
      <w:pPr>
        <w:spacing w:after="120" w:line="276" w:lineRule="auto"/>
        <w:jc w:val="both"/>
      </w:pPr>
      <w:r>
        <w:t>These guidelines are structured around the Integrated Data Harmonization Framework (IDHF; Tungpantong et al., 2021), which organizes the harmonization process into three interconnected phases: (1) Diagnostic Assessment, focused on evaluating existing data systems and identifying harmonization gaps; (2) Design and Standardization, translating identified gaps into concrete technical and policy specifications; and (3) Implementation and Sustainability, ensuring adoption and long-term viability of the harmonized system. The present guidelines operationalize all three phases into actionable technical specifications and procedural recommendations.</w:t>
      </w:r>
    </w:p>
    <w:p w14:paraId="5156F9AB" w14:textId="77777777" w:rsidR="00D038FA" w:rsidRDefault="00000000">
      <w:r>
        <w:br w:type="page"/>
      </w:r>
    </w:p>
    <w:p w14:paraId="10B4F99A" w14:textId="77777777" w:rsidR="00D038FA" w:rsidRDefault="00000000">
      <w:pPr>
        <w:pStyle w:val="Heading1"/>
        <w:spacing w:before="240" w:after="120"/>
      </w:pPr>
      <w:r>
        <w:lastRenderedPageBreak/>
        <w:t>3. Phase I: Diagnostic Survey of Current Data Collection Practices</w:t>
      </w:r>
    </w:p>
    <w:p w14:paraId="09D852AE" w14:textId="77777777" w:rsidR="00D038FA" w:rsidRDefault="00000000">
      <w:pPr>
        <w:pStyle w:val="Heading2"/>
        <w:spacing w:after="120"/>
      </w:pPr>
      <w:r>
        <w:t>3.1 Rationale for a participatory diagnostic</w:t>
      </w:r>
    </w:p>
    <w:p w14:paraId="4AE8867F" w14:textId="77777777" w:rsidR="00D038FA" w:rsidRDefault="00000000">
      <w:pPr>
        <w:spacing w:after="120" w:line="276" w:lineRule="auto"/>
        <w:jc w:val="both"/>
      </w:pPr>
      <w:r>
        <w:t>Before prescribing a fixed minimum variable set, it is essential to systematically map what all data-collecting entities across the WIO region are currently measuring, how they define their variables, and what tools and formats they employ. This diagnostic step ensures that the harmonization framework is grounded in operational realities rather than imposed top-down, and that the eventual minimum common denominator reflects the genuine intersection of existing data collection efforts.</w:t>
      </w:r>
    </w:p>
    <w:p w14:paraId="557C9332" w14:textId="77777777" w:rsidR="00D038FA" w:rsidRDefault="00000000">
      <w:pPr>
        <w:spacing w:after="120" w:line="276" w:lineRule="auto"/>
        <w:jc w:val="both"/>
      </w:pPr>
      <w:r>
        <w:t>The initial consultations and scoping assessment conducted between 2024 and 2025 revealed broad thematic convergence among institutions (most collect catch, effort, vessel, and gear data) but significant divergence in variable definitions, units, taxonomic resolution, and data formats. A structured, institution-level survey is therefore required to map these specificities at a granular level before standardized variable sets can be formally adopted.</w:t>
      </w:r>
    </w:p>
    <w:p w14:paraId="2727D5EF" w14:textId="77777777" w:rsidR="00D038FA" w:rsidRDefault="00000000">
      <w:pPr>
        <w:pStyle w:val="Heading2"/>
        <w:spacing w:after="120"/>
      </w:pPr>
      <w:r>
        <w:t>3.2 Survey design and distribution</w:t>
      </w:r>
    </w:p>
    <w:p w14:paraId="3E46F376" w14:textId="77777777" w:rsidR="00D038FA" w:rsidRDefault="00000000">
      <w:pPr>
        <w:spacing w:after="120" w:line="276" w:lineRule="auto"/>
        <w:jc w:val="both"/>
      </w:pPr>
      <w:r>
        <w:t>A standardized diagnostic survey shall be developed and distributed to all data-collecting entities in the WIO region, including government fisheries departments, national research institutes, international research organizations, NGOs, and community-based organizations. The survey is recommended to be implemented through a structured digital form (e.g., via a collaborative platform such as Airtable or equivalent) to facilitate systematic aggregation and analysis of responses.</w:t>
      </w:r>
    </w:p>
    <w:p w14:paraId="42F6D434" w14:textId="77777777" w:rsidR="00D038FA" w:rsidRDefault="00000000">
      <w:pPr>
        <w:spacing w:after="120" w:line="276" w:lineRule="auto"/>
        <w:jc w:val="both"/>
      </w:pPr>
      <w:r>
        <w:t>The survey should capture, at minimum, the following information for each participating institution:</w:t>
      </w:r>
    </w:p>
    <w:p w14:paraId="12379CAB" w14:textId="77777777" w:rsidR="00D038FA" w:rsidRDefault="00000000">
      <w:pPr>
        <w:pStyle w:val="ListParagraph"/>
        <w:numPr>
          <w:ilvl w:val="0"/>
          <w:numId w:val="2"/>
        </w:numPr>
        <w:spacing w:after="80"/>
      </w:pPr>
      <w:r>
        <w:t>Institution name, type (government, NGO, research, community-based), and country of operation</w:t>
      </w:r>
    </w:p>
    <w:p w14:paraId="7A82146C" w14:textId="77777777" w:rsidR="00D038FA" w:rsidRDefault="00000000">
      <w:pPr>
        <w:pStyle w:val="ListParagraph"/>
        <w:numPr>
          <w:ilvl w:val="0"/>
          <w:numId w:val="2"/>
        </w:numPr>
        <w:spacing w:after="80"/>
      </w:pPr>
      <w:r>
        <w:t>Geographic coverage of monitoring activities (landing sites, coastal zones, marine areas)</w:t>
      </w:r>
    </w:p>
    <w:p w14:paraId="6B567E4D" w14:textId="77777777" w:rsidR="00D038FA" w:rsidRDefault="00000000">
      <w:pPr>
        <w:pStyle w:val="ListParagraph"/>
        <w:numPr>
          <w:ilvl w:val="0"/>
          <w:numId w:val="2"/>
        </w:numPr>
        <w:spacing w:after="80"/>
      </w:pPr>
      <w:r>
        <w:t>Complete list of variables currently collected, with the exact variable name, definition, data type, and unit of measurement used by the institution</w:t>
      </w:r>
    </w:p>
    <w:p w14:paraId="70382E9B" w14:textId="77777777" w:rsidR="00D038FA" w:rsidRDefault="00000000">
      <w:pPr>
        <w:pStyle w:val="ListParagraph"/>
        <w:numPr>
          <w:ilvl w:val="0"/>
          <w:numId w:val="2"/>
        </w:numPr>
        <w:spacing w:after="80"/>
      </w:pPr>
      <w:r>
        <w:t>Species list employed, including taxonomic resolution (species, genus, family, or functional group) and naming convention (scientific names, local names, FAO codes)</w:t>
      </w:r>
    </w:p>
    <w:p w14:paraId="3660DA09" w14:textId="77777777" w:rsidR="00D038FA" w:rsidRDefault="00000000">
      <w:pPr>
        <w:pStyle w:val="ListParagraph"/>
        <w:numPr>
          <w:ilvl w:val="0"/>
          <w:numId w:val="2"/>
        </w:numPr>
        <w:spacing w:after="80"/>
      </w:pPr>
      <w:r>
        <w:t>Gear classification system used and level of specificity</w:t>
      </w:r>
    </w:p>
    <w:p w14:paraId="3C994A23" w14:textId="77777777" w:rsidR="00D038FA" w:rsidRDefault="00000000">
      <w:pPr>
        <w:pStyle w:val="ListParagraph"/>
        <w:numPr>
          <w:ilvl w:val="0"/>
          <w:numId w:val="2"/>
        </w:numPr>
        <w:spacing w:after="80"/>
      </w:pPr>
      <w:r>
        <w:t>Sampling design: sampling frame, stratification, temporal frequency, spatial coverage, and sample size</w:t>
      </w:r>
    </w:p>
    <w:p w14:paraId="5FBDE366" w14:textId="77777777" w:rsidR="00D038FA" w:rsidRDefault="00000000">
      <w:pPr>
        <w:pStyle w:val="ListParagraph"/>
        <w:numPr>
          <w:ilvl w:val="0"/>
          <w:numId w:val="2"/>
        </w:numPr>
        <w:spacing w:after="80"/>
      </w:pPr>
      <w:r>
        <w:t>Data collection medium (paper forms, digital forms, or hybrid) and specific tools or platforms used</w:t>
      </w:r>
    </w:p>
    <w:p w14:paraId="12C9B339" w14:textId="77777777" w:rsidR="00D038FA" w:rsidRDefault="00000000">
      <w:pPr>
        <w:pStyle w:val="ListParagraph"/>
        <w:numPr>
          <w:ilvl w:val="0"/>
          <w:numId w:val="2"/>
        </w:numPr>
        <w:spacing w:after="80"/>
      </w:pPr>
      <w:r>
        <w:t>Data storage, management, and sharing arrangements (local databases, cloud platforms, data-sharing agreements)</w:t>
      </w:r>
    </w:p>
    <w:p w14:paraId="5EED4C26" w14:textId="77777777" w:rsidR="00D038FA" w:rsidRDefault="00000000">
      <w:pPr>
        <w:pStyle w:val="ListParagraph"/>
        <w:numPr>
          <w:ilvl w:val="0"/>
          <w:numId w:val="2"/>
        </w:numPr>
        <w:spacing w:after="80"/>
      </w:pPr>
      <w:r>
        <w:t>Quality assurance and quality control (QA/QC) procedures currently in place</w:t>
      </w:r>
    </w:p>
    <w:p w14:paraId="508F41B8" w14:textId="77777777" w:rsidR="00D038FA" w:rsidRDefault="00000000">
      <w:pPr>
        <w:pStyle w:val="ListParagraph"/>
        <w:numPr>
          <w:ilvl w:val="0"/>
          <w:numId w:val="2"/>
        </w:numPr>
        <w:spacing w:after="120"/>
      </w:pPr>
      <w:r>
        <w:t>Perceived barriers to harmonization and priority needs</w:t>
      </w:r>
    </w:p>
    <w:p w14:paraId="5F1145A6" w14:textId="0B65C26C" w:rsidR="00A504C0" w:rsidRDefault="00A504C0" w:rsidP="00A504C0">
      <w:pPr>
        <w:spacing w:after="120"/>
      </w:pPr>
      <w:r>
        <w:lastRenderedPageBreak/>
        <w:t>We propose the following form to be distributed to relevant entities:</w:t>
      </w:r>
      <w:r>
        <w:br/>
      </w:r>
      <w:r>
        <w:br/>
      </w:r>
      <w:hyperlink r:id="rId7" w:tgtFrame="_blank" w:tooltip="https://airtable.com/appBD5R0M2x6UYVVX/pagfTu86RMBrZg4VN/form" w:history="1">
        <w:r w:rsidRPr="00A504C0">
          <w:rPr>
            <w:rFonts w:ascii="Aptos" w:hAnsi="Aptos"/>
            <w:color w:val="000000"/>
            <w:u w:val="single"/>
            <w:bdr w:val="none" w:sz="0" w:space="0" w:color="auto" w:frame="1"/>
            <w:shd w:val="clear" w:color="auto" w:fill="FFFFFF"/>
          </w:rPr>
          <w:t>https://airtable.com/appBD5R0M2x6UYVVX/pagfTu86RM</w:t>
        </w:r>
        <w:r w:rsidRPr="00A504C0">
          <w:rPr>
            <w:rFonts w:ascii="Aptos" w:hAnsi="Aptos"/>
            <w:color w:val="000000"/>
            <w:u w:val="single"/>
            <w:bdr w:val="none" w:sz="0" w:space="0" w:color="auto" w:frame="1"/>
            <w:shd w:val="clear" w:color="auto" w:fill="FFFFFF"/>
          </w:rPr>
          <w:t>B</w:t>
        </w:r>
        <w:r w:rsidRPr="00A504C0">
          <w:rPr>
            <w:rFonts w:ascii="Aptos" w:hAnsi="Aptos"/>
            <w:color w:val="000000"/>
            <w:u w:val="single"/>
            <w:bdr w:val="none" w:sz="0" w:space="0" w:color="auto" w:frame="1"/>
            <w:shd w:val="clear" w:color="auto" w:fill="FFFFFF"/>
          </w:rPr>
          <w:t>rZg4VN/form</w:t>
        </w:r>
      </w:hyperlink>
      <w:r>
        <w:t xml:space="preserve"> </w:t>
      </w:r>
      <w:r w:rsidRPr="00A504C0">
        <w:rPr>
          <w:rFonts w:ascii="Aptos" w:hAnsi="Aptos"/>
          <w:color w:val="000000"/>
          <w:shd w:val="clear" w:color="auto" w:fill="FFFFFF"/>
        </w:rPr>
        <w:t> </w:t>
      </w:r>
    </w:p>
    <w:p w14:paraId="22D9099C" w14:textId="77777777" w:rsidR="00D038FA" w:rsidRDefault="00000000">
      <w:pPr>
        <w:pStyle w:val="Heading2"/>
        <w:spacing w:after="120"/>
      </w:pPr>
      <w:r>
        <w:t>3.3 Analysis and synthesis</w:t>
      </w:r>
    </w:p>
    <w:p w14:paraId="7B52705F" w14:textId="77777777" w:rsidR="00D038FA" w:rsidRDefault="00000000">
      <w:pPr>
        <w:spacing w:after="120" w:line="276" w:lineRule="auto"/>
        <w:jc w:val="both"/>
      </w:pPr>
      <w:r>
        <w:t>Responses shall be aggregated and analysed to produce a regional mapping of current data collection practices. The analysis should identify: (i) the set of variables that are already collected by a majority of institutions and thus constitute natural candidates for the minimum common denominator; (ii) variables that are collected by some institutions but with divergent definitions or units, requiring reconciliation; (iii) critical gaps where important variables are not collected by most institutions; and (iv) the degree of terminological and taxonomic heterogeneity across the region.</w:t>
      </w:r>
    </w:p>
    <w:p w14:paraId="24ADF063" w14:textId="77777777" w:rsidR="00D038FA" w:rsidRDefault="00000000">
      <w:pPr>
        <w:spacing w:after="120" w:line="276" w:lineRule="auto"/>
        <w:jc w:val="both"/>
      </w:pPr>
      <w:r>
        <w:t>The results of this diagnostic survey will directly inform the specification of the minimum variable set (Section 4) and will be presented to the WGDS for validation and endorsement.</w:t>
      </w:r>
    </w:p>
    <w:p w14:paraId="3FEBD3D1" w14:textId="77777777" w:rsidR="00D038FA" w:rsidRDefault="00000000">
      <w:r>
        <w:br w:type="page"/>
      </w:r>
    </w:p>
    <w:p w14:paraId="5529C833" w14:textId="77777777" w:rsidR="00D038FA" w:rsidRDefault="00000000">
      <w:pPr>
        <w:pStyle w:val="Heading1"/>
        <w:spacing w:before="240" w:after="120"/>
      </w:pPr>
      <w:r>
        <w:lastRenderedPageBreak/>
        <w:t>4. Phase II: Toward a Minimum Set of Standardized Variables</w:t>
      </w:r>
    </w:p>
    <w:p w14:paraId="3EF22D1C" w14:textId="77777777" w:rsidR="00D038FA" w:rsidRDefault="00000000">
      <w:pPr>
        <w:pStyle w:val="Heading2"/>
        <w:spacing w:after="120"/>
      </w:pPr>
      <w:r>
        <w:t>4.1 The minimum common denominator approach</w:t>
      </w:r>
    </w:p>
    <w:p w14:paraId="6BB96A2E" w14:textId="77777777" w:rsidR="00D038FA" w:rsidRDefault="00000000">
      <w:pPr>
        <w:spacing w:after="120" w:line="276" w:lineRule="auto"/>
        <w:jc w:val="both"/>
      </w:pPr>
      <w:r>
        <w:t>The harmonization strategy centres on the concept of a minimum common denominator: a core set of variables that every participating institution must provide, consistently defined, to enable cross-dataset comparison and regional aggregation. This approach acknowledges that different organizations collect different numbers and types of variables depending on their mandates and that harmonization should not constrain institutions from collecting additional variables beyond the core set. Rather, it establishes a shared baseline that represents the intersection of what all institutions can feasibly and meaningfully contribute.</w:t>
      </w:r>
    </w:p>
    <w:p w14:paraId="432B4CD7" w14:textId="77777777" w:rsidR="00D038FA" w:rsidRDefault="00000000">
      <w:pPr>
        <w:spacing w:after="120" w:line="276" w:lineRule="auto"/>
        <w:jc w:val="both"/>
      </w:pPr>
      <w:r>
        <w:t>The final specification of the minimum variable set will be determined collaboratively through the diagnostic survey process described in Section 3. However, based on the preliminary consultations and the CGIAR harmonization strategy, the following thematic domains and candidate variables are proposed as a starting framework for discussion.</w:t>
      </w:r>
    </w:p>
    <w:p w14:paraId="6F2F9DC2" w14:textId="77777777" w:rsidR="00D038FA" w:rsidRDefault="00000000">
      <w:pPr>
        <w:pStyle w:val="Heading2"/>
        <w:spacing w:after="120"/>
      </w:pPr>
      <w:r>
        <w:t>4.2 Proposed thematic domains and candidate variables</w:t>
      </w:r>
    </w:p>
    <w:p w14:paraId="10C40A86" w14:textId="77777777" w:rsidR="00D038FA" w:rsidRDefault="00000000">
      <w:pPr>
        <w:spacing w:after="120" w:line="276" w:lineRule="auto"/>
        <w:jc w:val="both"/>
      </w:pPr>
      <w:r>
        <w:t>The candidate minimum variable set is organized around four thematic domains, each addressing a distinct dimension of SSF data:</w:t>
      </w:r>
    </w:p>
    <w:p w14:paraId="4BD4717F" w14:textId="77777777" w:rsidR="00D038FA" w:rsidRDefault="00000000">
      <w:pPr>
        <w:spacing w:after="120" w:line="276" w:lineRule="auto"/>
        <w:jc w:val="both"/>
      </w:pPr>
      <w:r>
        <w:rPr>
          <w:b/>
          <w:bCs/>
        </w:rPr>
        <w:t>Domain 1: Spatial and temporal reference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74"/>
        <w:gridCol w:w="1122"/>
        <w:gridCol w:w="1576"/>
        <w:gridCol w:w="2459"/>
        <w:gridCol w:w="2429"/>
      </w:tblGrid>
      <w:tr w:rsidR="00D038FA" w14:paraId="4E8B754A" w14:textId="77777777">
        <w:trPr>
          <w:tblHeader/>
        </w:trPr>
        <w:tc>
          <w:tcPr>
            <w:tcW w:w="1800" w:type="dxa"/>
            <w:tcBorders>
              <w:top w:val="single" w:sz="1" w:space="0" w:color="999999"/>
              <w:left w:val="single" w:sz="1" w:space="0" w:color="999999"/>
              <w:bottom w:val="single" w:sz="1" w:space="0" w:color="999999"/>
              <w:right w:val="single" w:sz="1" w:space="0" w:color="999999"/>
            </w:tcBorders>
            <w:shd w:val="clear" w:color="auto" w:fill="1F4E79"/>
            <w:tcMar>
              <w:top w:w="60" w:type="dxa"/>
              <w:left w:w="100" w:type="dxa"/>
              <w:bottom w:w="60" w:type="dxa"/>
              <w:right w:w="100" w:type="dxa"/>
            </w:tcMar>
          </w:tcPr>
          <w:p w14:paraId="30130588" w14:textId="77777777" w:rsidR="00D038FA" w:rsidRDefault="00000000">
            <w:pPr>
              <w:spacing w:after="40"/>
            </w:pPr>
            <w:r>
              <w:rPr>
                <w:b/>
                <w:bCs/>
                <w:sz w:val="20"/>
                <w:szCs w:val="20"/>
              </w:rPr>
              <w:t>Variable</w:t>
            </w:r>
          </w:p>
        </w:tc>
        <w:tc>
          <w:tcPr>
            <w:tcW w:w="1000" w:type="dxa"/>
            <w:tcBorders>
              <w:top w:val="single" w:sz="1" w:space="0" w:color="999999"/>
              <w:left w:val="single" w:sz="1" w:space="0" w:color="999999"/>
              <w:bottom w:val="single" w:sz="1" w:space="0" w:color="999999"/>
              <w:right w:val="single" w:sz="1" w:space="0" w:color="999999"/>
            </w:tcBorders>
            <w:shd w:val="clear" w:color="auto" w:fill="1F4E79"/>
            <w:tcMar>
              <w:top w:w="60" w:type="dxa"/>
              <w:left w:w="100" w:type="dxa"/>
              <w:bottom w:w="60" w:type="dxa"/>
              <w:right w:w="100" w:type="dxa"/>
            </w:tcMar>
          </w:tcPr>
          <w:p w14:paraId="64C7F790" w14:textId="77777777" w:rsidR="00D038FA" w:rsidRDefault="00000000">
            <w:pPr>
              <w:spacing w:after="40"/>
            </w:pPr>
            <w:r>
              <w:rPr>
                <w:b/>
                <w:bCs/>
                <w:sz w:val="20"/>
                <w:szCs w:val="20"/>
              </w:rPr>
              <w:t>Data type</w:t>
            </w:r>
          </w:p>
        </w:tc>
        <w:tc>
          <w:tcPr>
            <w:tcW w:w="1600" w:type="dxa"/>
            <w:tcBorders>
              <w:top w:val="single" w:sz="1" w:space="0" w:color="999999"/>
              <w:left w:val="single" w:sz="1" w:space="0" w:color="999999"/>
              <w:bottom w:val="single" w:sz="1" w:space="0" w:color="999999"/>
              <w:right w:val="single" w:sz="1" w:space="0" w:color="999999"/>
            </w:tcBorders>
            <w:shd w:val="clear" w:color="auto" w:fill="1F4E79"/>
            <w:tcMar>
              <w:top w:w="60" w:type="dxa"/>
              <w:left w:w="100" w:type="dxa"/>
              <w:bottom w:w="60" w:type="dxa"/>
              <w:right w:w="100" w:type="dxa"/>
            </w:tcMar>
          </w:tcPr>
          <w:p w14:paraId="66714240" w14:textId="77777777" w:rsidR="00D038FA" w:rsidRDefault="00000000">
            <w:pPr>
              <w:spacing w:after="40"/>
            </w:pPr>
            <w:r>
              <w:rPr>
                <w:b/>
                <w:bCs/>
                <w:sz w:val="20"/>
                <w:szCs w:val="20"/>
              </w:rPr>
              <w:t>Unit / Format</w:t>
            </w:r>
          </w:p>
        </w:tc>
        <w:tc>
          <w:tcPr>
            <w:tcW w:w="2500" w:type="dxa"/>
            <w:tcBorders>
              <w:top w:val="single" w:sz="1" w:space="0" w:color="999999"/>
              <w:left w:val="single" w:sz="1" w:space="0" w:color="999999"/>
              <w:bottom w:val="single" w:sz="1" w:space="0" w:color="999999"/>
              <w:right w:val="single" w:sz="1" w:space="0" w:color="999999"/>
            </w:tcBorders>
            <w:shd w:val="clear" w:color="auto" w:fill="1F4E79"/>
            <w:tcMar>
              <w:top w:w="60" w:type="dxa"/>
              <w:left w:w="100" w:type="dxa"/>
              <w:bottom w:w="60" w:type="dxa"/>
              <w:right w:w="100" w:type="dxa"/>
            </w:tcMar>
          </w:tcPr>
          <w:p w14:paraId="22078385" w14:textId="77777777" w:rsidR="00D038FA" w:rsidRDefault="00000000">
            <w:pPr>
              <w:spacing w:after="40"/>
            </w:pPr>
            <w:r>
              <w:rPr>
                <w:b/>
                <w:bCs/>
                <w:sz w:val="20"/>
                <w:szCs w:val="20"/>
              </w:rPr>
              <w:t>Description</w:t>
            </w:r>
          </w:p>
        </w:tc>
        <w:tc>
          <w:tcPr>
            <w:tcW w:w="2460" w:type="dxa"/>
            <w:tcBorders>
              <w:top w:val="single" w:sz="1" w:space="0" w:color="999999"/>
              <w:left w:val="single" w:sz="1" w:space="0" w:color="999999"/>
              <w:bottom w:val="single" w:sz="1" w:space="0" w:color="999999"/>
              <w:right w:val="single" w:sz="1" w:space="0" w:color="999999"/>
            </w:tcBorders>
            <w:shd w:val="clear" w:color="auto" w:fill="1F4E79"/>
            <w:tcMar>
              <w:top w:w="60" w:type="dxa"/>
              <w:left w:w="100" w:type="dxa"/>
              <w:bottom w:w="60" w:type="dxa"/>
              <w:right w:w="100" w:type="dxa"/>
            </w:tcMar>
          </w:tcPr>
          <w:p w14:paraId="154D38DF" w14:textId="77777777" w:rsidR="00D038FA" w:rsidRDefault="00000000">
            <w:pPr>
              <w:spacing w:after="40"/>
            </w:pPr>
            <w:r>
              <w:rPr>
                <w:b/>
                <w:bCs/>
                <w:sz w:val="20"/>
                <w:szCs w:val="20"/>
              </w:rPr>
              <w:t>Recommended protocol</w:t>
            </w:r>
          </w:p>
        </w:tc>
      </w:tr>
      <w:tr w:rsidR="00D038FA" w14:paraId="215C27FC" w14:textId="77777777">
        <w:tc>
          <w:tcPr>
            <w:tcW w:w="1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71F6D26" w14:textId="77777777" w:rsidR="00D038FA" w:rsidRDefault="00000000">
            <w:pPr>
              <w:spacing w:after="40"/>
            </w:pPr>
            <w:r>
              <w:rPr>
                <w:sz w:val="20"/>
                <w:szCs w:val="20"/>
              </w:rPr>
              <w:t>Date of collection</w:t>
            </w:r>
          </w:p>
        </w:tc>
        <w:tc>
          <w:tcPr>
            <w:tcW w:w="1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BAB3FC4" w14:textId="77777777" w:rsidR="00D038FA" w:rsidRDefault="00000000">
            <w:pPr>
              <w:spacing w:after="40"/>
            </w:pPr>
            <w:r>
              <w:rPr>
                <w:sz w:val="20"/>
                <w:szCs w:val="20"/>
              </w:rPr>
              <w:t>Date</w:t>
            </w:r>
          </w:p>
        </w:tc>
        <w:tc>
          <w:tcPr>
            <w:tcW w:w="1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3BA30CD" w14:textId="77777777" w:rsidR="00D038FA" w:rsidRDefault="00000000">
            <w:pPr>
              <w:spacing w:after="40"/>
            </w:pPr>
            <w:r>
              <w:rPr>
                <w:sz w:val="20"/>
                <w:szCs w:val="20"/>
              </w:rPr>
              <w:t>YYYY-MM-DD (ISO 8601)</w:t>
            </w:r>
          </w:p>
        </w:tc>
        <w:tc>
          <w:tcPr>
            <w:tcW w:w="25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8EEDFD8" w14:textId="77777777" w:rsidR="00D038FA" w:rsidRDefault="00000000">
            <w:pPr>
              <w:spacing w:after="40"/>
            </w:pPr>
            <w:r>
              <w:rPr>
                <w:sz w:val="20"/>
                <w:szCs w:val="20"/>
              </w:rPr>
              <w:t>Date when data on fishing activity or catch were recorded</w:t>
            </w:r>
          </w:p>
        </w:tc>
        <w:tc>
          <w:tcPr>
            <w:tcW w:w="24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F0E443A" w14:textId="77777777" w:rsidR="00D038FA" w:rsidRDefault="00000000">
            <w:pPr>
              <w:spacing w:after="40"/>
            </w:pPr>
            <w:r>
              <w:rPr>
                <w:sz w:val="20"/>
                <w:szCs w:val="20"/>
              </w:rPr>
              <w:t>Use ISO 8601 format for full interoperability</w:t>
            </w:r>
          </w:p>
        </w:tc>
      </w:tr>
      <w:tr w:rsidR="00D038FA" w14:paraId="1D31CDBD" w14:textId="77777777">
        <w:tc>
          <w:tcPr>
            <w:tcW w:w="1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776A9E3" w14:textId="77777777" w:rsidR="00D038FA" w:rsidRDefault="00000000">
            <w:pPr>
              <w:spacing w:after="40"/>
            </w:pPr>
            <w:r>
              <w:rPr>
                <w:sz w:val="20"/>
                <w:szCs w:val="20"/>
              </w:rPr>
              <w:t>Landing site</w:t>
            </w:r>
          </w:p>
        </w:tc>
        <w:tc>
          <w:tcPr>
            <w:tcW w:w="1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E606446" w14:textId="77777777" w:rsidR="00D038FA" w:rsidRDefault="00000000">
            <w:pPr>
              <w:spacing w:after="40"/>
            </w:pPr>
            <w:r>
              <w:rPr>
                <w:sz w:val="20"/>
                <w:szCs w:val="20"/>
              </w:rPr>
              <w:t>Categorical</w:t>
            </w:r>
          </w:p>
        </w:tc>
        <w:tc>
          <w:tcPr>
            <w:tcW w:w="1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2F3A01A" w14:textId="77777777" w:rsidR="00D038FA" w:rsidRDefault="00000000">
            <w:pPr>
              <w:spacing w:after="40"/>
            </w:pPr>
            <w:r>
              <w:rPr>
                <w:sz w:val="20"/>
                <w:szCs w:val="20"/>
              </w:rPr>
              <w:t>Site name / ID</w:t>
            </w:r>
          </w:p>
        </w:tc>
        <w:tc>
          <w:tcPr>
            <w:tcW w:w="25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751FB02" w14:textId="77777777" w:rsidR="00D038FA" w:rsidRDefault="00000000">
            <w:pPr>
              <w:spacing w:after="40"/>
            </w:pPr>
            <w:r>
              <w:rPr>
                <w:sz w:val="20"/>
                <w:szCs w:val="20"/>
              </w:rPr>
              <w:t>Location at which boats land their catch</w:t>
            </w:r>
          </w:p>
        </w:tc>
        <w:tc>
          <w:tcPr>
            <w:tcW w:w="24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F175557" w14:textId="77777777" w:rsidR="00D038FA" w:rsidRDefault="00000000">
            <w:pPr>
              <w:spacing w:after="40"/>
            </w:pPr>
            <w:r>
              <w:rPr>
                <w:sz w:val="20"/>
                <w:szCs w:val="20"/>
              </w:rPr>
              <w:t>Each site should have associated geographical coordinates; align with FAO GAUL where applicable</w:t>
            </w:r>
          </w:p>
        </w:tc>
      </w:tr>
    </w:tbl>
    <w:p w14:paraId="1AAE8B0D" w14:textId="77777777" w:rsidR="00D038FA" w:rsidRDefault="00D038FA">
      <w:pPr>
        <w:spacing w:after="200"/>
      </w:pPr>
    </w:p>
    <w:p w14:paraId="35193ED3" w14:textId="77777777" w:rsidR="00D038FA" w:rsidRDefault="00000000">
      <w:pPr>
        <w:spacing w:after="120" w:line="276" w:lineRule="auto"/>
        <w:jc w:val="both"/>
      </w:pPr>
      <w:r>
        <w:rPr>
          <w:b/>
          <w:bCs/>
        </w:rPr>
        <w:t>Domain 2: Fishing effort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68"/>
        <w:gridCol w:w="1122"/>
        <w:gridCol w:w="1598"/>
        <w:gridCol w:w="2450"/>
        <w:gridCol w:w="2422"/>
      </w:tblGrid>
      <w:tr w:rsidR="00D038FA" w14:paraId="2EBBAEFF" w14:textId="77777777">
        <w:trPr>
          <w:tblHeader/>
        </w:trPr>
        <w:tc>
          <w:tcPr>
            <w:tcW w:w="1800" w:type="dxa"/>
            <w:tcBorders>
              <w:top w:val="single" w:sz="1" w:space="0" w:color="999999"/>
              <w:left w:val="single" w:sz="1" w:space="0" w:color="999999"/>
              <w:bottom w:val="single" w:sz="1" w:space="0" w:color="999999"/>
              <w:right w:val="single" w:sz="1" w:space="0" w:color="999999"/>
            </w:tcBorders>
            <w:shd w:val="clear" w:color="auto" w:fill="1F4E79"/>
            <w:tcMar>
              <w:top w:w="60" w:type="dxa"/>
              <w:left w:w="100" w:type="dxa"/>
              <w:bottom w:w="60" w:type="dxa"/>
              <w:right w:w="100" w:type="dxa"/>
            </w:tcMar>
          </w:tcPr>
          <w:p w14:paraId="248BFAF9" w14:textId="77777777" w:rsidR="00D038FA" w:rsidRDefault="00000000">
            <w:pPr>
              <w:spacing w:after="40"/>
            </w:pPr>
            <w:r>
              <w:rPr>
                <w:b/>
                <w:bCs/>
                <w:sz w:val="20"/>
                <w:szCs w:val="20"/>
              </w:rPr>
              <w:t>Variable</w:t>
            </w:r>
          </w:p>
        </w:tc>
        <w:tc>
          <w:tcPr>
            <w:tcW w:w="1000" w:type="dxa"/>
            <w:tcBorders>
              <w:top w:val="single" w:sz="1" w:space="0" w:color="999999"/>
              <w:left w:val="single" w:sz="1" w:space="0" w:color="999999"/>
              <w:bottom w:val="single" w:sz="1" w:space="0" w:color="999999"/>
              <w:right w:val="single" w:sz="1" w:space="0" w:color="999999"/>
            </w:tcBorders>
            <w:shd w:val="clear" w:color="auto" w:fill="1F4E79"/>
            <w:tcMar>
              <w:top w:w="60" w:type="dxa"/>
              <w:left w:w="100" w:type="dxa"/>
              <w:bottom w:w="60" w:type="dxa"/>
              <w:right w:w="100" w:type="dxa"/>
            </w:tcMar>
          </w:tcPr>
          <w:p w14:paraId="2927DF86" w14:textId="77777777" w:rsidR="00D038FA" w:rsidRDefault="00000000">
            <w:pPr>
              <w:spacing w:after="40"/>
            </w:pPr>
            <w:r>
              <w:rPr>
                <w:b/>
                <w:bCs/>
                <w:sz w:val="20"/>
                <w:szCs w:val="20"/>
              </w:rPr>
              <w:t>Data type</w:t>
            </w:r>
          </w:p>
        </w:tc>
        <w:tc>
          <w:tcPr>
            <w:tcW w:w="1600" w:type="dxa"/>
            <w:tcBorders>
              <w:top w:val="single" w:sz="1" w:space="0" w:color="999999"/>
              <w:left w:val="single" w:sz="1" w:space="0" w:color="999999"/>
              <w:bottom w:val="single" w:sz="1" w:space="0" w:color="999999"/>
              <w:right w:val="single" w:sz="1" w:space="0" w:color="999999"/>
            </w:tcBorders>
            <w:shd w:val="clear" w:color="auto" w:fill="1F4E79"/>
            <w:tcMar>
              <w:top w:w="60" w:type="dxa"/>
              <w:left w:w="100" w:type="dxa"/>
              <w:bottom w:w="60" w:type="dxa"/>
              <w:right w:w="100" w:type="dxa"/>
            </w:tcMar>
          </w:tcPr>
          <w:p w14:paraId="79B6F2F0" w14:textId="77777777" w:rsidR="00D038FA" w:rsidRDefault="00000000">
            <w:pPr>
              <w:spacing w:after="40"/>
            </w:pPr>
            <w:r>
              <w:rPr>
                <w:b/>
                <w:bCs/>
                <w:sz w:val="20"/>
                <w:szCs w:val="20"/>
              </w:rPr>
              <w:t>Unit / Format</w:t>
            </w:r>
          </w:p>
        </w:tc>
        <w:tc>
          <w:tcPr>
            <w:tcW w:w="2500" w:type="dxa"/>
            <w:tcBorders>
              <w:top w:val="single" w:sz="1" w:space="0" w:color="999999"/>
              <w:left w:val="single" w:sz="1" w:space="0" w:color="999999"/>
              <w:bottom w:val="single" w:sz="1" w:space="0" w:color="999999"/>
              <w:right w:val="single" w:sz="1" w:space="0" w:color="999999"/>
            </w:tcBorders>
            <w:shd w:val="clear" w:color="auto" w:fill="1F4E79"/>
            <w:tcMar>
              <w:top w:w="60" w:type="dxa"/>
              <w:left w:w="100" w:type="dxa"/>
              <w:bottom w:w="60" w:type="dxa"/>
              <w:right w:w="100" w:type="dxa"/>
            </w:tcMar>
          </w:tcPr>
          <w:p w14:paraId="7A92EA87" w14:textId="77777777" w:rsidR="00D038FA" w:rsidRDefault="00000000">
            <w:pPr>
              <w:spacing w:after="40"/>
            </w:pPr>
            <w:r>
              <w:rPr>
                <w:b/>
                <w:bCs/>
                <w:sz w:val="20"/>
                <w:szCs w:val="20"/>
              </w:rPr>
              <w:t>Description</w:t>
            </w:r>
          </w:p>
        </w:tc>
        <w:tc>
          <w:tcPr>
            <w:tcW w:w="2460" w:type="dxa"/>
            <w:tcBorders>
              <w:top w:val="single" w:sz="1" w:space="0" w:color="999999"/>
              <w:left w:val="single" w:sz="1" w:space="0" w:color="999999"/>
              <w:bottom w:val="single" w:sz="1" w:space="0" w:color="999999"/>
              <w:right w:val="single" w:sz="1" w:space="0" w:color="999999"/>
            </w:tcBorders>
            <w:shd w:val="clear" w:color="auto" w:fill="1F4E79"/>
            <w:tcMar>
              <w:top w:w="60" w:type="dxa"/>
              <w:left w:w="100" w:type="dxa"/>
              <w:bottom w:w="60" w:type="dxa"/>
              <w:right w:w="100" w:type="dxa"/>
            </w:tcMar>
          </w:tcPr>
          <w:p w14:paraId="713C3B4B" w14:textId="77777777" w:rsidR="00D038FA" w:rsidRDefault="00000000">
            <w:pPr>
              <w:spacing w:after="40"/>
            </w:pPr>
            <w:r>
              <w:rPr>
                <w:b/>
                <w:bCs/>
                <w:sz w:val="20"/>
                <w:szCs w:val="20"/>
              </w:rPr>
              <w:t>Recommended protocol</w:t>
            </w:r>
          </w:p>
        </w:tc>
      </w:tr>
      <w:tr w:rsidR="00D038FA" w14:paraId="152B17A3" w14:textId="77777777">
        <w:tc>
          <w:tcPr>
            <w:tcW w:w="1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1354520" w14:textId="77777777" w:rsidR="00D038FA" w:rsidRDefault="00000000">
            <w:pPr>
              <w:spacing w:after="40"/>
            </w:pPr>
            <w:r>
              <w:rPr>
                <w:sz w:val="20"/>
                <w:szCs w:val="20"/>
              </w:rPr>
              <w:t>Vessel / boat type</w:t>
            </w:r>
          </w:p>
        </w:tc>
        <w:tc>
          <w:tcPr>
            <w:tcW w:w="1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3A9CA52" w14:textId="77777777" w:rsidR="00D038FA" w:rsidRDefault="00000000">
            <w:pPr>
              <w:spacing w:after="40"/>
            </w:pPr>
            <w:r>
              <w:rPr>
                <w:sz w:val="20"/>
                <w:szCs w:val="20"/>
              </w:rPr>
              <w:t>Categorical</w:t>
            </w:r>
          </w:p>
        </w:tc>
        <w:tc>
          <w:tcPr>
            <w:tcW w:w="1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3C382A2" w14:textId="77777777" w:rsidR="00D038FA" w:rsidRDefault="00000000">
            <w:pPr>
              <w:spacing w:after="40"/>
            </w:pPr>
            <w:r>
              <w:rPr>
                <w:sz w:val="20"/>
                <w:szCs w:val="20"/>
              </w:rPr>
              <w:t>Text / code list</w:t>
            </w:r>
          </w:p>
        </w:tc>
        <w:tc>
          <w:tcPr>
            <w:tcW w:w="25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E774855" w14:textId="77777777" w:rsidR="00D038FA" w:rsidRDefault="00000000">
            <w:pPr>
              <w:spacing w:after="40"/>
            </w:pPr>
            <w:r>
              <w:rPr>
                <w:sz w:val="20"/>
                <w:szCs w:val="20"/>
              </w:rPr>
              <w:t>Type of vessel or boat used for fishing</w:t>
            </w:r>
          </w:p>
        </w:tc>
        <w:tc>
          <w:tcPr>
            <w:tcW w:w="24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11EC9A9" w14:textId="77777777" w:rsidR="00D038FA" w:rsidRDefault="00000000">
            <w:pPr>
              <w:spacing w:after="40"/>
            </w:pPr>
            <w:r>
              <w:rPr>
                <w:sz w:val="20"/>
                <w:szCs w:val="20"/>
              </w:rPr>
              <w:t>Adopt a regionally agreed vessel typology</w:t>
            </w:r>
          </w:p>
        </w:tc>
      </w:tr>
      <w:tr w:rsidR="00D038FA" w14:paraId="0AB25C74" w14:textId="77777777">
        <w:tc>
          <w:tcPr>
            <w:tcW w:w="1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1368762" w14:textId="77777777" w:rsidR="00D038FA" w:rsidRDefault="00000000">
            <w:pPr>
              <w:spacing w:after="40"/>
            </w:pPr>
            <w:r>
              <w:rPr>
                <w:sz w:val="20"/>
                <w:szCs w:val="20"/>
              </w:rPr>
              <w:t>Number of fishing trips</w:t>
            </w:r>
          </w:p>
        </w:tc>
        <w:tc>
          <w:tcPr>
            <w:tcW w:w="1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3F47E4D" w14:textId="77777777" w:rsidR="00D038FA" w:rsidRDefault="00000000">
            <w:pPr>
              <w:spacing w:after="40"/>
            </w:pPr>
            <w:r>
              <w:rPr>
                <w:sz w:val="20"/>
                <w:szCs w:val="20"/>
              </w:rPr>
              <w:t>Integer</w:t>
            </w:r>
          </w:p>
        </w:tc>
        <w:tc>
          <w:tcPr>
            <w:tcW w:w="1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59E1AF1" w14:textId="77777777" w:rsidR="00D038FA" w:rsidRDefault="00000000">
            <w:pPr>
              <w:spacing w:after="40"/>
            </w:pPr>
            <w:r>
              <w:rPr>
                <w:sz w:val="20"/>
                <w:szCs w:val="20"/>
              </w:rPr>
              <w:t>Trips per day/week/month</w:t>
            </w:r>
          </w:p>
        </w:tc>
        <w:tc>
          <w:tcPr>
            <w:tcW w:w="25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D7C4BE8" w14:textId="77777777" w:rsidR="00D038FA" w:rsidRDefault="00000000">
            <w:pPr>
              <w:spacing w:after="40"/>
            </w:pPr>
            <w:r>
              <w:rPr>
                <w:sz w:val="20"/>
                <w:szCs w:val="20"/>
              </w:rPr>
              <w:t>Frequency of fishing trips in a given time unit</w:t>
            </w:r>
          </w:p>
        </w:tc>
        <w:tc>
          <w:tcPr>
            <w:tcW w:w="24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478D5E3" w14:textId="77777777" w:rsidR="00D038FA" w:rsidRDefault="00000000">
            <w:pPr>
              <w:spacing w:after="40"/>
            </w:pPr>
            <w:r>
              <w:rPr>
                <w:sz w:val="20"/>
                <w:szCs w:val="20"/>
              </w:rPr>
              <w:t>Enumerator recall survey or logbook records</w:t>
            </w:r>
          </w:p>
        </w:tc>
      </w:tr>
      <w:tr w:rsidR="00D038FA" w14:paraId="1CB892F3" w14:textId="77777777">
        <w:tc>
          <w:tcPr>
            <w:tcW w:w="1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79192B2" w14:textId="77777777" w:rsidR="00D038FA" w:rsidRDefault="00000000">
            <w:pPr>
              <w:spacing w:after="40"/>
            </w:pPr>
            <w:r>
              <w:rPr>
                <w:sz w:val="20"/>
                <w:szCs w:val="20"/>
              </w:rPr>
              <w:t>Gear type</w:t>
            </w:r>
          </w:p>
        </w:tc>
        <w:tc>
          <w:tcPr>
            <w:tcW w:w="1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6B5BE96" w14:textId="77777777" w:rsidR="00D038FA" w:rsidRDefault="00000000">
            <w:pPr>
              <w:spacing w:after="40"/>
            </w:pPr>
            <w:r>
              <w:rPr>
                <w:sz w:val="20"/>
                <w:szCs w:val="20"/>
              </w:rPr>
              <w:t>Categorical</w:t>
            </w:r>
          </w:p>
        </w:tc>
        <w:tc>
          <w:tcPr>
            <w:tcW w:w="1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55D4700" w14:textId="77777777" w:rsidR="00D038FA" w:rsidRDefault="00000000">
            <w:pPr>
              <w:spacing w:after="40"/>
            </w:pPr>
            <w:r>
              <w:rPr>
                <w:sz w:val="20"/>
                <w:szCs w:val="20"/>
              </w:rPr>
              <w:t>Text / code list</w:t>
            </w:r>
          </w:p>
        </w:tc>
        <w:tc>
          <w:tcPr>
            <w:tcW w:w="25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679A1EC" w14:textId="77777777" w:rsidR="00D038FA" w:rsidRDefault="00000000">
            <w:pPr>
              <w:spacing w:after="40"/>
            </w:pPr>
            <w:r>
              <w:rPr>
                <w:sz w:val="20"/>
                <w:szCs w:val="20"/>
              </w:rPr>
              <w:t>Fishing gear used during the trip</w:t>
            </w:r>
          </w:p>
        </w:tc>
        <w:tc>
          <w:tcPr>
            <w:tcW w:w="24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34582D3" w14:textId="77777777" w:rsidR="00D038FA" w:rsidRDefault="00000000">
            <w:pPr>
              <w:spacing w:after="40"/>
            </w:pPr>
            <w:r>
              <w:rPr>
                <w:sz w:val="20"/>
                <w:szCs w:val="20"/>
              </w:rPr>
              <w:t>Classify using the FAO ISSCFG standard codes</w:t>
            </w:r>
          </w:p>
        </w:tc>
      </w:tr>
      <w:tr w:rsidR="00D038FA" w14:paraId="3B676C02" w14:textId="77777777">
        <w:tc>
          <w:tcPr>
            <w:tcW w:w="1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FEA33E4" w14:textId="77777777" w:rsidR="00D038FA" w:rsidRDefault="00000000">
            <w:pPr>
              <w:spacing w:after="40"/>
            </w:pPr>
            <w:r>
              <w:rPr>
                <w:sz w:val="20"/>
                <w:szCs w:val="20"/>
              </w:rPr>
              <w:lastRenderedPageBreak/>
              <w:t>Number of fishers per trip</w:t>
            </w:r>
          </w:p>
        </w:tc>
        <w:tc>
          <w:tcPr>
            <w:tcW w:w="1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6D5AAD7" w14:textId="77777777" w:rsidR="00D038FA" w:rsidRDefault="00000000">
            <w:pPr>
              <w:spacing w:after="40"/>
            </w:pPr>
            <w:r>
              <w:rPr>
                <w:sz w:val="20"/>
                <w:szCs w:val="20"/>
              </w:rPr>
              <w:t>Integer</w:t>
            </w:r>
          </w:p>
        </w:tc>
        <w:tc>
          <w:tcPr>
            <w:tcW w:w="1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E07BB11" w14:textId="77777777" w:rsidR="00D038FA" w:rsidRDefault="00000000">
            <w:pPr>
              <w:spacing w:after="40"/>
            </w:pPr>
            <w:r>
              <w:rPr>
                <w:sz w:val="20"/>
                <w:szCs w:val="20"/>
              </w:rPr>
              <w:t>Persons</w:t>
            </w:r>
          </w:p>
        </w:tc>
        <w:tc>
          <w:tcPr>
            <w:tcW w:w="25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9A06786" w14:textId="77777777" w:rsidR="00D038FA" w:rsidRDefault="00000000">
            <w:pPr>
              <w:spacing w:after="40"/>
            </w:pPr>
            <w:r>
              <w:rPr>
                <w:sz w:val="20"/>
                <w:szCs w:val="20"/>
              </w:rPr>
              <w:t>Number of crew members actively fishing during the trip</w:t>
            </w:r>
          </w:p>
        </w:tc>
        <w:tc>
          <w:tcPr>
            <w:tcW w:w="24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9B04C2F" w14:textId="77777777" w:rsidR="00D038FA" w:rsidRDefault="00000000">
            <w:pPr>
              <w:spacing w:after="40"/>
            </w:pPr>
            <w:r>
              <w:rPr>
                <w:sz w:val="20"/>
                <w:szCs w:val="20"/>
              </w:rPr>
              <w:t>Record active fishers only</w:t>
            </w:r>
          </w:p>
        </w:tc>
      </w:tr>
      <w:tr w:rsidR="00D038FA" w14:paraId="4DEA9DC4" w14:textId="77777777">
        <w:tc>
          <w:tcPr>
            <w:tcW w:w="1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9A766C4" w14:textId="77777777" w:rsidR="00D038FA" w:rsidRDefault="00000000">
            <w:pPr>
              <w:spacing w:after="40"/>
            </w:pPr>
            <w:r>
              <w:rPr>
                <w:sz w:val="20"/>
                <w:szCs w:val="20"/>
              </w:rPr>
              <w:t>Duration of fishing trip</w:t>
            </w:r>
          </w:p>
        </w:tc>
        <w:tc>
          <w:tcPr>
            <w:tcW w:w="1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61E1F1A" w14:textId="77777777" w:rsidR="00D038FA" w:rsidRDefault="00000000">
            <w:pPr>
              <w:spacing w:after="40"/>
            </w:pPr>
            <w:r>
              <w:rPr>
                <w:sz w:val="20"/>
                <w:szCs w:val="20"/>
              </w:rPr>
              <w:t>Decimal</w:t>
            </w:r>
          </w:p>
        </w:tc>
        <w:tc>
          <w:tcPr>
            <w:tcW w:w="1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C9C2798" w14:textId="77777777" w:rsidR="00D038FA" w:rsidRDefault="00000000">
            <w:pPr>
              <w:spacing w:after="40"/>
            </w:pPr>
            <w:r>
              <w:rPr>
                <w:sz w:val="20"/>
                <w:szCs w:val="20"/>
              </w:rPr>
              <w:t>Hours</w:t>
            </w:r>
          </w:p>
        </w:tc>
        <w:tc>
          <w:tcPr>
            <w:tcW w:w="25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DA7FBDE" w14:textId="77777777" w:rsidR="00D038FA" w:rsidRDefault="00000000">
            <w:pPr>
              <w:spacing w:after="40"/>
            </w:pPr>
            <w:r>
              <w:rPr>
                <w:sz w:val="20"/>
                <w:szCs w:val="20"/>
              </w:rPr>
              <w:t>Total time spent fishing during a single trip</w:t>
            </w:r>
          </w:p>
        </w:tc>
        <w:tc>
          <w:tcPr>
            <w:tcW w:w="24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0761AB1" w14:textId="77777777" w:rsidR="00D038FA" w:rsidRDefault="00000000">
            <w:pPr>
              <w:spacing w:after="40"/>
            </w:pPr>
            <w:r>
              <w:rPr>
                <w:sz w:val="20"/>
                <w:szCs w:val="20"/>
              </w:rPr>
              <w:t>Standardize to hours across all institutions</w:t>
            </w:r>
          </w:p>
        </w:tc>
      </w:tr>
    </w:tbl>
    <w:p w14:paraId="3CB33B27" w14:textId="77777777" w:rsidR="00D038FA" w:rsidRDefault="00D038FA">
      <w:pPr>
        <w:spacing w:after="200"/>
      </w:pPr>
    </w:p>
    <w:p w14:paraId="42F10908" w14:textId="77777777" w:rsidR="00D038FA" w:rsidRDefault="00000000">
      <w:pPr>
        <w:spacing w:after="120" w:line="276" w:lineRule="auto"/>
        <w:jc w:val="both"/>
      </w:pPr>
      <w:r>
        <w:rPr>
          <w:b/>
          <w:bCs/>
        </w:rPr>
        <w:t>Domain 3: Catch composition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71"/>
        <w:gridCol w:w="1122"/>
        <w:gridCol w:w="1583"/>
        <w:gridCol w:w="2458"/>
        <w:gridCol w:w="2426"/>
      </w:tblGrid>
      <w:tr w:rsidR="00D038FA" w14:paraId="044AB005" w14:textId="77777777">
        <w:trPr>
          <w:tblHeader/>
        </w:trPr>
        <w:tc>
          <w:tcPr>
            <w:tcW w:w="1800" w:type="dxa"/>
            <w:tcBorders>
              <w:top w:val="single" w:sz="1" w:space="0" w:color="999999"/>
              <w:left w:val="single" w:sz="1" w:space="0" w:color="999999"/>
              <w:bottom w:val="single" w:sz="1" w:space="0" w:color="999999"/>
              <w:right w:val="single" w:sz="1" w:space="0" w:color="999999"/>
            </w:tcBorders>
            <w:shd w:val="clear" w:color="auto" w:fill="1F4E79"/>
            <w:tcMar>
              <w:top w:w="60" w:type="dxa"/>
              <w:left w:w="100" w:type="dxa"/>
              <w:bottom w:w="60" w:type="dxa"/>
              <w:right w:w="100" w:type="dxa"/>
            </w:tcMar>
          </w:tcPr>
          <w:p w14:paraId="33F444C9" w14:textId="77777777" w:rsidR="00D038FA" w:rsidRDefault="00000000">
            <w:pPr>
              <w:spacing w:after="40"/>
            </w:pPr>
            <w:r>
              <w:rPr>
                <w:b/>
                <w:bCs/>
                <w:sz w:val="20"/>
                <w:szCs w:val="20"/>
              </w:rPr>
              <w:t>Variable</w:t>
            </w:r>
          </w:p>
        </w:tc>
        <w:tc>
          <w:tcPr>
            <w:tcW w:w="1000" w:type="dxa"/>
            <w:tcBorders>
              <w:top w:val="single" w:sz="1" w:space="0" w:color="999999"/>
              <w:left w:val="single" w:sz="1" w:space="0" w:color="999999"/>
              <w:bottom w:val="single" w:sz="1" w:space="0" w:color="999999"/>
              <w:right w:val="single" w:sz="1" w:space="0" w:color="999999"/>
            </w:tcBorders>
            <w:shd w:val="clear" w:color="auto" w:fill="1F4E79"/>
            <w:tcMar>
              <w:top w:w="60" w:type="dxa"/>
              <w:left w:w="100" w:type="dxa"/>
              <w:bottom w:w="60" w:type="dxa"/>
              <w:right w:w="100" w:type="dxa"/>
            </w:tcMar>
          </w:tcPr>
          <w:p w14:paraId="3CFF946F" w14:textId="77777777" w:rsidR="00D038FA" w:rsidRDefault="00000000">
            <w:pPr>
              <w:spacing w:after="40"/>
            </w:pPr>
            <w:r>
              <w:rPr>
                <w:b/>
                <w:bCs/>
                <w:sz w:val="20"/>
                <w:szCs w:val="20"/>
              </w:rPr>
              <w:t>Data type</w:t>
            </w:r>
          </w:p>
        </w:tc>
        <w:tc>
          <w:tcPr>
            <w:tcW w:w="1600" w:type="dxa"/>
            <w:tcBorders>
              <w:top w:val="single" w:sz="1" w:space="0" w:color="999999"/>
              <w:left w:val="single" w:sz="1" w:space="0" w:color="999999"/>
              <w:bottom w:val="single" w:sz="1" w:space="0" w:color="999999"/>
              <w:right w:val="single" w:sz="1" w:space="0" w:color="999999"/>
            </w:tcBorders>
            <w:shd w:val="clear" w:color="auto" w:fill="1F4E79"/>
            <w:tcMar>
              <w:top w:w="60" w:type="dxa"/>
              <w:left w:w="100" w:type="dxa"/>
              <w:bottom w:w="60" w:type="dxa"/>
              <w:right w:w="100" w:type="dxa"/>
            </w:tcMar>
          </w:tcPr>
          <w:p w14:paraId="33EE2FC1" w14:textId="77777777" w:rsidR="00D038FA" w:rsidRDefault="00000000">
            <w:pPr>
              <w:spacing w:after="40"/>
            </w:pPr>
            <w:r>
              <w:rPr>
                <w:b/>
                <w:bCs/>
                <w:sz w:val="20"/>
                <w:szCs w:val="20"/>
              </w:rPr>
              <w:t>Unit / Format</w:t>
            </w:r>
          </w:p>
        </w:tc>
        <w:tc>
          <w:tcPr>
            <w:tcW w:w="2500" w:type="dxa"/>
            <w:tcBorders>
              <w:top w:val="single" w:sz="1" w:space="0" w:color="999999"/>
              <w:left w:val="single" w:sz="1" w:space="0" w:color="999999"/>
              <w:bottom w:val="single" w:sz="1" w:space="0" w:color="999999"/>
              <w:right w:val="single" w:sz="1" w:space="0" w:color="999999"/>
            </w:tcBorders>
            <w:shd w:val="clear" w:color="auto" w:fill="1F4E79"/>
            <w:tcMar>
              <w:top w:w="60" w:type="dxa"/>
              <w:left w:w="100" w:type="dxa"/>
              <w:bottom w:w="60" w:type="dxa"/>
              <w:right w:w="100" w:type="dxa"/>
            </w:tcMar>
          </w:tcPr>
          <w:p w14:paraId="53AAD940" w14:textId="77777777" w:rsidR="00D038FA" w:rsidRDefault="00000000">
            <w:pPr>
              <w:spacing w:after="40"/>
            </w:pPr>
            <w:r>
              <w:rPr>
                <w:b/>
                <w:bCs/>
                <w:sz w:val="20"/>
                <w:szCs w:val="20"/>
              </w:rPr>
              <w:t>Description</w:t>
            </w:r>
          </w:p>
        </w:tc>
        <w:tc>
          <w:tcPr>
            <w:tcW w:w="2460" w:type="dxa"/>
            <w:tcBorders>
              <w:top w:val="single" w:sz="1" w:space="0" w:color="999999"/>
              <w:left w:val="single" w:sz="1" w:space="0" w:color="999999"/>
              <w:bottom w:val="single" w:sz="1" w:space="0" w:color="999999"/>
              <w:right w:val="single" w:sz="1" w:space="0" w:color="999999"/>
            </w:tcBorders>
            <w:shd w:val="clear" w:color="auto" w:fill="1F4E79"/>
            <w:tcMar>
              <w:top w:w="60" w:type="dxa"/>
              <w:left w:w="100" w:type="dxa"/>
              <w:bottom w:w="60" w:type="dxa"/>
              <w:right w:w="100" w:type="dxa"/>
            </w:tcMar>
          </w:tcPr>
          <w:p w14:paraId="5C5D59CB" w14:textId="77777777" w:rsidR="00D038FA" w:rsidRDefault="00000000">
            <w:pPr>
              <w:spacing w:after="40"/>
            </w:pPr>
            <w:r>
              <w:rPr>
                <w:b/>
                <w:bCs/>
                <w:sz w:val="20"/>
                <w:szCs w:val="20"/>
              </w:rPr>
              <w:t>Recommended protocol</w:t>
            </w:r>
          </w:p>
        </w:tc>
      </w:tr>
      <w:tr w:rsidR="00D038FA" w14:paraId="0DD2AD12" w14:textId="77777777">
        <w:tc>
          <w:tcPr>
            <w:tcW w:w="1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04F592D" w14:textId="77777777" w:rsidR="00D038FA" w:rsidRDefault="00000000">
            <w:pPr>
              <w:spacing w:after="40"/>
            </w:pPr>
            <w:r>
              <w:rPr>
                <w:sz w:val="20"/>
                <w:szCs w:val="20"/>
              </w:rPr>
              <w:t>Fish group / species</w:t>
            </w:r>
          </w:p>
        </w:tc>
        <w:tc>
          <w:tcPr>
            <w:tcW w:w="1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F1CF761" w14:textId="77777777" w:rsidR="00D038FA" w:rsidRDefault="00000000">
            <w:pPr>
              <w:spacing w:after="40"/>
            </w:pPr>
            <w:r>
              <w:rPr>
                <w:sz w:val="20"/>
                <w:szCs w:val="20"/>
              </w:rPr>
              <w:t>Categorical</w:t>
            </w:r>
          </w:p>
        </w:tc>
        <w:tc>
          <w:tcPr>
            <w:tcW w:w="1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54B0A85" w14:textId="77777777" w:rsidR="00D038FA" w:rsidRDefault="00000000">
            <w:pPr>
              <w:spacing w:after="40"/>
            </w:pPr>
            <w:r>
              <w:rPr>
                <w:sz w:val="20"/>
                <w:szCs w:val="20"/>
              </w:rPr>
              <w:t>Taxonomic group</w:t>
            </w:r>
          </w:p>
        </w:tc>
        <w:tc>
          <w:tcPr>
            <w:tcW w:w="25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ADF78B1" w14:textId="77777777" w:rsidR="00D038FA" w:rsidRDefault="00000000">
            <w:pPr>
              <w:spacing w:after="40"/>
            </w:pPr>
            <w:r>
              <w:rPr>
                <w:sz w:val="20"/>
                <w:szCs w:val="20"/>
              </w:rPr>
              <w:t>Taxonomic identification of catch</w:t>
            </w:r>
          </w:p>
        </w:tc>
        <w:tc>
          <w:tcPr>
            <w:tcW w:w="24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A25F91E" w14:textId="77777777" w:rsidR="00D038FA" w:rsidRDefault="00000000">
            <w:pPr>
              <w:spacing w:after="40"/>
            </w:pPr>
            <w:r>
              <w:rPr>
                <w:sz w:val="20"/>
                <w:szCs w:val="20"/>
              </w:rPr>
              <w:t>Use FAO ASFIS list; record FAO 3-alpha code where possible</w:t>
            </w:r>
          </w:p>
        </w:tc>
      </w:tr>
      <w:tr w:rsidR="00D038FA" w14:paraId="2C6C6C5C" w14:textId="77777777">
        <w:tc>
          <w:tcPr>
            <w:tcW w:w="1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64655B7" w14:textId="77777777" w:rsidR="00D038FA" w:rsidRDefault="00000000">
            <w:pPr>
              <w:spacing w:after="40"/>
            </w:pPr>
            <w:r>
              <w:rPr>
                <w:sz w:val="20"/>
                <w:szCs w:val="20"/>
              </w:rPr>
              <w:t>Fish length</w:t>
            </w:r>
          </w:p>
        </w:tc>
        <w:tc>
          <w:tcPr>
            <w:tcW w:w="1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35346F1" w14:textId="77777777" w:rsidR="00D038FA" w:rsidRDefault="00000000">
            <w:pPr>
              <w:spacing w:after="40"/>
            </w:pPr>
            <w:r>
              <w:rPr>
                <w:sz w:val="20"/>
                <w:szCs w:val="20"/>
              </w:rPr>
              <w:t>Decimal</w:t>
            </w:r>
          </w:p>
        </w:tc>
        <w:tc>
          <w:tcPr>
            <w:tcW w:w="1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CD54FE3" w14:textId="77777777" w:rsidR="00D038FA" w:rsidRDefault="00000000">
            <w:pPr>
              <w:spacing w:after="40"/>
            </w:pPr>
            <w:r>
              <w:rPr>
                <w:sz w:val="20"/>
                <w:szCs w:val="20"/>
              </w:rPr>
              <w:t>cm</w:t>
            </w:r>
          </w:p>
        </w:tc>
        <w:tc>
          <w:tcPr>
            <w:tcW w:w="25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E66841E" w14:textId="77777777" w:rsidR="00D038FA" w:rsidRDefault="00000000">
            <w:pPr>
              <w:spacing w:after="40"/>
            </w:pPr>
            <w:r>
              <w:rPr>
                <w:sz w:val="20"/>
                <w:szCs w:val="20"/>
              </w:rPr>
              <w:t>Length of individual fish sampled from the catch</w:t>
            </w:r>
          </w:p>
        </w:tc>
        <w:tc>
          <w:tcPr>
            <w:tcW w:w="24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DE745C4" w14:textId="77777777" w:rsidR="00D038FA" w:rsidRDefault="00000000">
            <w:pPr>
              <w:spacing w:after="40"/>
            </w:pPr>
            <w:r>
              <w:rPr>
                <w:sz w:val="20"/>
                <w:szCs w:val="20"/>
              </w:rPr>
              <w:t>Specify measurement type (standard, fork, or total length) consistently</w:t>
            </w:r>
          </w:p>
        </w:tc>
      </w:tr>
      <w:tr w:rsidR="00D038FA" w14:paraId="35CC3CF8" w14:textId="77777777">
        <w:tc>
          <w:tcPr>
            <w:tcW w:w="1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685DE83" w14:textId="77777777" w:rsidR="00D038FA" w:rsidRDefault="00000000">
            <w:pPr>
              <w:spacing w:after="40"/>
            </w:pPr>
            <w:r>
              <w:rPr>
                <w:sz w:val="20"/>
                <w:szCs w:val="20"/>
              </w:rPr>
              <w:t>Catch weight</w:t>
            </w:r>
          </w:p>
        </w:tc>
        <w:tc>
          <w:tcPr>
            <w:tcW w:w="1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8B6204E" w14:textId="77777777" w:rsidR="00D038FA" w:rsidRDefault="00000000">
            <w:pPr>
              <w:spacing w:after="40"/>
            </w:pPr>
            <w:r>
              <w:rPr>
                <w:sz w:val="20"/>
                <w:szCs w:val="20"/>
              </w:rPr>
              <w:t>Decimal</w:t>
            </w:r>
          </w:p>
        </w:tc>
        <w:tc>
          <w:tcPr>
            <w:tcW w:w="1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E022C93" w14:textId="77777777" w:rsidR="00D038FA" w:rsidRDefault="00000000">
            <w:pPr>
              <w:spacing w:after="40"/>
            </w:pPr>
            <w:r>
              <w:rPr>
                <w:sz w:val="20"/>
                <w:szCs w:val="20"/>
              </w:rPr>
              <w:t>kg</w:t>
            </w:r>
          </w:p>
        </w:tc>
        <w:tc>
          <w:tcPr>
            <w:tcW w:w="25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474CDE2" w14:textId="77777777" w:rsidR="00D038FA" w:rsidRDefault="00000000">
            <w:pPr>
              <w:spacing w:after="40"/>
            </w:pPr>
            <w:r>
              <w:rPr>
                <w:sz w:val="20"/>
                <w:szCs w:val="20"/>
              </w:rPr>
              <w:t>Weight of catch per species or group</w:t>
            </w:r>
          </w:p>
        </w:tc>
        <w:tc>
          <w:tcPr>
            <w:tcW w:w="24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00B1FB5" w14:textId="77777777" w:rsidR="00D038FA" w:rsidRDefault="00000000">
            <w:pPr>
              <w:spacing w:after="40"/>
            </w:pPr>
            <w:r>
              <w:rPr>
                <w:sz w:val="20"/>
                <w:szCs w:val="20"/>
              </w:rPr>
              <w:t>Specify whether total catch or sampled weight</w:t>
            </w:r>
          </w:p>
        </w:tc>
      </w:tr>
    </w:tbl>
    <w:p w14:paraId="774BC43E" w14:textId="77777777" w:rsidR="00D038FA" w:rsidRDefault="00D038FA">
      <w:pPr>
        <w:spacing w:after="200"/>
      </w:pPr>
    </w:p>
    <w:p w14:paraId="30B469AC" w14:textId="77777777" w:rsidR="00D038FA" w:rsidRDefault="00000000">
      <w:pPr>
        <w:spacing w:after="120" w:line="276" w:lineRule="auto"/>
        <w:jc w:val="both"/>
      </w:pPr>
      <w:r>
        <w:rPr>
          <w:b/>
          <w:bCs/>
        </w:rPr>
        <w:t>Domain 4: Socio-economic and environmental context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72"/>
        <w:gridCol w:w="1122"/>
        <w:gridCol w:w="1578"/>
        <w:gridCol w:w="2459"/>
        <w:gridCol w:w="2429"/>
      </w:tblGrid>
      <w:tr w:rsidR="00D038FA" w14:paraId="778C06E5" w14:textId="77777777">
        <w:trPr>
          <w:tblHeader/>
        </w:trPr>
        <w:tc>
          <w:tcPr>
            <w:tcW w:w="1800" w:type="dxa"/>
            <w:tcBorders>
              <w:top w:val="single" w:sz="1" w:space="0" w:color="999999"/>
              <w:left w:val="single" w:sz="1" w:space="0" w:color="999999"/>
              <w:bottom w:val="single" w:sz="1" w:space="0" w:color="999999"/>
              <w:right w:val="single" w:sz="1" w:space="0" w:color="999999"/>
            </w:tcBorders>
            <w:shd w:val="clear" w:color="auto" w:fill="1F4E79"/>
            <w:tcMar>
              <w:top w:w="60" w:type="dxa"/>
              <w:left w:w="100" w:type="dxa"/>
              <w:bottom w:w="60" w:type="dxa"/>
              <w:right w:w="100" w:type="dxa"/>
            </w:tcMar>
          </w:tcPr>
          <w:p w14:paraId="1446BB96" w14:textId="77777777" w:rsidR="00D038FA" w:rsidRDefault="00000000">
            <w:pPr>
              <w:spacing w:after="40"/>
            </w:pPr>
            <w:r>
              <w:rPr>
                <w:b/>
                <w:bCs/>
                <w:sz w:val="20"/>
                <w:szCs w:val="20"/>
              </w:rPr>
              <w:t>Variable</w:t>
            </w:r>
          </w:p>
        </w:tc>
        <w:tc>
          <w:tcPr>
            <w:tcW w:w="1000" w:type="dxa"/>
            <w:tcBorders>
              <w:top w:val="single" w:sz="1" w:space="0" w:color="999999"/>
              <w:left w:val="single" w:sz="1" w:space="0" w:color="999999"/>
              <w:bottom w:val="single" w:sz="1" w:space="0" w:color="999999"/>
              <w:right w:val="single" w:sz="1" w:space="0" w:color="999999"/>
            </w:tcBorders>
            <w:shd w:val="clear" w:color="auto" w:fill="1F4E79"/>
            <w:tcMar>
              <w:top w:w="60" w:type="dxa"/>
              <w:left w:w="100" w:type="dxa"/>
              <w:bottom w:w="60" w:type="dxa"/>
              <w:right w:w="100" w:type="dxa"/>
            </w:tcMar>
          </w:tcPr>
          <w:p w14:paraId="789723A2" w14:textId="77777777" w:rsidR="00D038FA" w:rsidRDefault="00000000">
            <w:pPr>
              <w:spacing w:after="40"/>
            </w:pPr>
            <w:r>
              <w:rPr>
                <w:b/>
                <w:bCs/>
                <w:sz w:val="20"/>
                <w:szCs w:val="20"/>
              </w:rPr>
              <w:t>Data type</w:t>
            </w:r>
          </w:p>
        </w:tc>
        <w:tc>
          <w:tcPr>
            <w:tcW w:w="1600" w:type="dxa"/>
            <w:tcBorders>
              <w:top w:val="single" w:sz="1" w:space="0" w:color="999999"/>
              <w:left w:val="single" w:sz="1" w:space="0" w:color="999999"/>
              <w:bottom w:val="single" w:sz="1" w:space="0" w:color="999999"/>
              <w:right w:val="single" w:sz="1" w:space="0" w:color="999999"/>
            </w:tcBorders>
            <w:shd w:val="clear" w:color="auto" w:fill="1F4E79"/>
            <w:tcMar>
              <w:top w:w="60" w:type="dxa"/>
              <w:left w:w="100" w:type="dxa"/>
              <w:bottom w:w="60" w:type="dxa"/>
              <w:right w:w="100" w:type="dxa"/>
            </w:tcMar>
          </w:tcPr>
          <w:p w14:paraId="593EFC41" w14:textId="77777777" w:rsidR="00D038FA" w:rsidRDefault="00000000">
            <w:pPr>
              <w:spacing w:after="40"/>
            </w:pPr>
            <w:r>
              <w:rPr>
                <w:b/>
                <w:bCs/>
                <w:sz w:val="20"/>
                <w:szCs w:val="20"/>
              </w:rPr>
              <w:t>Unit / Format</w:t>
            </w:r>
          </w:p>
        </w:tc>
        <w:tc>
          <w:tcPr>
            <w:tcW w:w="2500" w:type="dxa"/>
            <w:tcBorders>
              <w:top w:val="single" w:sz="1" w:space="0" w:color="999999"/>
              <w:left w:val="single" w:sz="1" w:space="0" w:color="999999"/>
              <w:bottom w:val="single" w:sz="1" w:space="0" w:color="999999"/>
              <w:right w:val="single" w:sz="1" w:space="0" w:color="999999"/>
            </w:tcBorders>
            <w:shd w:val="clear" w:color="auto" w:fill="1F4E79"/>
            <w:tcMar>
              <w:top w:w="60" w:type="dxa"/>
              <w:left w:w="100" w:type="dxa"/>
              <w:bottom w:w="60" w:type="dxa"/>
              <w:right w:w="100" w:type="dxa"/>
            </w:tcMar>
          </w:tcPr>
          <w:p w14:paraId="606033EF" w14:textId="77777777" w:rsidR="00D038FA" w:rsidRDefault="00000000">
            <w:pPr>
              <w:spacing w:after="40"/>
            </w:pPr>
            <w:r>
              <w:rPr>
                <w:b/>
                <w:bCs/>
                <w:sz w:val="20"/>
                <w:szCs w:val="20"/>
              </w:rPr>
              <w:t>Description</w:t>
            </w:r>
          </w:p>
        </w:tc>
        <w:tc>
          <w:tcPr>
            <w:tcW w:w="2460" w:type="dxa"/>
            <w:tcBorders>
              <w:top w:val="single" w:sz="1" w:space="0" w:color="999999"/>
              <w:left w:val="single" w:sz="1" w:space="0" w:color="999999"/>
              <w:bottom w:val="single" w:sz="1" w:space="0" w:color="999999"/>
              <w:right w:val="single" w:sz="1" w:space="0" w:color="999999"/>
            </w:tcBorders>
            <w:shd w:val="clear" w:color="auto" w:fill="1F4E79"/>
            <w:tcMar>
              <w:top w:w="60" w:type="dxa"/>
              <w:left w:w="100" w:type="dxa"/>
              <w:bottom w:w="60" w:type="dxa"/>
              <w:right w:w="100" w:type="dxa"/>
            </w:tcMar>
          </w:tcPr>
          <w:p w14:paraId="65B54E5C" w14:textId="77777777" w:rsidR="00D038FA" w:rsidRDefault="00000000">
            <w:pPr>
              <w:spacing w:after="40"/>
            </w:pPr>
            <w:r>
              <w:rPr>
                <w:b/>
                <w:bCs/>
                <w:sz w:val="20"/>
                <w:szCs w:val="20"/>
              </w:rPr>
              <w:t>Recommended protocol</w:t>
            </w:r>
          </w:p>
        </w:tc>
      </w:tr>
      <w:tr w:rsidR="00D038FA" w14:paraId="77974BC4" w14:textId="77777777">
        <w:tc>
          <w:tcPr>
            <w:tcW w:w="1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1F17979" w14:textId="77777777" w:rsidR="00D038FA" w:rsidRDefault="00000000">
            <w:pPr>
              <w:spacing w:after="40"/>
            </w:pPr>
            <w:r>
              <w:rPr>
                <w:sz w:val="20"/>
                <w:szCs w:val="20"/>
              </w:rPr>
              <w:t>Catch price</w:t>
            </w:r>
          </w:p>
        </w:tc>
        <w:tc>
          <w:tcPr>
            <w:tcW w:w="1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7CE0195" w14:textId="77777777" w:rsidR="00D038FA" w:rsidRDefault="00000000">
            <w:pPr>
              <w:spacing w:after="40"/>
            </w:pPr>
            <w:r>
              <w:rPr>
                <w:sz w:val="20"/>
                <w:szCs w:val="20"/>
              </w:rPr>
              <w:t>Decimal</w:t>
            </w:r>
          </w:p>
        </w:tc>
        <w:tc>
          <w:tcPr>
            <w:tcW w:w="1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51F76CF" w14:textId="77777777" w:rsidR="00D038FA" w:rsidRDefault="00000000">
            <w:pPr>
              <w:spacing w:after="40"/>
            </w:pPr>
            <w:r>
              <w:rPr>
                <w:sz w:val="20"/>
                <w:szCs w:val="20"/>
              </w:rPr>
              <w:t>Local currency</w:t>
            </w:r>
          </w:p>
        </w:tc>
        <w:tc>
          <w:tcPr>
            <w:tcW w:w="25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31DE08E" w14:textId="77777777" w:rsidR="00D038FA" w:rsidRDefault="00000000">
            <w:pPr>
              <w:spacing w:after="40"/>
            </w:pPr>
            <w:r>
              <w:rPr>
                <w:sz w:val="20"/>
                <w:szCs w:val="20"/>
              </w:rPr>
              <w:t>Price of catch at the landing site</w:t>
            </w:r>
          </w:p>
        </w:tc>
        <w:tc>
          <w:tcPr>
            <w:tcW w:w="24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C3C7D14" w14:textId="77777777" w:rsidR="00D038FA" w:rsidRDefault="00000000">
            <w:pPr>
              <w:spacing w:after="40"/>
            </w:pPr>
            <w:r>
              <w:rPr>
                <w:sz w:val="20"/>
                <w:szCs w:val="20"/>
              </w:rPr>
              <w:t>Record currency and specify price per unit weight</w:t>
            </w:r>
          </w:p>
        </w:tc>
      </w:tr>
      <w:tr w:rsidR="00D038FA" w14:paraId="65DC149C" w14:textId="77777777">
        <w:tc>
          <w:tcPr>
            <w:tcW w:w="1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242A6CD" w14:textId="77777777" w:rsidR="00D038FA" w:rsidRDefault="00000000">
            <w:pPr>
              <w:spacing w:after="40"/>
            </w:pPr>
            <w:r>
              <w:rPr>
                <w:sz w:val="20"/>
                <w:szCs w:val="20"/>
              </w:rPr>
              <w:t>Catch habitat</w:t>
            </w:r>
          </w:p>
        </w:tc>
        <w:tc>
          <w:tcPr>
            <w:tcW w:w="1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205BF0B" w14:textId="77777777" w:rsidR="00D038FA" w:rsidRDefault="00000000">
            <w:pPr>
              <w:spacing w:after="40"/>
            </w:pPr>
            <w:r>
              <w:rPr>
                <w:sz w:val="20"/>
                <w:szCs w:val="20"/>
              </w:rPr>
              <w:t>Categorical</w:t>
            </w:r>
          </w:p>
        </w:tc>
        <w:tc>
          <w:tcPr>
            <w:tcW w:w="1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17EE828" w14:textId="77777777" w:rsidR="00D038FA" w:rsidRDefault="00000000">
            <w:pPr>
              <w:spacing w:after="40"/>
            </w:pPr>
            <w:r>
              <w:rPr>
                <w:sz w:val="20"/>
                <w:szCs w:val="20"/>
              </w:rPr>
              <w:t>Text</w:t>
            </w:r>
          </w:p>
        </w:tc>
        <w:tc>
          <w:tcPr>
            <w:tcW w:w="25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C9D2B3C" w14:textId="77777777" w:rsidR="00D038FA" w:rsidRDefault="00000000">
            <w:pPr>
              <w:spacing w:after="40"/>
            </w:pPr>
            <w:r>
              <w:rPr>
                <w:sz w:val="20"/>
                <w:szCs w:val="20"/>
              </w:rPr>
              <w:t>Habitat in which fishing activity occurred (e.g., reef, open sea, river, mangrove)</w:t>
            </w:r>
          </w:p>
        </w:tc>
        <w:tc>
          <w:tcPr>
            <w:tcW w:w="24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4907B6E" w14:textId="77777777" w:rsidR="00D038FA" w:rsidRDefault="00000000">
            <w:pPr>
              <w:spacing w:after="40"/>
            </w:pPr>
            <w:r>
              <w:rPr>
                <w:sz w:val="20"/>
                <w:szCs w:val="20"/>
              </w:rPr>
              <w:t>Use a regionally agreed habitat classification</w:t>
            </w:r>
          </w:p>
        </w:tc>
      </w:tr>
    </w:tbl>
    <w:p w14:paraId="470F82DB" w14:textId="77777777" w:rsidR="00D038FA" w:rsidRDefault="00D038FA">
      <w:pPr>
        <w:spacing w:after="200"/>
      </w:pPr>
    </w:p>
    <w:p w14:paraId="391BF1C3" w14:textId="77777777" w:rsidR="00D038FA" w:rsidRDefault="00000000">
      <w:pPr>
        <w:spacing w:after="120" w:line="276" w:lineRule="auto"/>
        <w:jc w:val="both"/>
      </w:pPr>
      <w:r>
        <w:rPr>
          <w:b/>
          <w:bCs/>
        </w:rPr>
        <w:t xml:space="preserve">Note: </w:t>
      </w:r>
      <w:r>
        <w:t>These candidate variables are proposed as a starting framework for collaborative discussion. The final minimum variable set will be determined based on the results of the diagnostic survey (Section 3) and validated through consultation with the WGDS. Institutions are encouraged to collect additional variables beyond this core set to address their specific monitoring objectives.</w:t>
      </w:r>
    </w:p>
    <w:p w14:paraId="00169664" w14:textId="77777777" w:rsidR="00D038FA" w:rsidRDefault="00000000">
      <w:pPr>
        <w:pStyle w:val="Heading2"/>
        <w:spacing w:after="120"/>
      </w:pPr>
      <w:r>
        <w:t>4.3 Fishery-level contextual information for scaling up</w:t>
      </w:r>
    </w:p>
    <w:p w14:paraId="7D9437EA" w14:textId="77777777" w:rsidR="00D038FA" w:rsidRDefault="00000000">
      <w:pPr>
        <w:spacing w:after="120" w:line="276" w:lineRule="auto"/>
        <w:jc w:val="both"/>
      </w:pPr>
      <w:r>
        <w:t xml:space="preserve">In addition to the trip-level variables above, harmonized datasets should incorporate fishery-level contextual information necessary for scaling sample-based observations to fleet or national estimates. Two categories of contextual information are particularly critical: (i) census-type data on the number of active fishers and the number of boats operating at each landing site, which provide the denominators required for raising sample-based catch and effort data to population-level totals; and (ii) standardized landing site metadata, including unique location codes and </w:t>
      </w:r>
      <w:r>
        <w:lastRenderedPageBreak/>
        <w:t>geographical coordinates aligned with the FAO Global Administrative Unit Layers (GAUL) dataset (FAO, 2024), which enable spatial aggregation and accurate mapping of fishing effort and catches across the WIO.</w:t>
      </w:r>
    </w:p>
    <w:p w14:paraId="3A32180D" w14:textId="77777777" w:rsidR="00D038FA" w:rsidRDefault="00000000">
      <w:r>
        <w:br w:type="page"/>
      </w:r>
    </w:p>
    <w:p w14:paraId="2ED17E92" w14:textId="77777777" w:rsidR="00D038FA" w:rsidRDefault="00000000">
      <w:pPr>
        <w:pStyle w:val="Heading1"/>
        <w:spacing w:before="240" w:after="120"/>
      </w:pPr>
      <w:r>
        <w:lastRenderedPageBreak/>
        <w:t>5. Standardized Sampling Methodologies</w:t>
      </w:r>
    </w:p>
    <w:p w14:paraId="35F16455" w14:textId="77777777" w:rsidR="00D038FA" w:rsidRDefault="00000000">
      <w:pPr>
        <w:pStyle w:val="Heading2"/>
        <w:spacing w:after="120"/>
      </w:pPr>
      <w:r>
        <w:t>5.1 Principles for comparable sampling</w:t>
      </w:r>
    </w:p>
    <w:p w14:paraId="08A2DAB0" w14:textId="77777777" w:rsidR="00D038FA" w:rsidRDefault="00000000">
      <w:pPr>
        <w:spacing w:after="120" w:line="276" w:lineRule="auto"/>
        <w:jc w:val="both"/>
      </w:pPr>
      <w:r>
        <w:t>Standardization of variables alone is insufficient if the underlying sampling designs are incompatible. To ensure that data collected by different institutions can be meaningfully compared and aggregated, the following principles should guide the development of standardized sampling methodologies across the region:</w:t>
      </w:r>
    </w:p>
    <w:p w14:paraId="6AAC4230" w14:textId="77777777" w:rsidR="00D038FA" w:rsidRDefault="00000000">
      <w:pPr>
        <w:pStyle w:val="ListParagraph"/>
        <w:numPr>
          <w:ilvl w:val="0"/>
          <w:numId w:val="3"/>
        </w:numPr>
        <w:spacing w:after="80"/>
      </w:pPr>
      <w:r>
        <w:t>Sampling frame definition: All institutions should maintain and periodically update a register of active landing sites, vessels, and fishers within their area of operations, constituting the sampling frame from which monitoring samples are drawn.</w:t>
      </w:r>
    </w:p>
    <w:p w14:paraId="6D742ABD" w14:textId="77777777" w:rsidR="00D038FA" w:rsidRDefault="00000000">
      <w:pPr>
        <w:pStyle w:val="ListParagraph"/>
        <w:numPr>
          <w:ilvl w:val="0"/>
          <w:numId w:val="3"/>
        </w:numPr>
        <w:spacing w:after="80"/>
      </w:pPr>
      <w:r>
        <w:t>Stratification: Sampling designs should employ stratification by key factors such as landing site, gear type, vessel category, and season, to ensure that the heterogeneity of SSF operations is adequately captured.</w:t>
      </w:r>
    </w:p>
    <w:p w14:paraId="1C9885CE" w14:textId="77777777" w:rsidR="00D038FA" w:rsidRDefault="00000000">
      <w:pPr>
        <w:pStyle w:val="ListParagraph"/>
        <w:numPr>
          <w:ilvl w:val="0"/>
          <w:numId w:val="3"/>
        </w:numPr>
        <w:spacing w:after="80"/>
      </w:pPr>
      <w:r>
        <w:t>Temporal coverage: Institutions should specify and document the temporal frequency of data collection (daily, weekly, monthly) and the temporal coverage of their monitoring activities within the year.</w:t>
      </w:r>
    </w:p>
    <w:p w14:paraId="2251EDF4" w14:textId="77777777" w:rsidR="00D038FA" w:rsidRDefault="00000000">
      <w:pPr>
        <w:pStyle w:val="ListParagraph"/>
        <w:numPr>
          <w:ilvl w:val="0"/>
          <w:numId w:val="3"/>
        </w:numPr>
        <w:spacing w:after="80"/>
      </w:pPr>
      <w:r>
        <w:t>Spatial coverage: The proportion of active landing sites monitored and the selection criteria used should be documented and, where possible, harmonized across institutions operating in overlapping areas.</w:t>
      </w:r>
    </w:p>
    <w:p w14:paraId="3C22735F" w14:textId="77777777" w:rsidR="00D038FA" w:rsidRDefault="00000000">
      <w:pPr>
        <w:pStyle w:val="ListParagraph"/>
        <w:numPr>
          <w:ilvl w:val="0"/>
          <w:numId w:val="3"/>
        </w:numPr>
        <w:spacing w:after="80"/>
      </w:pPr>
      <w:r>
        <w:t>Raising procedures: Standard methods for raising sample data to total estimates (e.g., from sampled days to total fishing days, or from sampled sites to all active sites) should be explicitly documented and aligned across institutions.</w:t>
      </w:r>
    </w:p>
    <w:p w14:paraId="10B0D32A" w14:textId="77777777" w:rsidR="00D038FA" w:rsidRDefault="00000000">
      <w:pPr>
        <w:pStyle w:val="ListParagraph"/>
        <w:numPr>
          <w:ilvl w:val="0"/>
          <w:numId w:val="3"/>
        </w:numPr>
        <w:spacing w:after="120"/>
      </w:pPr>
      <w:r>
        <w:t>Quality assurance and control: All institutions should implement documented QA/QC procedures, including data validation rules at the point of collection, post-collection consistency checks, and periodic data audits.</w:t>
      </w:r>
    </w:p>
    <w:p w14:paraId="6AA1A8F4" w14:textId="77777777" w:rsidR="00D038FA" w:rsidRDefault="00000000">
      <w:pPr>
        <w:pStyle w:val="Heading2"/>
        <w:spacing w:after="120"/>
      </w:pPr>
      <w:r>
        <w:t>5.2 Standard operating procedures</w:t>
      </w:r>
    </w:p>
    <w:p w14:paraId="56DB8968" w14:textId="26351F08" w:rsidR="00D038FA" w:rsidRDefault="00000000">
      <w:pPr>
        <w:spacing w:after="120" w:line="276" w:lineRule="auto"/>
        <w:jc w:val="both"/>
      </w:pPr>
      <w:r>
        <w:t xml:space="preserve">The WGDS, in collaboration with national fisheries agencies and participating institutions, should develop and disseminate a regional Standard Operating Procedure (SOP) manual for SSF data collection. The SOP should cover data collection protocols for each variable in the minimum set, including precise measurement procedures, acceptable units and formats, coding conventions, and instructions for handling missing or uncertain values. The SOP should be accompanied by training materials and should be available in the working languages of the </w:t>
      </w:r>
      <w:r w:rsidR="003245ED">
        <w:t xml:space="preserve">relevant </w:t>
      </w:r>
      <w:r>
        <w:t>region</w:t>
      </w:r>
      <w:r w:rsidR="003245ED">
        <w:t>s.</w:t>
      </w:r>
      <w:r>
        <w:t xml:space="preserve"> </w:t>
      </w:r>
    </w:p>
    <w:p w14:paraId="3F3342C8" w14:textId="77777777" w:rsidR="00D038FA" w:rsidRDefault="00000000">
      <w:r>
        <w:br w:type="page"/>
      </w:r>
    </w:p>
    <w:p w14:paraId="2C95D0FE" w14:textId="77777777" w:rsidR="00D038FA" w:rsidRDefault="00000000">
      <w:pPr>
        <w:pStyle w:val="Heading1"/>
        <w:spacing w:before="240" w:after="120"/>
      </w:pPr>
      <w:r>
        <w:lastRenderedPageBreak/>
        <w:t>6. Functional Requirements for Electronic Data Collection Tools</w:t>
      </w:r>
    </w:p>
    <w:p w14:paraId="0A7F6E0D" w14:textId="77777777" w:rsidR="00D038FA" w:rsidRDefault="00000000">
      <w:pPr>
        <w:pStyle w:val="Heading2"/>
        <w:spacing w:after="120"/>
      </w:pPr>
      <w:r>
        <w:t>6.1 Rationale for digital transition</w:t>
      </w:r>
    </w:p>
    <w:p w14:paraId="55ADB107" w14:textId="77777777" w:rsidR="00D038FA" w:rsidRDefault="00000000">
      <w:pPr>
        <w:spacing w:after="120" w:line="276" w:lineRule="auto"/>
        <w:jc w:val="both"/>
      </w:pPr>
      <w:r>
        <w:t>Paper-based data collection systems are prone to manual transcription errors, entail delays of weeks or months before data become usable, result in data frequently remaining confined to local offices, and offer limited opportunities for real-time validation or correction. By contrast, digital data collection allows enumerators to enter data directly on a device with immediate synchronization and backup, built-in validation rules that enforce data quality at the point of collection, and automatic export into analysis pipelines. The regional scoping assessment confirmed that 88% of institutions already use digital data collection platforms, indicating broad readiness for a coordinated digital transition.</w:t>
      </w:r>
    </w:p>
    <w:p w14:paraId="036D3E40" w14:textId="77777777" w:rsidR="00D038FA" w:rsidRDefault="00000000">
      <w:pPr>
        <w:pStyle w:val="Heading2"/>
        <w:spacing w:after="120"/>
      </w:pPr>
      <w:r>
        <w:t>6.2 Tool-agnostic functional requirements</w:t>
      </w:r>
    </w:p>
    <w:p w14:paraId="10F9D586" w14:textId="77777777" w:rsidR="00D038FA" w:rsidRDefault="00000000">
      <w:pPr>
        <w:spacing w:after="120" w:line="276" w:lineRule="auto"/>
        <w:jc w:val="both"/>
      </w:pPr>
      <w:r>
        <w:t>Rather than mandating a specific software platform, these guidelines define a set of functional requirements that any electronic data collection tool adopted within the harmonization framework must satisfy:</w:t>
      </w:r>
    </w:p>
    <w:p w14:paraId="5B8138F7" w14:textId="77777777" w:rsidR="00D038FA" w:rsidRDefault="00000000">
      <w:pPr>
        <w:pStyle w:val="ListParagraph"/>
        <w:numPr>
          <w:ilvl w:val="0"/>
          <w:numId w:val="4"/>
        </w:numPr>
        <w:spacing w:after="80"/>
      </w:pPr>
      <w:r>
        <w:t>Offline data collection capability: The tool must support data entry and temporary local storage in environments without internet connectivity, with automatic synchronization when connectivity is restored.</w:t>
      </w:r>
    </w:p>
    <w:p w14:paraId="077339EB" w14:textId="77777777" w:rsidR="00D038FA" w:rsidRDefault="00000000">
      <w:pPr>
        <w:pStyle w:val="ListParagraph"/>
        <w:numPr>
          <w:ilvl w:val="0"/>
          <w:numId w:val="4"/>
        </w:numPr>
        <w:spacing w:after="80"/>
      </w:pPr>
      <w:r>
        <w:t>Built-in validation rules: The tool must support configurable validation constraints (e.g., range checks, mandatory fields, conditional logic, controlled picklists) to enforce data quality at the point of entry.</w:t>
      </w:r>
    </w:p>
    <w:p w14:paraId="6A81AC35" w14:textId="77777777" w:rsidR="00D038FA" w:rsidRDefault="00000000">
      <w:pPr>
        <w:pStyle w:val="ListParagraph"/>
        <w:numPr>
          <w:ilvl w:val="0"/>
          <w:numId w:val="4"/>
        </w:numPr>
        <w:spacing w:after="80"/>
      </w:pPr>
      <w:r>
        <w:t>Standardized picklists and controlled vocabularies: The tool must support the use of predefined, centrally managed picklists for categorical variables (species, gear types, landing sites) to ensure consistency across data collectors.</w:t>
      </w:r>
    </w:p>
    <w:p w14:paraId="0BB8642B" w14:textId="77777777" w:rsidR="00D038FA" w:rsidRDefault="00000000">
      <w:pPr>
        <w:pStyle w:val="ListParagraph"/>
        <w:numPr>
          <w:ilvl w:val="0"/>
          <w:numId w:val="4"/>
        </w:numPr>
        <w:spacing w:after="80"/>
      </w:pPr>
      <w:r>
        <w:t>GPS coordinate capture: The tool must support automatic or manual capture of geographical coordinates for landing site georeferencing.</w:t>
      </w:r>
    </w:p>
    <w:p w14:paraId="3BE78336" w14:textId="77777777" w:rsidR="00D038FA" w:rsidRDefault="00000000">
      <w:pPr>
        <w:pStyle w:val="ListParagraph"/>
        <w:numPr>
          <w:ilvl w:val="0"/>
          <w:numId w:val="4"/>
        </w:numPr>
        <w:spacing w:after="80"/>
      </w:pPr>
      <w:r>
        <w:t>Open data formats and export: The tool must support export of collected data in open, non-proprietary formats (e.g., CSV, JSON, or via API) to facilitate integration with centralized repositories.</w:t>
      </w:r>
    </w:p>
    <w:p w14:paraId="3BA1944C" w14:textId="77777777" w:rsidR="00D038FA" w:rsidRDefault="00000000">
      <w:pPr>
        <w:pStyle w:val="ListParagraph"/>
        <w:numPr>
          <w:ilvl w:val="0"/>
          <w:numId w:val="4"/>
        </w:numPr>
        <w:spacing w:after="80"/>
      </w:pPr>
      <w:r>
        <w:t>Multilingual interface: The tool should support deployment in the working languages of the region to reduce barriers for field enumerators.</w:t>
      </w:r>
    </w:p>
    <w:p w14:paraId="40C2EDBE" w14:textId="77777777" w:rsidR="00D038FA" w:rsidRDefault="00000000">
      <w:pPr>
        <w:pStyle w:val="ListParagraph"/>
        <w:numPr>
          <w:ilvl w:val="0"/>
          <w:numId w:val="4"/>
        </w:numPr>
        <w:spacing w:after="80"/>
      </w:pPr>
      <w:r>
        <w:t>Open-source or widely accessible: Preference should be given to open-source tools or platforms with low licensing costs and established user communities, to ensure financial sustainability and reduce vendor dependency.</w:t>
      </w:r>
    </w:p>
    <w:p w14:paraId="11276C77" w14:textId="77777777" w:rsidR="00D038FA" w:rsidRDefault="00000000">
      <w:pPr>
        <w:pStyle w:val="ListParagraph"/>
        <w:numPr>
          <w:ilvl w:val="0"/>
          <w:numId w:val="4"/>
        </w:numPr>
        <w:spacing w:after="80"/>
      </w:pPr>
      <w:r>
        <w:t>API or middleware connectivity: The tool should support programmatic data exchange (via APIs or middleware) with centralized databases and analysis pipelines to enable seamless machine-to-machine integration.</w:t>
      </w:r>
    </w:p>
    <w:p w14:paraId="3078CDEC" w14:textId="77777777" w:rsidR="00D038FA" w:rsidRDefault="00000000">
      <w:pPr>
        <w:pStyle w:val="ListParagraph"/>
        <w:numPr>
          <w:ilvl w:val="0"/>
          <w:numId w:val="4"/>
        </w:numPr>
        <w:spacing w:after="120"/>
      </w:pPr>
      <w:r>
        <w:t>Photo capture capability: The tool should support photographic documentation of species, which is particularly valuable for taxonomic verification and training of enumerators.</w:t>
      </w:r>
    </w:p>
    <w:p w14:paraId="2580B585" w14:textId="77777777" w:rsidR="00D038FA" w:rsidRDefault="00000000">
      <w:pPr>
        <w:pStyle w:val="Heading2"/>
        <w:spacing w:after="120"/>
      </w:pPr>
      <w:r>
        <w:lastRenderedPageBreak/>
        <w:t>6.3 Centralized data pipelines</w:t>
      </w:r>
    </w:p>
    <w:p w14:paraId="55100413" w14:textId="30C1FE20" w:rsidR="00D038FA" w:rsidRDefault="00000000" w:rsidP="002F5ECA">
      <w:pPr>
        <w:spacing w:after="120" w:line="276" w:lineRule="auto"/>
        <w:jc w:val="both"/>
      </w:pPr>
      <w:r>
        <w:t>Regardless of the specific tool used at the point of collection, institutions should work toward establishing centralized data pipelines that standardize data inputs and outputs. Such pipelines should be tool-agnostic, accepting data from multiple collection platforms and applying standardized transformation, validation, and formatting routines before ingesting records into a central or regional repository. This approach accommodates the diversity of tools currently in use across the region while ensuring that all data converge to a common standard at the aggregation level.</w:t>
      </w:r>
      <w:r>
        <w:br w:type="page"/>
      </w:r>
    </w:p>
    <w:p w14:paraId="627933DA" w14:textId="77777777" w:rsidR="00D038FA" w:rsidRDefault="00000000">
      <w:pPr>
        <w:pStyle w:val="Heading1"/>
        <w:spacing w:before="240" w:after="120"/>
      </w:pPr>
      <w:r>
        <w:lastRenderedPageBreak/>
        <w:t>7. Ontologies and Classification Systems</w:t>
      </w:r>
    </w:p>
    <w:p w14:paraId="5EC72210" w14:textId="77777777" w:rsidR="00D038FA" w:rsidRDefault="00000000">
      <w:pPr>
        <w:pStyle w:val="Heading2"/>
        <w:spacing w:after="120"/>
      </w:pPr>
      <w:r>
        <w:t>7.1 The role of ontologies in data harmonization</w:t>
      </w:r>
    </w:p>
    <w:p w14:paraId="1872A0EC" w14:textId="77777777" w:rsidR="00D038FA" w:rsidRDefault="00000000">
      <w:pPr>
        <w:spacing w:after="120" w:line="276" w:lineRule="auto"/>
        <w:jc w:val="both"/>
      </w:pPr>
      <w:r>
        <w:t>Ontologies and classification systems provide the semantic infrastructure that ensures each variable name carries a single, clear definition across all participating institutions and datasets. By mapping data elements to internationally recognized identifiers and hierarchical structures, ontologies resolve terminological ambiguities and enable machine-readable interoperability between datasets that may use different local labels for the same concept.</w:t>
      </w:r>
    </w:p>
    <w:p w14:paraId="009440CD" w14:textId="77777777" w:rsidR="00D038FA" w:rsidRDefault="00000000">
      <w:pPr>
        <w:pStyle w:val="Heading2"/>
        <w:spacing w:after="120"/>
      </w:pPr>
      <w:r>
        <w:t>7.2 Recommended classification systems</w:t>
      </w:r>
    </w:p>
    <w:p w14:paraId="52869B63" w14:textId="77777777" w:rsidR="00D038FA" w:rsidRDefault="00000000">
      <w:pPr>
        <w:spacing w:after="120" w:line="276" w:lineRule="auto"/>
        <w:jc w:val="both"/>
      </w:pPr>
      <w:r>
        <w:t>The following FAO and international classification systems are recommended as the primary standards for the harmonization framework:</w:t>
      </w:r>
    </w:p>
    <w:p w14:paraId="11041789" w14:textId="77777777" w:rsidR="00D038FA" w:rsidRDefault="00000000">
      <w:pPr>
        <w:spacing w:after="120" w:line="276" w:lineRule="auto"/>
        <w:jc w:val="both"/>
      </w:pPr>
      <w:r>
        <w:rPr>
          <w:b/>
          <w:bCs/>
        </w:rPr>
        <w:t xml:space="preserve">Fishing gear: FAO International Standard Statistical Classification of Fishing Gear (ISSCFG). </w:t>
      </w:r>
      <w:r>
        <w:t>Documented in FAO Fisheries and Aquaculture Technical Paper No. 672, the ISSCFG provides a hierarchical coding system with first-tier gear categories (e.g., “Gillnets and Entangling Nets,” code 07) and second-tier subcategories (e.g., “Set gillnets (anchored),” GNS, code 07.1; “Drift gillnets,” GND, code 07.2). Adoption of this classification resolves the current ambiguity whereby the same equipment is recorded under different local names (e.g., “Monofilament Nets” versus “Gillnets”) across organizations.</w:t>
      </w:r>
    </w:p>
    <w:p w14:paraId="6507974B" w14:textId="77777777" w:rsidR="00D038FA" w:rsidRDefault="00000000">
      <w:pPr>
        <w:spacing w:after="120" w:line="276" w:lineRule="auto"/>
        <w:jc w:val="both"/>
      </w:pPr>
      <w:r>
        <w:rPr>
          <w:b/>
          <w:bCs/>
        </w:rPr>
        <w:t xml:space="preserve">Species identification: FAO ASFIS list and 3-alpha codes. </w:t>
      </w:r>
      <w:r>
        <w:t>Each species in the FAO Aquatic Sciences and Fisheries Information System (ASFIS) is assigned a unique three-letter code (e.g., PIL for Sardina pilchardus). These codes provide unambiguous identifiers that bridge linguistic and taxonomic discrepancies. Organizations should adopt a shared reference guide pairing local names and scientific names to their corresponding FAO 3-alpha codes. Common species photo guides should be developed and shared among participating institutions to support accurate species identification by enumerators.</w:t>
      </w:r>
    </w:p>
    <w:p w14:paraId="6F43FEBF" w14:textId="77777777" w:rsidR="00D038FA" w:rsidRDefault="00000000">
      <w:pPr>
        <w:spacing w:after="120" w:line="276" w:lineRule="auto"/>
        <w:jc w:val="both"/>
      </w:pPr>
      <w:r>
        <w:rPr>
          <w:b/>
          <w:bCs/>
        </w:rPr>
        <w:t xml:space="preserve">Spatial referencing: FAO Global Administrative Unit Layers (GAUL). </w:t>
      </w:r>
      <w:r>
        <w:t>Landing sites and administrative units should be referenced to the FAO GAUL dataset (FAO, 2024) to ensure consistent spatial coding across countries and to enable spatial aggregation at sub-national, national, and regional scales.</w:t>
      </w:r>
    </w:p>
    <w:p w14:paraId="1E90D1CF" w14:textId="77777777" w:rsidR="00D038FA" w:rsidRDefault="00000000">
      <w:pPr>
        <w:spacing w:after="120" w:line="276" w:lineRule="auto"/>
        <w:jc w:val="both"/>
      </w:pPr>
      <w:r>
        <w:rPr>
          <w:b/>
          <w:bCs/>
        </w:rPr>
        <w:t xml:space="preserve">Date and time: ISO 8601. </w:t>
      </w:r>
      <w:r>
        <w:t>All date fields should be recorded in YYYY-MM-DD format following the ISO 8601 standard to ensure unambiguous temporal referencing and full interoperability across datasets and software systems.</w:t>
      </w:r>
    </w:p>
    <w:p w14:paraId="34CDC5BF" w14:textId="77777777" w:rsidR="00D038FA" w:rsidRDefault="00000000">
      <w:pPr>
        <w:pStyle w:val="Heading2"/>
        <w:spacing w:after="120"/>
      </w:pPr>
      <w:r>
        <w:t>7.3 The Aquatic Food Ontology (AQFO)</w:t>
      </w:r>
    </w:p>
    <w:p w14:paraId="5527F82B" w14:textId="77777777" w:rsidR="00D038FA" w:rsidRDefault="00000000">
      <w:pPr>
        <w:spacing w:after="120" w:line="276" w:lineRule="auto"/>
        <w:jc w:val="both"/>
      </w:pPr>
      <w:r>
        <w:t xml:space="preserve">The Aquatic Food Ontology (AQFO) is a formally structured vocabulary that provides semantic definitions and hierarchical relationships for key fisheries concepts, including gear, fishing net, line, trap, and fuel, among others. Each concept in the AQFO is identified by a unique Uniform </w:t>
      </w:r>
      <w:r>
        <w:lastRenderedPageBreak/>
        <w:t>Resource Identifier (URI; e.g., http://w3id.org/aqfo/aqfo_00002220 for “gear”). Linking each variable in the regional data dictionary to its corresponding AQFO URI ensures that every variable name carries a machine-readable, unambiguous definition, enabling automated data integration and validation.</w:t>
      </w:r>
    </w:p>
    <w:p w14:paraId="796863E8" w14:textId="77777777" w:rsidR="00D038FA" w:rsidRDefault="00000000">
      <w:pPr>
        <w:spacing w:after="120" w:line="276" w:lineRule="auto"/>
        <w:jc w:val="both"/>
      </w:pPr>
      <w:r>
        <w:t>The adoption of AQFO URIs in the regional data dictionary is recommended as a medium-term goal. In the immediate term, the priority should be to align all variable names and definitions with the classification systems listed in Section 7.2 and to document the mappings in the regional data dictionary developed in collaboration with SWIOFC (see Section 8).</w:t>
      </w:r>
    </w:p>
    <w:p w14:paraId="34CDB6C4" w14:textId="77777777" w:rsidR="00D038FA" w:rsidRDefault="00000000">
      <w:r>
        <w:br w:type="page"/>
      </w:r>
    </w:p>
    <w:p w14:paraId="52E93DDE" w14:textId="77777777" w:rsidR="00D038FA" w:rsidRDefault="00000000">
      <w:pPr>
        <w:pStyle w:val="Heading1"/>
        <w:spacing w:before="240" w:after="120"/>
      </w:pPr>
      <w:r>
        <w:lastRenderedPageBreak/>
        <w:t>8. Data Governance and Institutional Arrangements</w:t>
      </w:r>
    </w:p>
    <w:p w14:paraId="58F73E1F" w14:textId="77777777" w:rsidR="00D038FA" w:rsidRDefault="00000000">
      <w:pPr>
        <w:pStyle w:val="Heading2"/>
        <w:spacing w:after="120"/>
      </w:pPr>
      <w:r>
        <w:t>8.1 Regional data dictionary</w:t>
      </w:r>
    </w:p>
    <w:p w14:paraId="20170840" w14:textId="77777777" w:rsidR="00D038FA" w:rsidRDefault="00000000">
      <w:pPr>
        <w:spacing w:after="120" w:line="276" w:lineRule="auto"/>
        <w:jc w:val="both"/>
      </w:pPr>
      <w:r>
        <w:t>A regional data dictionary shall be co-created in collaboration with SWIOFC and the WGDS. This shared reference framework will define core variables, metadata structures, classification systems, and standardized terminologies, ensuring that all participating countries and institutions work from an aligned vocabulary. The data dictionary should be maintained as a living document, updated periodically to reflect evolving monitoring needs and new international standards.</w:t>
      </w:r>
    </w:p>
    <w:p w14:paraId="2EA442B0" w14:textId="77777777" w:rsidR="00D038FA" w:rsidRDefault="00000000">
      <w:pPr>
        <w:pStyle w:val="Heading2"/>
        <w:spacing w:after="120"/>
      </w:pPr>
      <w:r>
        <w:t>8.2 Data-sharing agreements</w:t>
      </w:r>
    </w:p>
    <w:p w14:paraId="6E9F1FB1" w14:textId="77777777" w:rsidR="00D038FA" w:rsidRDefault="00000000">
      <w:pPr>
        <w:spacing w:after="120" w:line="276" w:lineRule="auto"/>
        <w:jc w:val="both"/>
      </w:pPr>
      <w:r>
        <w:t>Robust, legally binding data-sharing agreements must be formalized between all primary data custodians, including fisheries departments, research institutes, local governments, NGOs, and community-based organizations. These agreements should clearly define access levels, privacy rules, data ownership, custodianship roles, and shared repository arrangements. The regional scoping assessment found that 81.8% of respondents support open access to SSF data, provided appropriate safeguards are in place, indicating strong institutional readiness for formalized data-sharing arrangements.</w:t>
      </w:r>
    </w:p>
    <w:p w14:paraId="698FCD9F" w14:textId="77777777" w:rsidR="00D038FA" w:rsidRDefault="00000000">
      <w:pPr>
        <w:pStyle w:val="Heading2"/>
        <w:spacing w:after="120"/>
      </w:pPr>
      <w:r>
        <w:t>8.3 Custodianship and governance structure</w:t>
      </w:r>
    </w:p>
    <w:p w14:paraId="4CD0446C" w14:textId="77777777" w:rsidR="00D038FA" w:rsidRDefault="00000000">
      <w:pPr>
        <w:spacing w:after="120" w:line="276" w:lineRule="auto"/>
        <w:jc w:val="both"/>
      </w:pPr>
      <w:r>
        <w:t>Data custodianship, currently centralized within fisheries departments (80% of cases), should be clarified through formal governance structures that delineate the respective responsibilities of data collectors, validators, custodians, and users. The establishment of a regional data governance board, potentially under the auspices of SWIOFC, is recommended to finalize rules governing data ownership, access rights, licensing models, and long-term hosting arrangements. National experts nominated by SWIOFC member countries should serve as the link between the regional governance structure and national implementation nodes.</w:t>
      </w:r>
    </w:p>
    <w:p w14:paraId="6CDDC025" w14:textId="77777777" w:rsidR="00D038FA" w:rsidRDefault="00000000">
      <w:r>
        <w:br w:type="page"/>
      </w:r>
    </w:p>
    <w:p w14:paraId="12212E46" w14:textId="77777777" w:rsidR="00D038FA" w:rsidRDefault="00000000">
      <w:pPr>
        <w:pStyle w:val="Heading1"/>
        <w:spacing w:before="240" w:after="120"/>
      </w:pPr>
      <w:r>
        <w:lastRenderedPageBreak/>
        <w:t>9. Implementation Roadmap</w:t>
      </w:r>
    </w:p>
    <w:p w14:paraId="1DF8FD63" w14:textId="77777777" w:rsidR="00D038FA" w:rsidRDefault="00000000">
      <w:pPr>
        <w:spacing w:after="120" w:line="276" w:lineRule="auto"/>
        <w:jc w:val="both"/>
      </w:pPr>
      <w:r>
        <w:t>The following phased implementation roadmap is proposed for the operationalization of these guidelines: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56"/>
        <w:gridCol w:w="1186"/>
        <w:gridCol w:w="4007"/>
        <w:gridCol w:w="2711"/>
      </w:tblGrid>
      <w:tr w:rsidR="00D038FA" w14:paraId="0628EB9D" w14:textId="77777777">
        <w:trPr>
          <w:tblHeader/>
        </w:trPr>
        <w:tc>
          <w:tcPr>
            <w:tcW w:w="1200" w:type="dxa"/>
            <w:tcBorders>
              <w:top w:val="single" w:sz="1" w:space="0" w:color="999999"/>
              <w:left w:val="single" w:sz="1" w:space="0" w:color="999999"/>
              <w:bottom w:val="single" w:sz="1" w:space="0" w:color="999999"/>
              <w:right w:val="single" w:sz="1" w:space="0" w:color="999999"/>
            </w:tcBorders>
            <w:shd w:val="clear" w:color="auto" w:fill="1F4E79"/>
            <w:tcMar>
              <w:top w:w="60" w:type="dxa"/>
              <w:left w:w="100" w:type="dxa"/>
              <w:bottom w:w="60" w:type="dxa"/>
              <w:right w:w="100" w:type="dxa"/>
            </w:tcMar>
          </w:tcPr>
          <w:p w14:paraId="741D7D27" w14:textId="77777777" w:rsidR="00D038FA" w:rsidRDefault="00000000">
            <w:pPr>
              <w:spacing w:after="40"/>
            </w:pPr>
            <w:r>
              <w:rPr>
                <w:b/>
                <w:bCs/>
                <w:sz w:val="20"/>
                <w:szCs w:val="20"/>
              </w:rPr>
              <w:t>Phase</w:t>
            </w:r>
          </w:p>
        </w:tc>
        <w:tc>
          <w:tcPr>
            <w:tcW w:w="1200" w:type="dxa"/>
            <w:tcBorders>
              <w:top w:val="single" w:sz="1" w:space="0" w:color="999999"/>
              <w:left w:val="single" w:sz="1" w:space="0" w:color="999999"/>
              <w:bottom w:val="single" w:sz="1" w:space="0" w:color="999999"/>
              <w:right w:val="single" w:sz="1" w:space="0" w:color="999999"/>
            </w:tcBorders>
            <w:shd w:val="clear" w:color="auto" w:fill="1F4E79"/>
            <w:tcMar>
              <w:top w:w="60" w:type="dxa"/>
              <w:left w:w="100" w:type="dxa"/>
              <w:bottom w:w="60" w:type="dxa"/>
              <w:right w:w="100" w:type="dxa"/>
            </w:tcMar>
          </w:tcPr>
          <w:p w14:paraId="2A57383B" w14:textId="77777777" w:rsidR="00D038FA" w:rsidRDefault="00000000">
            <w:pPr>
              <w:spacing w:after="40"/>
            </w:pPr>
            <w:r>
              <w:rPr>
                <w:b/>
                <w:bCs/>
                <w:sz w:val="20"/>
                <w:szCs w:val="20"/>
              </w:rPr>
              <w:t>Timeline</w:t>
            </w:r>
          </w:p>
        </w:tc>
        <w:tc>
          <w:tcPr>
            <w:tcW w:w="4160" w:type="dxa"/>
            <w:tcBorders>
              <w:top w:val="single" w:sz="1" w:space="0" w:color="999999"/>
              <w:left w:val="single" w:sz="1" w:space="0" w:color="999999"/>
              <w:bottom w:val="single" w:sz="1" w:space="0" w:color="999999"/>
              <w:right w:val="single" w:sz="1" w:space="0" w:color="999999"/>
            </w:tcBorders>
            <w:shd w:val="clear" w:color="auto" w:fill="1F4E79"/>
            <w:tcMar>
              <w:top w:w="60" w:type="dxa"/>
              <w:left w:w="100" w:type="dxa"/>
              <w:bottom w:w="60" w:type="dxa"/>
              <w:right w:w="100" w:type="dxa"/>
            </w:tcMar>
          </w:tcPr>
          <w:p w14:paraId="6F14FB09" w14:textId="77777777" w:rsidR="00D038FA" w:rsidRDefault="00000000">
            <w:pPr>
              <w:spacing w:after="40"/>
            </w:pPr>
            <w:r>
              <w:rPr>
                <w:b/>
                <w:bCs/>
                <w:sz w:val="20"/>
                <w:szCs w:val="20"/>
              </w:rPr>
              <w:t>Key Actions</w:t>
            </w:r>
          </w:p>
        </w:tc>
        <w:tc>
          <w:tcPr>
            <w:tcW w:w="2800" w:type="dxa"/>
            <w:tcBorders>
              <w:top w:val="single" w:sz="1" w:space="0" w:color="999999"/>
              <w:left w:val="single" w:sz="1" w:space="0" w:color="999999"/>
              <w:bottom w:val="single" w:sz="1" w:space="0" w:color="999999"/>
              <w:right w:val="single" w:sz="1" w:space="0" w:color="999999"/>
            </w:tcBorders>
            <w:shd w:val="clear" w:color="auto" w:fill="1F4E79"/>
            <w:tcMar>
              <w:top w:w="60" w:type="dxa"/>
              <w:left w:w="100" w:type="dxa"/>
              <w:bottom w:w="60" w:type="dxa"/>
              <w:right w:w="100" w:type="dxa"/>
            </w:tcMar>
          </w:tcPr>
          <w:p w14:paraId="12EF6CAD" w14:textId="77777777" w:rsidR="00D038FA" w:rsidRDefault="00000000">
            <w:pPr>
              <w:spacing w:after="40"/>
            </w:pPr>
            <w:r>
              <w:rPr>
                <w:b/>
                <w:bCs/>
                <w:sz w:val="20"/>
                <w:szCs w:val="20"/>
              </w:rPr>
              <w:t>Responsible</w:t>
            </w:r>
          </w:p>
        </w:tc>
      </w:tr>
      <w:tr w:rsidR="00D038FA" w14:paraId="062A9CA7" w14:textId="77777777">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AE39370" w14:textId="77777777" w:rsidR="00D038FA" w:rsidRDefault="00000000">
            <w:pPr>
              <w:spacing w:after="40"/>
            </w:pPr>
            <w:r>
              <w:rPr>
                <w:sz w:val="20"/>
                <w:szCs w:val="20"/>
              </w:rPr>
              <w:t>1. Diagnostic</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79C32BD" w14:textId="77777777" w:rsidR="00D038FA" w:rsidRDefault="00000000">
            <w:pPr>
              <w:spacing w:after="40"/>
            </w:pPr>
            <w:r>
              <w:rPr>
                <w:sz w:val="20"/>
                <w:szCs w:val="20"/>
              </w:rPr>
              <w:t>Q4 2026 – Q1 2027</w:t>
            </w:r>
          </w:p>
        </w:tc>
        <w:tc>
          <w:tcPr>
            <w:tcW w:w="41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E534AA8" w14:textId="77777777" w:rsidR="00D038FA" w:rsidRDefault="00000000">
            <w:pPr>
              <w:spacing w:after="40"/>
            </w:pPr>
            <w:r>
              <w:rPr>
                <w:sz w:val="20"/>
                <w:szCs w:val="20"/>
              </w:rPr>
              <w:t>Design and distribute the diagnostic survey to all data-collecting entities across the WIO; aggregate and analyse responses; present results to the WGDS</w:t>
            </w:r>
          </w:p>
        </w:tc>
        <w:tc>
          <w:tcPr>
            <w:tcW w:w="2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C64129B" w14:textId="77777777" w:rsidR="00D038FA" w:rsidRDefault="00000000">
            <w:pPr>
              <w:spacing w:after="40"/>
            </w:pPr>
            <w:r>
              <w:rPr>
                <w:sz w:val="20"/>
                <w:szCs w:val="20"/>
              </w:rPr>
              <w:t>Task Force, SWIOFC Secretariat</w:t>
            </w:r>
          </w:p>
        </w:tc>
      </w:tr>
      <w:tr w:rsidR="00D038FA" w14:paraId="5ACB0C0E" w14:textId="77777777">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BC86C11" w14:textId="77777777" w:rsidR="00D038FA" w:rsidRDefault="00000000">
            <w:pPr>
              <w:spacing w:after="40"/>
            </w:pPr>
            <w:r>
              <w:rPr>
                <w:sz w:val="20"/>
                <w:szCs w:val="20"/>
              </w:rPr>
              <w:t>2. Standardization</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2E680E6" w14:textId="77777777" w:rsidR="00D038FA" w:rsidRDefault="00000000">
            <w:pPr>
              <w:spacing w:after="40"/>
            </w:pPr>
            <w:r>
              <w:rPr>
                <w:sz w:val="20"/>
                <w:szCs w:val="20"/>
              </w:rPr>
              <w:t>Q2 – Q3 2027</w:t>
            </w:r>
          </w:p>
        </w:tc>
        <w:tc>
          <w:tcPr>
            <w:tcW w:w="41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FEBBE4A" w14:textId="77777777" w:rsidR="00D038FA" w:rsidRDefault="00000000">
            <w:pPr>
              <w:spacing w:after="40"/>
            </w:pPr>
            <w:r>
              <w:rPr>
                <w:sz w:val="20"/>
                <w:szCs w:val="20"/>
              </w:rPr>
              <w:t>Convene a technical workshop to finalize the minimum variable set based on survey results; co-create the regional data dictionary; define standard operating procedures; agree on classification systems and ontology mappings</w:t>
            </w:r>
          </w:p>
        </w:tc>
        <w:tc>
          <w:tcPr>
            <w:tcW w:w="2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1EFE258" w14:textId="77777777" w:rsidR="00D038FA" w:rsidRDefault="00000000">
            <w:pPr>
              <w:spacing w:after="40"/>
            </w:pPr>
            <w:r>
              <w:rPr>
                <w:sz w:val="20"/>
                <w:szCs w:val="20"/>
              </w:rPr>
              <w:t>WGDS, Task Force, FAO</w:t>
            </w:r>
          </w:p>
        </w:tc>
      </w:tr>
      <w:tr w:rsidR="00D038FA" w14:paraId="58C9464C" w14:textId="77777777">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A9A56DE" w14:textId="77777777" w:rsidR="00D038FA" w:rsidRDefault="00000000">
            <w:pPr>
              <w:spacing w:after="40"/>
            </w:pPr>
            <w:r>
              <w:rPr>
                <w:sz w:val="20"/>
                <w:szCs w:val="20"/>
              </w:rPr>
              <w:t>3. Pilot testing</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E035E0F" w14:textId="77777777" w:rsidR="00D038FA" w:rsidRDefault="00000000">
            <w:pPr>
              <w:spacing w:after="40"/>
            </w:pPr>
            <w:r>
              <w:rPr>
                <w:sz w:val="20"/>
                <w:szCs w:val="20"/>
              </w:rPr>
              <w:t>Q3 2027 – Q2 2028</w:t>
            </w:r>
          </w:p>
        </w:tc>
        <w:tc>
          <w:tcPr>
            <w:tcW w:w="41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23C565D" w14:textId="77777777" w:rsidR="00D038FA" w:rsidRDefault="00000000">
            <w:pPr>
              <w:spacing w:after="40"/>
            </w:pPr>
            <w:r>
              <w:rPr>
                <w:sz w:val="20"/>
                <w:szCs w:val="20"/>
              </w:rPr>
              <w:t>Deploy harmonized collection forms and centralized pipelines in two to three pilot countries (e.g., Kenya, Mozambique, Zanzibar); test interoperability across platforms; conduct structured validation</w:t>
            </w:r>
          </w:p>
        </w:tc>
        <w:tc>
          <w:tcPr>
            <w:tcW w:w="2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FCA23BA" w14:textId="77777777" w:rsidR="00D038FA" w:rsidRDefault="00000000">
            <w:pPr>
              <w:spacing w:after="40"/>
            </w:pPr>
            <w:r>
              <w:rPr>
                <w:sz w:val="20"/>
                <w:szCs w:val="20"/>
              </w:rPr>
              <w:t>National agencies, Task Force</w:t>
            </w:r>
          </w:p>
        </w:tc>
      </w:tr>
      <w:tr w:rsidR="00D038FA" w14:paraId="1E4540CB" w14:textId="77777777">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C9AC67F" w14:textId="77777777" w:rsidR="00D038FA" w:rsidRDefault="00000000">
            <w:pPr>
              <w:spacing w:after="40"/>
            </w:pPr>
            <w:r>
              <w:rPr>
                <w:sz w:val="20"/>
                <w:szCs w:val="20"/>
              </w:rPr>
              <w:t>4. Evaluation</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8BDDDC4" w14:textId="77777777" w:rsidR="00D038FA" w:rsidRDefault="00000000">
            <w:pPr>
              <w:spacing w:after="40"/>
            </w:pPr>
            <w:r>
              <w:rPr>
                <w:sz w:val="20"/>
                <w:szCs w:val="20"/>
              </w:rPr>
              <w:t>Q3 2028</w:t>
            </w:r>
          </w:p>
        </w:tc>
        <w:tc>
          <w:tcPr>
            <w:tcW w:w="41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6F163B2" w14:textId="77777777" w:rsidR="00D038FA" w:rsidRDefault="00000000">
            <w:pPr>
              <w:spacing w:after="40"/>
            </w:pPr>
            <w:r>
              <w:rPr>
                <w:sz w:val="20"/>
                <w:szCs w:val="20"/>
              </w:rPr>
              <w:t>Assess pilot results: technical performance, user adoption, data quality, governance processes; identify and resolve issues before scaling</w:t>
            </w:r>
          </w:p>
        </w:tc>
        <w:tc>
          <w:tcPr>
            <w:tcW w:w="2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58A860C" w14:textId="77777777" w:rsidR="00D038FA" w:rsidRDefault="00000000">
            <w:pPr>
              <w:spacing w:after="40"/>
            </w:pPr>
            <w:r>
              <w:rPr>
                <w:sz w:val="20"/>
                <w:szCs w:val="20"/>
              </w:rPr>
              <w:t>Task Force, WGDS</w:t>
            </w:r>
          </w:p>
        </w:tc>
      </w:tr>
      <w:tr w:rsidR="00D038FA" w14:paraId="3B94AB74" w14:textId="77777777">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1D37BB1" w14:textId="77777777" w:rsidR="00D038FA" w:rsidRDefault="00000000">
            <w:pPr>
              <w:spacing w:after="40"/>
            </w:pPr>
            <w:r>
              <w:rPr>
                <w:sz w:val="20"/>
                <w:szCs w:val="20"/>
              </w:rPr>
              <w:t>5. Regional rollout</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93D2E3D" w14:textId="77777777" w:rsidR="00D038FA" w:rsidRDefault="00000000">
            <w:pPr>
              <w:spacing w:after="40"/>
            </w:pPr>
            <w:r>
              <w:rPr>
                <w:sz w:val="20"/>
                <w:szCs w:val="20"/>
              </w:rPr>
              <w:t>Q4 2028 – Q4 2029</w:t>
            </w:r>
          </w:p>
        </w:tc>
        <w:tc>
          <w:tcPr>
            <w:tcW w:w="41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B239415" w14:textId="77777777" w:rsidR="00D038FA" w:rsidRDefault="00000000">
            <w:pPr>
              <w:spacing w:after="40"/>
            </w:pPr>
            <w:r>
              <w:rPr>
                <w:sz w:val="20"/>
                <w:szCs w:val="20"/>
              </w:rPr>
              <w:t>Scale harmonized systems to all SWIOFC member states; deploy dashboards for different governance levels (BMUs, national authorities, SWIOFC); establish regional data governance board</w:t>
            </w:r>
          </w:p>
        </w:tc>
        <w:tc>
          <w:tcPr>
            <w:tcW w:w="2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EF4ACC3" w14:textId="77777777" w:rsidR="00D038FA" w:rsidRDefault="00000000">
            <w:pPr>
              <w:spacing w:after="40"/>
            </w:pPr>
            <w:r>
              <w:rPr>
                <w:sz w:val="20"/>
                <w:szCs w:val="20"/>
              </w:rPr>
              <w:t>SWIOFC, national agencies</w:t>
            </w:r>
          </w:p>
        </w:tc>
      </w:tr>
      <w:tr w:rsidR="00D038FA" w14:paraId="66F50788" w14:textId="77777777">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182494C" w14:textId="77777777" w:rsidR="00D038FA" w:rsidRDefault="00000000">
            <w:pPr>
              <w:spacing w:after="40"/>
            </w:pPr>
            <w:r>
              <w:rPr>
                <w:sz w:val="20"/>
                <w:szCs w:val="20"/>
              </w:rPr>
              <w:t>6. Sustained operation</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E42BF61" w14:textId="77777777" w:rsidR="00D038FA" w:rsidRDefault="00000000">
            <w:pPr>
              <w:spacing w:after="40"/>
            </w:pPr>
            <w:r>
              <w:rPr>
                <w:sz w:val="20"/>
                <w:szCs w:val="20"/>
              </w:rPr>
              <w:t>2030 onwards</w:t>
            </w:r>
          </w:p>
        </w:tc>
        <w:tc>
          <w:tcPr>
            <w:tcW w:w="41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1B4ACC1" w14:textId="77777777" w:rsidR="00D038FA" w:rsidRDefault="00000000">
            <w:pPr>
              <w:spacing w:after="40"/>
            </w:pPr>
            <w:r>
              <w:rPr>
                <w:sz w:val="20"/>
                <w:szCs w:val="20"/>
              </w:rPr>
              <w:t>Continuous monitoring, periodic review and update of standards, capacity building, and sustainable financing through integration with regional programmes</w:t>
            </w:r>
          </w:p>
        </w:tc>
        <w:tc>
          <w:tcPr>
            <w:tcW w:w="2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B542AA5" w14:textId="77777777" w:rsidR="00D038FA" w:rsidRDefault="00000000">
            <w:pPr>
              <w:spacing w:after="40"/>
            </w:pPr>
            <w:r>
              <w:rPr>
                <w:sz w:val="20"/>
                <w:szCs w:val="20"/>
              </w:rPr>
              <w:t>SWIOFC, Nairobi Convention</w:t>
            </w:r>
          </w:p>
        </w:tc>
      </w:tr>
    </w:tbl>
    <w:p w14:paraId="612ED587" w14:textId="77777777" w:rsidR="00D038FA" w:rsidRDefault="00D038FA">
      <w:pPr>
        <w:spacing w:after="200"/>
      </w:pPr>
    </w:p>
    <w:p w14:paraId="5CC2962D" w14:textId="77777777" w:rsidR="00D038FA" w:rsidRDefault="00000000">
      <w:pPr>
        <w:pStyle w:val="Heading2"/>
        <w:spacing w:after="120"/>
      </w:pPr>
      <w:r>
        <w:t>9.1 Capacity building and training</w:t>
      </w:r>
    </w:p>
    <w:p w14:paraId="30081909" w14:textId="77777777" w:rsidR="00D038FA" w:rsidRDefault="00000000">
      <w:pPr>
        <w:spacing w:after="120" w:line="276" w:lineRule="auto"/>
        <w:jc w:val="both"/>
      </w:pPr>
      <w:r>
        <w:t>Each phase of the implementation roadmap must be accompanied by targeted capacity building. This includes practical training for fisheries officers and researchers on the use of standardized protocols and digital tools, and capacity building for fishers and fisher organizations on the rationale and procedures for data collection. Training materials should be developed in the working languages of the region and should include visual guides (e.g., species photo guides, gear identification sheets) to support accurate data recording in the field. Enumerator training is particularly critical for ensuring consistent taxonomic identification and correct application of measurement protocols.</w:t>
      </w:r>
    </w:p>
    <w:p w14:paraId="41B53C32" w14:textId="77777777" w:rsidR="00D038FA" w:rsidRDefault="00000000">
      <w:pPr>
        <w:pStyle w:val="Heading2"/>
        <w:spacing w:after="120"/>
      </w:pPr>
      <w:r>
        <w:t>9.2 Sustainable financing</w:t>
      </w:r>
    </w:p>
    <w:p w14:paraId="60D32068" w14:textId="4D08B1C4" w:rsidR="00D038FA" w:rsidRDefault="00000000">
      <w:pPr>
        <w:spacing w:after="120" w:line="276" w:lineRule="auto"/>
        <w:jc w:val="both"/>
      </w:pPr>
      <w:r>
        <w:lastRenderedPageBreak/>
        <w:t>The long-term sustainability of the harmonized system depends on securing dedicated financing. A robust business case should be developed demonstrating the value of harmonization for consistent decision-making and for attracting investment in sustainable fisheries. International funding mechanismsshould be leveraged to support infrastructure development, training, and ongoing system maintenance.</w:t>
      </w:r>
    </w:p>
    <w:p w14:paraId="5F2C2A58" w14:textId="0104DF15" w:rsidR="00D038FA" w:rsidRDefault="00D038FA" w:rsidP="00871BDC"/>
    <w:sectPr w:rsidR="00D038FA">
      <w:headerReference w:type="default" r:id="rId8"/>
      <w:footerReference w:type="default" r:id="rId9"/>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950E99" w14:textId="77777777" w:rsidR="00A35575" w:rsidRDefault="00A35575">
      <w:r>
        <w:separator/>
      </w:r>
    </w:p>
  </w:endnote>
  <w:endnote w:type="continuationSeparator" w:id="0">
    <w:p w14:paraId="67B4FE18" w14:textId="77777777" w:rsidR="00A35575" w:rsidRDefault="00A3557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48DF05" w14:textId="77777777" w:rsidR="00D038FA" w:rsidRDefault="00000000">
    <w:pPr>
      <w:jc w:val="center"/>
    </w:pPr>
    <w:r>
      <w:rPr>
        <w:color w:val="666666"/>
        <w:sz w:val="18"/>
        <w:szCs w:val="18"/>
      </w:rPr>
      <w:t xml:space="preserve">Page </w:t>
    </w:r>
    <w:r>
      <w:rPr>
        <w:color w:val="666666"/>
        <w:sz w:val="18"/>
        <w:szCs w:val="18"/>
      </w:rPr>
      <w:fldChar w:fldCharType="begin"/>
    </w:r>
    <w:r>
      <w:rPr>
        <w:color w:val="666666"/>
        <w:sz w:val="18"/>
        <w:szCs w:val="18"/>
      </w:rPr>
      <w:instrText>PAGE</w:instrText>
    </w:r>
    <w:r>
      <w:rPr>
        <w:color w:val="666666"/>
        <w:sz w:val="18"/>
        <w:szCs w:val="18"/>
      </w:rPr>
      <w:fldChar w:fldCharType="separate"/>
    </w:r>
    <w:r w:rsidR="007C2906">
      <w:rPr>
        <w:noProof/>
        <w:color w:val="666666"/>
        <w:sz w:val="18"/>
        <w:szCs w:val="18"/>
      </w:rPr>
      <w:t>1</w:t>
    </w:r>
    <w:r>
      <w:rPr>
        <w:color w:val="666666"/>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E27C20" w14:textId="77777777" w:rsidR="00A35575" w:rsidRDefault="00A35575">
      <w:r>
        <w:separator/>
      </w:r>
    </w:p>
  </w:footnote>
  <w:footnote w:type="continuationSeparator" w:id="0">
    <w:p w14:paraId="3D7BC75C" w14:textId="77777777" w:rsidR="00A35575" w:rsidRDefault="00A3557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78C0D5" w14:textId="77777777" w:rsidR="00D038FA" w:rsidRDefault="00000000">
    <w:pPr>
      <w:pBdr>
        <w:bottom w:val="single" w:sz="4" w:space="4" w:color="1F4E79"/>
      </w:pBdr>
      <w:jc w:val="right"/>
    </w:pPr>
    <w:r>
      <w:rPr>
        <w:i/>
        <w:iCs/>
        <w:color w:val="666666"/>
        <w:sz w:val="18"/>
        <w:szCs w:val="18"/>
      </w:rPr>
      <w:t>Technical Guidelines for SSF Data Harmonization in the WIO</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DD2AFC"/>
    <w:multiLevelType w:val="hybridMultilevel"/>
    <w:tmpl w:val="A58EB250"/>
    <w:lvl w:ilvl="0" w:tplc="1CE4D6DC">
      <w:start w:val="1"/>
      <w:numFmt w:val="lowerRoman"/>
      <w:lvlText w:val="%1."/>
      <w:lvlJc w:val="left"/>
      <w:pPr>
        <w:ind w:left="1080" w:hanging="360"/>
      </w:pPr>
    </w:lvl>
    <w:lvl w:ilvl="1" w:tplc="6924E30C">
      <w:numFmt w:val="decimal"/>
      <w:lvlText w:val=""/>
      <w:lvlJc w:val="left"/>
    </w:lvl>
    <w:lvl w:ilvl="2" w:tplc="E3F851EC">
      <w:numFmt w:val="decimal"/>
      <w:lvlText w:val=""/>
      <w:lvlJc w:val="left"/>
    </w:lvl>
    <w:lvl w:ilvl="3" w:tplc="25E2A188">
      <w:numFmt w:val="decimal"/>
      <w:lvlText w:val=""/>
      <w:lvlJc w:val="left"/>
    </w:lvl>
    <w:lvl w:ilvl="4" w:tplc="65804BD4">
      <w:numFmt w:val="decimal"/>
      <w:lvlText w:val=""/>
      <w:lvlJc w:val="left"/>
    </w:lvl>
    <w:lvl w:ilvl="5" w:tplc="607017BC">
      <w:numFmt w:val="decimal"/>
      <w:lvlText w:val=""/>
      <w:lvlJc w:val="left"/>
    </w:lvl>
    <w:lvl w:ilvl="6" w:tplc="E97CF3CC">
      <w:numFmt w:val="decimal"/>
      <w:lvlText w:val=""/>
      <w:lvlJc w:val="left"/>
    </w:lvl>
    <w:lvl w:ilvl="7" w:tplc="9DE032C8">
      <w:numFmt w:val="decimal"/>
      <w:lvlText w:val=""/>
      <w:lvlJc w:val="left"/>
    </w:lvl>
    <w:lvl w:ilvl="8" w:tplc="9262589A">
      <w:numFmt w:val="decimal"/>
      <w:lvlText w:val=""/>
      <w:lvlJc w:val="left"/>
    </w:lvl>
  </w:abstractNum>
  <w:abstractNum w:abstractNumId="1" w15:restartNumberingAfterBreak="0">
    <w:nsid w:val="2B326158"/>
    <w:multiLevelType w:val="hybridMultilevel"/>
    <w:tmpl w:val="61A2F538"/>
    <w:lvl w:ilvl="0" w:tplc="16ECA000">
      <w:start w:val="1"/>
      <w:numFmt w:val="decimal"/>
      <w:lvlText w:val="%1."/>
      <w:lvlJc w:val="left"/>
      <w:pPr>
        <w:ind w:left="720" w:hanging="360"/>
      </w:pPr>
    </w:lvl>
    <w:lvl w:ilvl="1" w:tplc="BAD655E8">
      <w:numFmt w:val="decimal"/>
      <w:lvlText w:val=""/>
      <w:lvlJc w:val="left"/>
    </w:lvl>
    <w:lvl w:ilvl="2" w:tplc="254ADC42">
      <w:numFmt w:val="decimal"/>
      <w:lvlText w:val=""/>
      <w:lvlJc w:val="left"/>
    </w:lvl>
    <w:lvl w:ilvl="3" w:tplc="4A70217A">
      <w:numFmt w:val="decimal"/>
      <w:lvlText w:val=""/>
      <w:lvlJc w:val="left"/>
    </w:lvl>
    <w:lvl w:ilvl="4" w:tplc="943EBC8C">
      <w:numFmt w:val="decimal"/>
      <w:lvlText w:val=""/>
      <w:lvlJc w:val="left"/>
    </w:lvl>
    <w:lvl w:ilvl="5" w:tplc="BA8E9208">
      <w:numFmt w:val="decimal"/>
      <w:lvlText w:val=""/>
      <w:lvlJc w:val="left"/>
    </w:lvl>
    <w:lvl w:ilvl="6" w:tplc="C436F71A">
      <w:numFmt w:val="decimal"/>
      <w:lvlText w:val=""/>
      <w:lvlJc w:val="left"/>
    </w:lvl>
    <w:lvl w:ilvl="7" w:tplc="649C5160">
      <w:numFmt w:val="decimal"/>
      <w:lvlText w:val=""/>
      <w:lvlJc w:val="left"/>
    </w:lvl>
    <w:lvl w:ilvl="8" w:tplc="2708EA22">
      <w:numFmt w:val="decimal"/>
      <w:lvlText w:val=""/>
      <w:lvlJc w:val="left"/>
    </w:lvl>
  </w:abstractNum>
  <w:abstractNum w:abstractNumId="2" w15:restartNumberingAfterBreak="0">
    <w:nsid w:val="384E4196"/>
    <w:multiLevelType w:val="hybridMultilevel"/>
    <w:tmpl w:val="B50E67F4"/>
    <w:lvl w:ilvl="0" w:tplc="7C926434">
      <w:start w:val="1"/>
      <w:numFmt w:val="decimal"/>
      <w:lvlText w:val="%1."/>
      <w:lvlJc w:val="left"/>
      <w:pPr>
        <w:ind w:left="720" w:hanging="360"/>
      </w:pPr>
    </w:lvl>
    <w:lvl w:ilvl="1" w:tplc="9D2E8F34">
      <w:numFmt w:val="decimal"/>
      <w:lvlText w:val=""/>
      <w:lvlJc w:val="left"/>
    </w:lvl>
    <w:lvl w:ilvl="2" w:tplc="4A527FC0">
      <w:numFmt w:val="decimal"/>
      <w:lvlText w:val=""/>
      <w:lvlJc w:val="left"/>
    </w:lvl>
    <w:lvl w:ilvl="3" w:tplc="4A6A3E06">
      <w:numFmt w:val="decimal"/>
      <w:lvlText w:val=""/>
      <w:lvlJc w:val="left"/>
    </w:lvl>
    <w:lvl w:ilvl="4" w:tplc="CE1CC58A">
      <w:numFmt w:val="decimal"/>
      <w:lvlText w:val=""/>
      <w:lvlJc w:val="left"/>
    </w:lvl>
    <w:lvl w:ilvl="5" w:tplc="CA7A4518">
      <w:numFmt w:val="decimal"/>
      <w:lvlText w:val=""/>
      <w:lvlJc w:val="left"/>
    </w:lvl>
    <w:lvl w:ilvl="6" w:tplc="3724CDA0">
      <w:numFmt w:val="decimal"/>
      <w:lvlText w:val=""/>
      <w:lvlJc w:val="left"/>
    </w:lvl>
    <w:lvl w:ilvl="7" w:tplc="329C17BC">
      <w:numFmt w:val="decimal"/>
      <w:lvlText w:val=""/>
      <w:lvlJc w:val="left"/>
    </w:lvl>
    <w:lvl w:ilvl="8" w:tplc="EF90F7F8">
      <w:numFmt w:val="decimal"/>
      <w:lvlText w:val=""/>
      <w:lvlJc w:val="left"/>
    </w:lvl>
  </w:abstractNum>
  <w:abstractNum w:abstractNumId="3" w15:restartNumberingAfterBreak="0">
    <w:nsid w:val="40CE567F"/>
    <w:multiLevelType w:val="hybridMultilevel"/>
    <w:tmpl w:val="40AA0958"/>
    <w:lvl w:ilvl="0" w:tplc="E0C811C6">
      <w:start w:val="1"/>
      <w:numFmt w:val="bullet"/>
      <w:lvlText w:val="•"/>
      <w:lvlJc w:val="left"/>
      <w:pPr>
        <w:ind w:left="720" w:hanging="360"/>
      </w:pPr>
    </w:lvl>
    <w:lvl w:ilvl="1" w:tplc="3AF8B9CA">
      <w:numFmt w:val="decimal"/>
      <w:lvlText w:val=""/>
      <w:lvlJc w:val="left"/>
    </w:lvl>
    <w:lvl w:ilvl="2" w:tplc="EA5ECDF2">
      <w:numFmt w:val="decimal"/>
      <w:lvlText w:val=""/>
      <w:lvlJc w:val="left"/>
    </w:lvl>
    <w:lvl w:ilvl="3" w:tplc="59E2B83E">
      <w:numFmt w:val="decimal"/>
      <w:lvlText w:val=""/>
      <w:lvlJc w:val="left"/>
    </w:lvl>
    <w:lvl w:ilvl="4" w:tplc="9E023808">
      <w:numFmt w:val="decimal"/>
      <w:lvlText w:val=""/>
      <w:lvlJc w:val="left"/>
    </w:lvl>
    <w:lvl w:ilvl="5" w:tplc="D576C390">
      <w:numFmt w:val="decimal"/>
      <w:lvlText w:val=""/>
      <w:lvlJc w:val="left"/>
    </w:lvl>
    <w:lvl w:ilvl="6" w:tplc="E50EE8F0">
      <w:numFmt w:val="decimal"/>
      <w:lvlText w:val=""/>
      <w:lvlJc w:val="left"/>
    </w:lvl>
    <w:lvl w:ilvl="7" w:tplc="C8D2D9D6">
      <w:numFmt w:val="decimal"/>
      <w:lvlText w:val=""/>
      <w:lvlJc w:val="left"/>
    </w:lvl>
    <w:lvl w:ilvl="8" w:tplc="94D89556">
      <w:numFmt w:val="decimal"/>
      <w:lvlText w:val=""/>
      <w:lvlJc w:val="left"/>
    </w:lvl>
  </w:abstractNum>
  <w:abstractNum w:abstractNumId="4" w15:restartNumberingAfterBreak="0">
    <w:nsid w:val="7A710614"/>
    <w:multiLevelType w:val="hybridMultilevel"/>
    <w:tmpl w:val="B25C177E"/>
    <w:lvl w:ilvl="0" w:tplc="8760EA4A">
      <w:start w:val="1"/>
      <w:numFmt w:val="bullet"/>
      <w:lvlText w:val="●"/>
      <w:lvlJc w:val="left"/>
      <w:pPr>
        <w:ind w:left="720" w:hanging="360"/>
      </w:pPr>
    </w:lvl>
    <w:lvl w:ilvl="1" w:tplc="9D2E987C">
      <w:start w:val="1"/>
      <w:numFmt w:val="bullet"/>
      <w:lvlText w:val="○"/>
      <w:lvlJc w:val="left"/>
      <w:pPr>
        <w:ind w:left="1440" w:hanging="360"/>
      </w:pPr>
    </w:lvl>
    <w:lvl w:ilvl="2" w:tplc="632613C8">
      <w:start w:val="1"/>
      <w:numFmt w:val="bullet"/>
      <w:lvlText w:val="■"/>
      <w:lvlJc w:val="left"/>
      <w:pPr>
        <w:ind w:left="2160" w:hanging="360"/>
      </w:pPr>
    </w:lvl>
    <w:lvl w:ilvl="3" w:tplc="2A50A446">
      <w:start w:val="1"/>
      <w:numFmt w:val="bullet"/>
      <w:lvlText w:val="●"/>
      <w:lvlJc w:val="left"/>
      <w:pPr>
        <w:ind w:left="2880" w:hanging="360"/>
      </w:pPr>
    </w:lvl>
    <w:lvl w:ilvl="4" w:tplc="9AB8F3B0">
      <w:start w:val="1"/>
      <w:numFmt w:val="bullet"/>
      <w:lvlText w:val="○"/>
      <w:lvlJc w:val="left"/>
      <w:pPr>
        <w:ind w:left="3600" w:hanging="360"/>
      </w:pPr>
    </w:lvl>
    <w:lvl w:ilvl="5" w:tplc="41C81412">
      <w:start w:val="1"/>
      <w:numFmt w:val="bullet"/>
      <w:lvlText w:val="■"/>
      <w:lvlJc w:val="left"/>
      <w:pPr>
        <w:ind w:left="4320" w:hanging="360"/>
      </w:pPr>
    </w:lvl>
    <w:lvl w:ilvl="6" w:tplc="4B72A5EA">
      <w:start w:val="1"/>
      <w:numFmt w:val="bullet"/>
      <w:lvlText w:val="●"/>
      <w:lvlJc w:val="left"/>
      <w:pPr>
        <w:ind w:left="5040" w:hanging="360"/>
      </w:pPr>
    </w:lvl>
    <w:lvl w:ilvl="7" w:tplc="99AE460E">
      <w:start w:val="1"/>
      <w:numFmt w:val="bullet"/>
      <w:lvlText w:val="●"/>
      <w:lvlJc w:val="left"/>
      <w:pPr>
        <w:ind w:left="5760" w:hanging="360"/>
      </w:pPr>
    </w:lvl>
    <w:lvl w:ilvl="8" w:tplc="05F6F668">
      <w:start w:val="1"/>
      <w:numFmt w:val="bullet"/>
      <w:lvlText w:val="●"/>
      <w:lvlJc w:val="left"/>
      <w:pPr>
        <w:ind w:left="6480" w:hanging="360"/>
      </w:pPr>
    </w:lvl>
  </w:abstractNum>
  <w:num w:numId="1" w16cid:durableId="249125076">
    <w:abstractNumId w:val="4"/>
    <w:lvlOverride w:ilvl="0">
      <w:startOverride w:val="1"/>
    </w:lvlOverride>
  </w:num>
  <w:num w:numId="2" w16cid:durableId="1510948079">
    <w:abstractNumId w:val="3"/>
    <w:lvlOverride w:ilvl="0">
      <w:startOverride w:val="1"/>
    </w:lvlOverride>
  </w:num>
  <w:num w:numId="3" w16cid:durableId="942684406">
    <w:abstractNumId w:val="1"/>
    <w:lvlOverride w:ilvl="0">
      <w:startOverride w:val="1"/>
    </w:lvlOverride>
  </w:num>
  <w:num w:numId="4" w16cid:durableId="888685192">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038FA"/>
    <w:rsid w:val="002F5ECA"/>
    <w:rsid w:val="003245ED"/>
    <w:rsid w:val="00633277"/>
    <w:rsid w:val="0076043E"/>
    <w:rsid w:val="007C2906"/>
    <w:rsid w:val="00871BDC"/>
    <w:rsid w:val="00A35575"/>
    <w:rsid w:val="00A504C0"/>
    <w:rsid w:val="00AD4D97"/>
    <w:rsid w:val="00B55C01"/>
    <w:rsid w:val="00D038FA"/>
    <w:rsid w:val="00E903F2"/>
    <w:rsid w:val="00F02E99"/>
  </w:rsids>
  <m:mathPr>
    <m:mathFont m:val="Cambria Math"/>
    <m:brkBin m:val="before"/>
    <m:brkBinSub m:val="--"/>
    <m:smallFrac m:val="0"/>
    <m:dispDef/>
    <m:lMargin m:val="0"/>
    <m:rMargin m:val="0"/>
    <m:defJc m:val="centerGroup"/>
    <m:wrapIndent m:val="1440"/>
    <m:intLim m:val="subSup"/>
    <m:naryLim m:val="undOvr"/>
  </m:mathPr>
  <w:themeFontLang w:val="en-IT"/>
  <w:clrSchemeMapping w:bg1="light1" w:t1="dark1" w:bg2="light2" w:t2="dark2" w:accent1="accent1" w:accent2="accent2" w:accent3="accent3" w:accent4="accent4" w:accent5="accent5" w:accent6="accent6" w:hyperlink="hyperlink" w:followedHyperlink="followedHyperlink"/>
  <w:decimalSymbol w:val=","/>
  <w:listSeparator w:val=","/>
  <w14:docId w14:val="04F9B7A9"/>
  <w15:docId w15:val="{F1F3FC62-64A9-F34D-85ED-5EB1C5F1FF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IT"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00"/>
      <w:outlineLvl w:val="0"/>
    </w:pPr>
    <w:rPr>
      <w:b/>
      <w:bCs/>
      <w:color w:val="1F4E79"/>
      <w:sz w:val="32"/>
      <w:szCs w:val="32"/>
    </w:rPr>
  </w:style>
  <w:style w:type="paragraph" w:styleId="Heading2">
    <w:name w:val="heading 2"/>
    <w:uiPriority w:val="9"/>
    <w:unhideWhenUsed/>
    <w:qFormat/>
    <w:pPr>
      <w:spacing w:before="240" w:after="160"/>
      <w:outlineLvl w:val="1"/>
    </w:pPr>
    <w:rPr>
      <w:b/>
      <w:bCs/>
      <w:color w:val="2E75B6"/>
      <w:sz w:val="28"/>
      <w:szCs w:val="28"/>
    </w:rPr>
  </w:style>
  <w:style w:type="paragraph" w:styleId="Heading3">
    <w:name w:val="heading 3"/>
    <w:uiPriority w:val="9"/>
    <w:semiHidden/>
    <w:unhideWhenUsed/>
    <w:qFormat/>
    <w:pPr>
      <w:spacing w:before="200" w:after="120"/>
      <w:outlineLvl w:val="2"/>
    </w:pPr>
    <w:rPr>
      <w:b/>
      <w:bCs/>
      <w:color w:val="2E75B6"/>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https://airtable.com/appBD5R0M2x6UYVVX/pagfTu86RMBrZg4VN/for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23</TotalTime>
  <Pages>16</Pages>
  <Words>4032</Words>
  <Characters>22986</Characters>
  <Application>Microsoft Office Word</Application>
  <DocSecurity>0</DocSecurity>
  <Lines>191</Lines>
  <Paragraphs>53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26965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Lorenzo Longobardi</cp:lastModifiedBy>
  <cp:revision>7</cp:revision>
  <dcterms:created xsi:type="dcterms:W3CDTF">2026-04-23T09:24:00Z</dcterms:created>
  <dcterms:modified xsi:type="dcterms:W3CDTF">2026-04-30T08:51:00Z</dcterms:modified>
</cp:coreProperties>
</file>