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2"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 xml:space="preserve">Avenue </w:t>
      </w:r>
      <w:proofErr w:type="spellStart"/>
      <w:r w:rsidR="000311C0">
        <w:t>Appia</w:t>
      </w:r>
      <w:proofErr w:type="spellEnd"/>
      <w:r w:rsidR="000311C0">
        <w:t xml:space="preserve">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NETWORK which may be found here:</w:t>
      </w:r>
    </w:p>
    <w:p w14:paraId="3B29FEB2" w14:textId="498A51BE" w:rsidR="00512161" w:rsidRDefault="00436DC3" w:rsidP="00825C0B">
      <w:pPr>
        <w:spacing w:before="120" w:after="240" w:line="276" w:lineRule="auto"/>
        <w:jc w:val="both"/>
        <w:rPr>
          <w:lang w:val="en-GB"/>
        </w:rPr>
      </w:pPr>
      <w:r>
        <w:rPr>
          <w:lang w:val="en-GB"/>
        </w:rPr>
        <w:tab/>
      </w:r>
      <w:hyperlink r:id="rId14" w:history="1">
        <w:r w:rsidRPr="009711EE">
          <w:rPr>
            <w:rStyle w:val="Hyperlink"/>
            <w:lang w:val="en-GB"/>
          </w:rPr>
          <w:t>https://smart.who.int/trust/GDHCN_Administrative_and_Operational_Framework.pdf</w:t>
        </w:r>
      </w:hyperlink>
      <w:r>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CCDE" w14:textId="77777777" w:rsidR="00E20F5E" w:rsidRDefault="00E20F5E" w:rsidP="009A15ED">
      <w:pPr>
        <w:spacing w:after="0" w:line="240" w:lineRule="auto"/>
      </w:pPr>
      <w:r>
        <w:separator/>
      </w:r>
    </w:p>
  </w:endnote>
  <w:endnote w:type="continuationSeparator" w:id="0">
    <w:p w14:paraId="015D43ED" w14:textId="77777777" w:rsidR="00E20F5E" w:rsidRDefault="00E20F5E"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D05E" w14:textId="77777777" w:rsidR="00E20F5E" w:rsidRDefault="00E20F5E" w:rsidP="009A15ED">
      <w:pPr>
        <w:spacing w:after="0" w:line="240" w:lineRule="auto"/>
      </w:pPr>
      <w:r>
        <w:separator/>
      </w:r>
    </w:p>
  </w:footnote>
  <w:footnote w:type="continuationSeparator" w:id="0">
    <w:p w14:paraId="284618A3" w14:textId="77777777" w:rsidR="00E20F5E" w:rsidRDefault="00E20F5E"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F047E"/>
    <w:rsid w:val="003F3956"/>
    <w:rsid w:val="00410FC9"/>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20F5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trust/GDHCN_Administrative_and_Operational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2.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1294</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8653</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2023-11-30T17:36:00Z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