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World Information Architecture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February 2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, 201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@worldiaday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worldiaday.org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iainstitute.org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40"/>
          <w:szCs w:val="40"/>
          <w:u w:val="none"/>
          <w:rtl w:val="0"/>
        </w:rPr>
        <w:t xml:space="preserve">Thank you,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40"/>
          <w:szCs w:val="40"/>
          <w:u w:val="none"/>
          <w:rtl w:val="0"/>
        </w:rPr>
        <w:t xml:space="preserve">&lt;Sponsor Name&gt;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40"/>
          <w:szCs w:val="40"/>
          <w:u w:val="none"/>
          <w:rtl w:val="0"/>
        </w:rPr>
        <w:t xml:space="preserve">, for sponsoring World Information Architecture Day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We</w:t>
      </w:r>
      <w:r w:rsidDel="00000000" w:rsidR="00000000" w:rsidRPr="00000000">
        <w:rPr>
          <w:color w:val="7f7f7f"/>
          <w:sz w:val="20"/>
          <w:szCs w:val="20"/>
          <w:u w:val="no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re delighted that you</w:t>
      </w:r>
      <w:r w:rsidDel="00000000" w:rsidR="00000000" w:rsidRPr="00000000">
        <w:rPr>
          <w:color w:val="7f7f7f"/>
          <w:sz w:val="20"/>
          <w:szCs w:val="20"/>
          <w:u w:val="no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ve decided to invest in sponsorship of World Information Architecture Day. World IA Day 201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was the biggest event in IA Institute history, and arguably in the entire history of information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World IA Day 2016 continues to grow with 74 locations internationally spanning 39 countries. Your participation in this year</w:t>
      </w:r>
      <w:r w:rsidDel="00000000" w:rsidR="00000000" w:rsidRPr="00000000">
        <w:rPr>
          <w:color w:val="7f7f7f"/>
          <w:sz w:val="20"/>
          <w:szCs w:val="20"/>
          <w:u w:val="no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s event 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have a trul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global impact.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In exchange for payment of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$2500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as a sponsorship fee,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WIAD Tampa Bay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agrees to provide the following consideration for the term of this contract date through March 1, 2016: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A table at our venue to advertise current job offerings relevant to our attendee personas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Promotion through our websites (local &amp; global via static logo), through our social media accounts, all printed materials, and mentions throughout the day of our event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Free ½ day IA workshop to benefit employees (number of employees allowed will be based on contribution level)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Select partners will receive recognition in all public relations efforts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WIAD Highlights: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Sponsorship agreement will run from date of payment through March 1,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World IA Day is the flagship event of the Information Architecture Institute (IAI), a 501(c)6 organization with over 1400 members, 11,000 followers on Twitter, 7,600 members of the IAI LinkedIn group and nearly 4,000 newsletter subscribers.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World IA Day is about bringing the information architecture community together. We're fostering links within the local communities and on a global scale. We're sharing information, ideas, and research. And we're doing it through unconventional, exciting, and engaging IA events next February. We are a free event, open and accessible to the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2016 represents 74 participating cities with attendees from 39 countries across 6 continents.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Attendees include information architects, user experience designers, scholars, students, content strategists, entrepreneurs, business leaders, developers and others interested in learning and discussing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8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Required Elements: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&lt;edit as needed&gt;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Along with payment, provided by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&lt;Date&gt;, 2016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, the sponsor agrees to supply World IA Day representative with: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Logo in RGB, CMYK, and Grayscale in .eps, .png or.ai format (preferred in vector)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Tagline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to appear, where appropriate, as deemed by the WIAD1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 staff for the environment within which the sponsorship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Link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to appear with brand mention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Names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of company representatives staffing a table and which locations they would like to attend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f7f7f"/>
          <w:rtl w:val="0"/>
        </w:rPr>
        <w:t xml:space="preserve">Payment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Payment must be received by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December 20,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Payments received by November 1st will be eligible for $100.00 discount.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By Check:</w:t>
        <w:br w:type="textWrapping"/>
        <w:t xml:space="preserve">Pay to the order of World IA Day Tampa Bay in USD</w:t>
        <w:br w:type="textWrapping"/>
        <w:t xml:space="preserve">Mail to: 6002 N 9th St, Tampa FL 33604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By Credit Card (additional 2.9% processing fee will be added)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Sponsorship Agreement Acceptance: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World IA Day Authorized Representative Signature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: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Printed Name: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Title: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Date: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Sponsor Authorized Representative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: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Printed Name: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Title: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Date: </w:t>
        <w:tab/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260" w:top="1296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  <w:tab w:val="right" w:pos="9720"/>
      </w:tabs>
      <w:spacing w:after="720" w:lineRule="auto"/>
      <w:contextualSpacing w:val="0"/>
      <w:jc w:val="right"/>
    </w:pPr>
    <w:r w:rsidDel="00000000" w:rsidR="00000000" w:rsidRPr="00000000">
      <w:drawing>
        <wp:inline distB="0" distT="0" distL="0" distR="0">
          <wp:extent cx="2134210" cy="114205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4210" cy="114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color w:val="7f7f7f"/>
        <w:sz w:val="22"/>
        <w:szCs w:val="22"/>
        <w:u w:val="none"/>
        <w:rtl w:val="0"/>
      </w:rPr>
      <w:t xml:space="preserve">                                             </w:t>
    </w:r>
    <w:r w:rsidDel="00000000" w:rsidR="00000000" w:rsidRPr="00000000">
      <w:rPr>
        <w:i w:val="1"/>
        <w:color w:val="7f7f7f"/>
        <w:sz w:val="20"/>
        <w:szCs w:val="20"/>
        <w:u w:val="no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i w:val="1"/>
        <w:color w:val="7f7f7f"/>
        <w:sz w:val="20"/>
        <w:szCs w:val="20"/>
        <w:u w:val="none"/>
        <w:rtl w:val="0"/>
      </w:rPr>
      <w:t xml:space="preserve">2016 The Information Architecture Institute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drawing>
        <wp:inline distB="0" distT="0" distL="0" distR="0">
          <wp:extent cx="1384494" cy="1013662"/>
          <wp:effectExtent b="0" l="0" r="0" t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4494" cy="10136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