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World Information Architecture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February 2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, 201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@w</w:t>
      </w: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iadtampa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worldiaday.org</w:t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rtl w:val="0"/>
        </w:rPr>
        <w:t xml:space="preserve">wiadtampa.org</w:t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a6a6a6"/>
          <w:sz w:val="20"/>
          <w:szCs w:val="20"/>
          <w:u w:val="none"/>
          <w:rtl w:val="0"/>
        </w:rPr>
        <w:t xml:space="preserve">iainstitute.org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40"/>
          <w:szCs w:val="40"/>
          <w:u w:val="none"/>
          <w:rtl w:val="0"/>
        </w:rPr>
        <w:t xml:space="preserve">Thank you,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40"/>
          <w:szCs w:val="40"/>
          <w:u w:val="none"/>
          <w:rtl w:val="0"/>
        </w:rPr>
        <w:t xml:space="preserve">&lt;Sponsor Name&gt;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40"/>
          <w:szCs w:val="40"/>
          <w:u w:val="none"/>
          <w:rtl w:val="0"/>
        </w:rPr>
        <w:t xml:space="preserve">, for sponsoring World Information Architecture Day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We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re delighted that you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ve decided to invest in sponsorship of World Information Architecture Day. World IA Day 201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was the biggest event in IA Institute history, and arguably in the entire history of information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World IA Day 2016 continues to grow with 7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locations internationally spanning 3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countries. Your participation in this year</w:t>
      </w:r>
      <w:r w:rsidDel="00000000" w:rsidR="00000000" w:rsidRPr="00000000">
        <w:rPr>
          <w:color w:val="7f7f7f"/>
          <w:sz w:val="20"/>
          <w:szCs w:val="20"/>
          <w:u w:val="none"/>
          <w:rtl w:val="0"/>
        </w:rPr>
        <w:t xml:space="preserve">’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s event 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have a trul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global impact.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In exchange for payment of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$600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as a sponsorship fee, 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WIAD Tampa Bay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agrees to provide the following consideration for the term of this contract date through March 1, 2016: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A table at our venue to advertise products or services to attendees who are within your target market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Promotion through our websites (local &amp; global via rotating banner), through our social media accounts, on select printed materials, and mentions throughout the day of our event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Up to 4 hours of free IA work to benefit your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WIAD Highlights: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8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Sponsorship agreement will run from date of payment through March 1,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8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World IA Day is the flagship event of the Information Architecture Institute (IAI), a 501(c)6 organization with over 1400 members, 11,000 followers on Twitter, 7,600 members of the IAI LinkedIn group and nearly 4,000 newsletter subscribers.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0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World IA Day is about bringing the information architecture community together. We're fostering links within the local communities and on a global scale. We're sharing information, ideas, and research. And we're doing it through unconventional, exciting, and engaging IA events next February. We are a free event, open and accessible to the public.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30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2016 represents 7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participating cities with attendees from 3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 countries across 6 continents.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u w:val="none"/>
          <w:rtl w:val="0"/>
        </w:rPr>
        <w:t xml:space="preserve">Attendees include information architects, user experience designers, scholars, students, content strategists, entrepreneurs, business leaders, developers and others interested in learning and discussing 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Required Elements: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Along with payment, provided by 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December 20th,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 2015 the sponsor agrees to supply World IA Day representative with: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Logo in RGB, CMYK, and Grayscale in .eps, .png or.ai format (preferred in vector)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Tagline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to appear, where appropriate, as deemed by the WIAD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Tampa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 staff for the environment within which the sponsorship appears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Link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to appear with brand mention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36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color w:val="7f7f7f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Names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of company representatives staffing a table and 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number of lunches to provide.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Payment Details: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432" w:right="0" w:hanging="432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Payment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0"/>
          <w:szCs w:val="20"/>
          <w:u w:val="none"/>
          <w:vertAlign w:val="baseline"/>
          <w:rtl w:val="0"/>
        </w:rPr>
        <w:t xml:space="preserve">must be received by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0000"/>
          <w:sz w:val="20"/>
          <w:szCs w:val="20"/>
          <w:u w:val="none"/>
          <w:vertAlign w:val="baseline"/>
          <w:rtl w:val="0"/>
        </w:rPr>
        <w:t xml:space="preserve">December 20, 201</w:t>
      </w:r>
      <w:r w:rsidDel="00000000" w:rsidR="00000000" w:rsidRPr="00000000">
        <w:rPr>
          <w:rFonts w:ascii="Helvetica Neue" w:cs="Helvetica Neue" w:eastAsia="Helvetica Neue" w:hAnsi="Helvetica Neue"/>
          <w:color w:val="ff0000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432" w:right="0" w:hanging="432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By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808080"/>
          <w:sz w:val="20"/>
          <w:szCs w:val="20"/>
          <w:u w:val="none"/>
          <w:vertAlign w:val="baseline"/>
          <w:rtl w:val="0"/>
        </w:rPr>
        <w:t xml:space="preserve">Check: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br w:type="textWrapping"/>
        <w:t xml:space="preserve">Pay to the order of 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World IA Day Tampa Bay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 xml:space="preserve"> in </w:t>
      </w:r>
      <w:r w:rsidDel="00000000" w:rsidR="00000000" w:rsidRPr="00000000">
        <w:rPr>
          <w:rFonts w:ascii="Helvetica Neue" w:cs="Helvetica Neue" w:eastAsia="Helvetica Neue" w:hAnsi="Helvetica Neue"/>
          <w:color w:val="808080"/>
          <w:sz w:val="20"/>
          <w:szCs w:val="20"/>
          <w:rtl w:val="0"/>
        </w:rPr>
        <w:t xml:space="preserve">USD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br w:type="textWrapping"/>
        <w:t xml:space="preserve">Mail to: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 6002 N 9th St, Tampa FL 33604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432" w:right="0" w:hanging="432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By Credit Card (additional 2.9% processing fee will be added)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360"/>
        </w:tabs>
        <w:spacing w:after="18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7f7f7f"/>
          <w:sz w:val="24"/>
          <w:szCs w:val="24"/>
          <w:u w:val="none"/>
          <w:vertAlign w:val="baseline"/>
          <w:rtl w:val="0"/>
        </w:rPr>
        <w:t xml:space="preserve">Sponsorship Agreement Acceptance: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f7f7f"/>
          <w:sz w:val="20"/>
          <w:szCs w:val="20"/>
          <w:rtl w:val="0"/>
        </w:rPr>
        <w:t xml:space="preserve">World IA Day Authorized Representative Signature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Printed Name: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Title: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Date: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7f7f7f"/>
          <w:sz w:val="20"/>
          <w:szCs w:val="20"/>
          <w:rtl w:val="0"/>
        </w:rPr>
        <w:t xml:space="preserve">Sponsor Authorized Representative</w:t>
      </w: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Printed Name: </w:t>
        <w:tab/>
      </w:r>
    </w:p>
    <w:p w:rsidR="00000000" w:rsidDel="00000000" w:rsidP="00000000" w:rsidRDefault="00000000" w:rsidRPr="00000000">
      <w:pPr>
        <w:tabs>
          <w:tab w:val="left" w:pos="9360"/>
        </w:tabs>
        <w:spacing w:after="180" w:line="480" w:lineRule="auto"/>
        <w:ind w:left="360" w:firstLine="360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Title: 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9360"/>
        </w:tabs>
        <w:spacing w:after="180" w:before="0" w:line="480" w:lineRule="auto"/>
        <w:ind w:left="360" w:right="0" w:firstLine="36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color w:val="7f7f7f"/>
          <w:sz w:val="20"/>
          <w:szCs w:val="20"/>
          <w:rtl w:val="0"/>
        </w:rPr>
        <w:t xml:space="preserve">Date: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7f7f7f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260" w:top="1296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  <w:tab w:val="right" w:pos="9720"/>
      </w:tabs>
      <w:spacing w:after="720" w:lineRule="auto"/>
      <w:contextualSpacing w:val="0"/>
      <w:jc w:val="right"/>
    </w:pPr>
    <w:r w:rsidDel="00000000" w:rsidR="00000000" w:rsidRPr="00000000">
      <w:drawing>
        <wp:inline distB="0" distT="0" distL="0" distR="0">
          <wp:extent cx="2134210" cy="114205"/>
          <wp:effectExtent b="0" l="0" r="0" t="0"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4210" cy="1142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color w:val="7f7f7f"/>
        <w:sz w:val="22"/>
        <w:szCs w:val="22"/>
        <w:u w:val="none"/>
        <w:rtl w:val="0"/>
      </w:rPr>
      <w:t xml:space="preserve">                                             </w:t>
    </w:r>
    <w:r w:rsidDel="00000000" w:rsidR="00000000" w:rsidRPr="00000000">
      <w:rPr>
        <w:i w:val="1"/>
        <w:color w:val="7f7f7f"/>
        <w:sz w:val="20"/>
        <w:szCs w:val="20"/>
        <w:u w:val="none"/>
        <w:rtl w:val="0"/>
      </w:rPr>
      <w:t xml:space="preserve">©</w:t>
    </w:r>
    <w:r w:rsidDel="00000000" w:rsidR="00000000" w:rsidRPr="00000000">
      <w:rPr>
        <w:rFonts w:ascii="Arial" w:cs="Arial" w:eastAsia="Arial" w:hAnsi="Arial"/>
        <w:i w:val="1"/>
        <w:color w:val="7f7f7f"/>
        <w:sz w:val="20"/>
        <w:szCs w:val="20"/>
        <w:u w:val="none"/>
        <w:rtl w:val="0"/>
      </w:rPr>
      <w:t xml:space="preserve">2016 The Information Architecture Institute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</w:pPr>
    <w:r w:rsidDel="00000000" w:rsidR="00000000" w:rsidRPr="00000000">
      <w:drawing>
        <wp:inline distB="0" distT="0" distL="0" distR="0">
          <wp:extent cx="1384494" cy="1013662"/>
          <wp:effectExtent b="0" l="0" r="0" t="0"/>
          <wp:docPr id="1" name="image02.png"/>
          <a:graphic>
            <a:graphicData uri="http://schemas.openxmlformats.org/drawingml/2006/picture">
              <pic:pic>
                <pic:nvPicPr>
                  <pic:cNvPr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84494" cy="10136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0"/>
      <w:numFmt w:val="bullet"/>
      <w:lvlText w:val="•"/>
      <w:lvlJc w:val="left"/>
      <w:pPr>
        <w:ind w:left="360" w:firstLine="0"/>
      </w:pPr>
      <w:rPr>
        <w:rFonts w:ascii="Arial" w:cs="Arial" w:eastAsia="Arial" w:hAnsi="Arial"/>
        <w:color w:val="7f7f7f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300" w:firstLine="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020" w:firstLine="72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1740" w:firstLine="144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2460" w:firstLine="216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180" w:firstLine="288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3900" w:firstLine="360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4620" w:firstLine="432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5340" w:firstLine="5040"/>
      </w:pPr>
      <w:rPr>
        <w:rFonts w:ascii="Arial" w:cs="Arial" w:eastAsia="Arial" w:hAnsi="Arial"/>
        <w:color w:val="7f7f7f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0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