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A" w:rsidRDefault="00297ADC" w:rsidP="005B0CB9">
      <w:pPr>
        <w:pStyle w:val="1"/>
        <w:ind w:firstLineChars="298" w:firstLine="1316"/>
      </w:pPr>
      <w:r w:rsidRPr="00297ADC">
        <w:rPr>
          <w:rFonts w:hint="eastAsia"/>
        </w:rPr>
        <w:t>售电业务管理平台</w:t>
      </w:r>
      <w:r w:rsidR="005667E8">
        <w:rPr>
          <w:rFonts w:hint="eastAsia"/>
        </w:rPr>
        <w:t>的架构设计</w:t>
      </w:r>
    </w:p>
    <w:p w:rsidR="005B0CB9" w:rsidRDefault="005B0CB9" w:rsidP="005B0CB9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技术需求</w:t>
      </w:r>
    </w:p>
    <w:p w:rsidR="005B0CB9" w:rsidRDefault="005B0CB9" w:rsidP="005B0CB9">
      <w:pPr>
        <w:ind w:left="420"/>
      </w:pPr>
      <w:r>
        <w:rPr>
          <w:rFonts w:hint="eastAsia"/>
        </w:rPr>
        <w:t>1&gt;</w:t>
      </w:r>
      <w:r>
        <w:rPr>
          <w:rFonts w:hint="eastAsia"/>
        </w:rPr>
        <w:t>、遵循统一命名规范、编码规范、用户界面规范、接口以及程序设计规范；</w:t>
      </w:r>
    </w:p>
    <w:p w:rsidR="005B0CB9" w:rsidRDefault="005B0CB9" w:rsidP="005B0CB9">
      <w:pPr>
        <w:ind w:left="420"/>
      </w:pPr>
      <w:r>
        <w:rPr>
          <w:rFonts w:hint="eastAsia"/>
        </w:rPr>
        <w:t>2&gt;</w:t>
      </w:r>
      <w:r>
        <w:rPr>
          <w:rFonts w:hint="eastAsia"/>
        </w:rPr>
        <w:t>、系统整体结构采用</w:t>
      </w:r>
      <w:r>
        <w:rPr>
          <w:rFonts w:hint="eastAsia"/>
        </w:rPr>
        <w:t>B/S</w:t>
      </w:r>
      <w:r>
        <w:rPr>
          <w:rFonts w:hint="eastAsia"/>
        </w:rPr>
        <w:t>架构模式；</w:t>
      </w:r>
    </w:p>
    <w:p w:rsidR="005B0CB9" w:rsidRDefault="005B0CB9" w:rsidP="005B0CB9">
      <w:pPr>
        <w:ind w:left="420"/>
      </w:pPr>
      <w:r>
        <w:rPr>
          <w:rFonts w:hint="eastAsia"/>
        </w:rPr>
        <w:t>3&gt;</w:t>
      </w:r>
      <w:r>
        <w:rPr>
          <w:rFonts w:hint="eastAsia"/>
        </w:rPr>
        <w:t>、系统遵循行业规范，采用</w:t>
      </w:r>
      <w:proofErr w:type="spellStart"/>
      <w:r w:rsidR="00D14673">
        <w:rPr>
          <w:rFonts w:hint="eastAsia"/>
        </w:rPr>
        <w:t>Spring+</w:t>
      </w:r>
      <w:r>
        <w:rPr>
          <w:rFonts w:hint="eastAsia"/>
        </w:rPr>
        <w:t>SpringMVC+Hibernate+Shiro</w:t>
      </w:r>
      <w:proofErr w:type="spellEnd"/>
      <w:r>
        <w:rPr>
          <w:rFonts w:hint="eastAsia"/>
        </w:rPr>
        <w:t>框架；</w:t>
      </w:r>
    </w:p>
    <w:p w:rsidR="005B0CB9" w:rsidRDefault="005B0CB9" w:rsidP="005B0CB9">
      <w:pPr>
        <w:ind w:left="420"/>
      </w:pPr>
      <w:r>
        <w:rPr>
          <w:rFonts w:hint="eastAsia"/>
        </w:rPr>
        <w:t>4&gt;</w:t>
      </w:r>
      <w:r>
        <w:rPr>
          <w:rFonts w:hint="eastAsia"/>
        </w:rPr>
        <w:t>、数据库采用</w:t>
      </w:r>
      <w:proofErr w:type="spellStart"/>
      <w:r>
        <w:rPr>
          <w:rFonts w:hint="eastAsia"/>
        </w:rPr>
        <w:t>MySql</w:t>
      </w:r>
      <w:proofErr w:type="spellEnd"/>
      <w:r w:rsidR="0036781D">
        <w:rPr>
          <w:rFonts w:hint="eastAsia"/>
        </w:rPr>
        <w:t>，简洁灵活且开源</w:t>
      </w:r>
      <w:r>
        <w:rPr>
          <w:rFonts w:hint="eastAsia"/>
        </w:rPr>
        <w:t>；</w:t>
      </w:r>
    </w:p>
    <w:p w:rsidR="0036781D" w:rsidRDefault="0036781D" w:rsidP="00EA046E">
      <w:pPr>
        <w:tabs>
          <w:tab w:val="left" w:pos="6270"/>
        </w:tabs>
        <w:ind w:left="420"/>
      </w:pPr>
      <w:r>
        <w:rPr>
          <w:rFonts w:hint="eastAsia"/>
        </w:rPr>
        <w:t>5&gt;</w:t>
      </w:r>
      <w:r>
        <w:rPr>
          <w:rFonts w:hint="eastAsia"/>
        </w:rPr>
        <w:t>、开发语言</w:t>
      </w:r>
      <w:r>
        <w:rPr>
          <w:rFonts w:hint="eastAsia"/>
        </w:rPr>
        <w:t>JAVA</w:t>
      </w:r>
      <w:r w:rsidR="00370D43">
        <w:rPr>
          <w:rFonts w:hint="eastAsia"/>
        </w:rPr>
        <w:t>8</w:t>
      </w:r>
      <w:r>
        <w:rPr>
          <w:rFonts w:hint="eastAsia"/>
        </w:rPr>
        <w:t>、</w:t>
      </w:r>
      <w:r w:rsidRPr="0036781D"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 w:rsidRPr="0036781D"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 w:rsidRPr="0036781D">
        <w:rPr>
          <w:rFonts w:hint="eastAsia"/>
        </w:rPr>
        <w:t>ootstrap</w:t>
      </w:r>
      <w:r>
        <w:rPr>
          <w:rFonts w:hint="eastAsia"/>
        </w:rPr>
        <w:t>等；</w:t>
      </w:r>
      <w:r w:rsidR="00EA046E">
        <w:tab/>
      </w:r>
    </w:p>
    <w:p w:rsidR="000E6D22" w:rsidRDefault="000E6D22" w:rsidP="000E6D2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框架简介</w:t>
      </w:r>
    </w:p>
    <w:p w:rsidR="000E6D22" w:rsidRDefault="000E6D22" w:rsidP="000E6D2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ringMVC</w:t>
      </w:r>
      <w:proofErr w:type="spellEnd"/>
      <w:r w:rsidR="00D14673">
        <w:rPr>
          <w:rFonts w:hint="eastAsia"/>
        </w:rPr>
        <w:t>基本原理</w:t>
      </w:r>
      <w:r>
        <w:rPr>
          <w:rFonts w:hint="eastAsia"/>
        </w:rPr>
        <w:t>：</w:t>
      </w:r>
    </w:p>
    <w:p w:rsidR="00D14673" w:rsidRDefault="00D14673" w:rsidP="00D14673">
      <w:pPr>
        <w:pStyle w:val="a4"/>
        <w:ind w:left="1020" w:firstLineChars="0" w:firstLine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通常由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HandlAdatper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等四大组件组成</w:t>
      </w:r>
      <w:r w:rsidR="003A4F6B">
        <w:rPr>
          <w:rFonts w:hint="eastAsia"/>
        </w:rPr>
        <w:t>；</w:t>
      </w:r>
    </w:p>
    <w:p w:rsidR="003A4F6B" w:rsidRDefault="003A4F6B" w:rsidP="00D14673">
      <w:pPr>
        <w:pStyle w:val="a4"/>
        <w:ind w:left="1020" w:firstLineChars="0" w:firstLine="0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：前端控制器，整个流程控制的中心，控制其他组件执行、统一</w:t>
      </w:r>
    </w:p>
    <w:p w:rsidR="003A4F6B" w:rsidRDefault="003A4F6B" w:rsidP="003A4F6B">
      <w:pPr>
        <w:pStyle w:val="a4"/>
        <w:ind w:left="1020" w:firstLineChars="0"/>
      </w:pPr>
      <w:r>
        <w:rPr>
          <w:rFonts w:hint="eastAsia"/>
        </w:rPr>
        <w:t>调度，降低组件之间的耦合性；</w:t>
      </w:r>
    </w:p>
    <w:p w:rsidR="003A4F6B" w:rsidRDefault="003A4F6B" w:rsidP="003A4F6B">
      <w:pPr>
        <w:ind w:leftChars="500" w:left="1470" w:hangingChars="200" w:hanging="420"/>
      </w:pP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：通过扩展处理器映射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不同的映射方式，例如配置文件、实现接口方式、注解方式等；</w:t>
      </w:r>
    </w:p>
    <w:p w:rsidR="00E04904" w:rsidRDefault="00E04904" w:rsidP="003A4F6B">
      <w:pPr>
        <w:ind w:leftChars="500" w:left="1470" w:hangingChars="200" w:hanging="420"/>
      </w:pPr>
      <w:proofErr w:type="spellStart"/>
      <w:r>
        <w:rPr>
          <w:rFonts w:hint="eastAsia"/>
        </w:rPr>
        <w:t>HandlAdatper</w:t>
      </w:r>
      <w:proofErr w:type="spellEnd"/>
      <w:r>
        <w:rPr>
          <w:rFonts w:hint="eastAsia"/>
        </w:rPr>
        <w:t>：扩展处理器适配器，通过它可以适配多种类型的处理器；</w:t>
      </w:r>
    </w:p>
    <w:p w:rsidR="00E04904" w:rsidRDefault="00E04904" w:rsidP="003A4F6B">
      <w:pPr>
        <w:ind w:leftChars="500" w:left="1470" w:hangingChars="200" w:hanging="420"/>
      </w:pP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：视图解析器，通过扩展它可以实现更多类型的视图解析，例如：</w:t>
      </w:r>
      <w:r>
        <w:rPr>
          <w:rFonts w:hint="eastAsia"/>
        </w:rPr>
        <w:t>JSP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等；</w:t>
      </w:r>
    </w:p>
    <w:p w:rsidR="007415F2" w:rsidRPr="003A4F6B" w:rsidRDefault="007415F2" w:rsidP="003A4F6B">
      <w:pPr>
        <w:ind w:leftChars="500" w:left="1470" w:hangingChars="200" w:hanging="420"/>
      </w:pPr>
      <w:r>
        <w:rPr>
          <w:rFonts w:hint="eastAsia"/>
        </w:rPr>
        <w:t>其基本原理如下图所示：</w:t>
      </w:r>
    </w:p>
    <w:p w:rsidR="00D14673" w:rsidRDefault="000E6D22" w:rsidP="00D14673">
      <w:pPr>
        <w:pStyle w:val="a4"/>
        <w:ind w:left="1020" w:firstLineChars="0" w:firstLine="0"/>
      </w:pPr>
      <w:r>
        <w:rPr>
          <w:rFonts w:hint="eastAsia"/>
          <w:noProof/>
        </w:rPr>
        <w:drawing>
          <wp:inline distT="0" distB="0" distL="0" distR="0" wp14:anchorId="5B2A3062" wp14:editId="7C8F020E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MV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51" w:rsidRDefault="00266063" w:rsidP="002660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Hibernate</w:t>
      </w:r>
      <w:r w:rsidR="002A6A51">
        <w:rPr>
          <w:rFonts w:hint="eastAsia"/>
        </w:rPr>
        <w:t>基本原理</w:t>
      </w:r>
      <w:r>
        <w:rPr>
          <w:rFonts w:hint="eastAsia"/>
        </w:rPr>
        <w:t>：</w:t>
      </w:r>
    </w:p>
    <w:p w:rsidR="00266063" w:rsidRDefault="002A6A51" w:rsidP="002A6A51">
      <w:pPr>
        <w:pStyle w:val="a4"/>
        <w:ind w:left="1020" w:firstLineChars="0" w:firstLine="0"/>
      </w:pPr>
      <w:r>
        <w:rPr>
          <w:rFonts w:hint="eastAsia"/>
        </w:rPr>
        <w:t>Hibernate</w:t>
      </w:r>
      <w:r>
        <w:rPr>
          <w:rFonts w:hint="eastAsia"/>
        </w:rPr>
        <w:t>是一个面向</w:t>
      </w:r>
      <w:r>
        <w:rPr>
          <w:rFonts w:hint="eastAsia"/>
        </w:rPr>
        <w:t>JAVA</w:t>
      </w:r>
      <w:r>
        <w:rPr>
          <w:rFonts w:hint="eastAsia"/>
        </w:rPr>
        <w:t>环境的对象</w:t>
      </w:r>
      <w:r>
        <w:rPr>
          <w:rFonts w:hint="eastAsia"/>
        </w:rPr>
        <w:t>/</w:t>
      </w:r>
      <w:r>
        <w:rPr>
          <w:rFonts w:hint="eastAsia"/>
        </w:rPr>
        <w:t>关系数据库映射工具，用来把对象模型表示的对象映射到基于</w:t>
      </w:r>
      <w:r>
        <w:rPr>
          <w:rFonts w:hint="eastAsia"/>
        </w:rPr>
        <w:t>SQL</w:t>
      </w:r>
      <w:r>
        <w:rPr>
          <w:rFonts w:hint="eastAsia"/>
        </w:rPr>
        <w:t>的关系模型数据结构中去，</w:t>
      </w:r>
      <w:r>
        <w:rPr>
          <w:rFonts w:hint="eastAsia"/>
        </w:rPr>
        <w:t>Hibernate</w:t>
      </w:r>
      <w:r>
        <w:rPr>
          <w:rFonts w:hint="eastAsia"/>
        </w:rPr>
        <w:t>的目标主要是为了释放开发者通常的数据持久</w:t>
      </w:r>
      <w:proofErr w:type="gramStart"/>
      <w:r>
        <w:rPr>
          <w:rFonts w:hint="eastAsia"/>
        </w:rPr>
        <w:t>化相关</w:t>
      </w:r>
      <w:proofErr w:type="gramEnd"/>
      <w:r>
        <w:rPr>
          <w:rFonts w:hint="eastAsia"/>
        </w:rPr>
        <w:t>的编程的繁重任务。</w:t>
      </w:r>
      <w:r w:rsidR="00C73962">
        <w:rPr>
          <w:rFonts w:hint="eastAsia"/>
        </w:rPr>
        <w:t>Hibernate</w:t>
      </w:r>
      <w:r w:rsidR="00C73962">
        <w:rPr>
          <w:rFonts w:hint="eastAsia"/>
        </w:rPr>
        <w:t>不仅仅管理</w:t>
      </w:r>
      <w:r w:rsidR="00C73962">
        <w:rPr>
          <w:rFonts w:hint="eastAsia"/>
        </w:rPr>
        <w:lastRenderedPageBreak/>
        <w:t>JAVA</w:t>
      </w:r>
      <w:r w:rsidR="00C73962">
        <w:rPr>
          <w:rFonts w:hint="eastAsia"/>
        </w:rPr>
        <w:t>类到数据库表的映射，还提供数据查询和数据获取的方法，可以大幅减少开发人员使用</w:t>
      </w:r>
      <w:r w:rsidR="00C73962">
        <w:rPr>
          <w:rFonts w:hint="eastAsia"/>
        </w:rPr>
        <w:t>SQL</w:t>
      </w:r>
      <w:r w:rsidR="00C73962">
        <w:rPr>
          <w:rFonts w:hint="eastAsia"/>
        </w:rPr>
        <w:t>和</w:t>
      </w:r>
      <w:r w:rsidR="00C73962">
        <w:rPr>
          <w:rFonts w:hint="eastAsia"/>
        </w:rPr>
        <w:t>JDBC</w:t>
      </w:r>
      <w:r w:rsidR="00C73962">
        <w:rPr>
          <w:rFonts w:hint="eastAsia"/>
        </w:rPr>
        <w:t>处理数据的时间。</w:t>
      </w:r>
      <w:r w:rsidR="00705C29">
        <w:rPr>
          <w:rFonts w:hint="eastAsia"/>
        </w:rPr>
        <w:t>相比于市面上其他同类框架，</w:t>
      </w:r>
      <w:r w:rsidR="00705C29">
        <w:rPr>
          <w:rFonts w:hint="eastAsia"/>
        </w:rPr>
        <w:t>Hibernate</w:t>
      </w:r>
      <w:r w:rsidR="00705C29">
        <w:rPr>
          <w:rFonts w:hint="eastAsia"/>
        </w:rPr>
        <w:t>有以下特点：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开源和免费的</w:t>
      </w:r>
      <w:r>
        <w:rPr>
          <w:rFonts w:hint="eastAsia"/>
        </w:rPr>
        <w:t>License</w:t>
      </w:r>
      <w:r>
        <w:rPr>
          <w:rFonts w:hint="eastAsia"/>
        </w:rPr>
        <w:t>，方便研究和修改源码；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轻量级封装，避免引入过多复杂问题；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有可扩展性，</w:t>
      </w:r>
      <w:r>
        <w:rPr>
          <w:rFonts w:hint="eastAsia"/>
        </w:rPr>
        <w:t>API</w:t>
      </w:r>
      <w:r>
        <w:rPr>
          <w:rFonts w:hint="eastAsia"/>
        </w:rPr>
        <w:t>开放，易编码扩展；</w:t>
      </w:r>
    </w:p>
    <w:p w:rsidR="006F3B2E" w:rsidRPr="00705C29" w:rsidRDefault="006F3B2E" w:rsidP="006F3B2E">
      <w:pPr>
        <w:ind w:left="1020"/>
      </w:pPr>
      <w:r>
        <w:rPr>
          <w:rFonts w:hint="eastAsia"/>
        </w:rPr>
        <w:t>其工作流程如下图所示：</w:t>
      </w:r>
    </w:p>
    <w:p w:rsidR="00266063" w:rsidRDefault="00266063" w:rsidP="00266063">
      <w:pPr>
        <w:pStyle w:val="a4"/>
        <w:ind w:left="10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01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56" w:rsidRDefault="004E4556" w:rsidP="004E4556">
      <w:pPr>
        <w:ind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介绍：</w:t>
      </w:r>
    </w:p>
    <w:p w:rsidR="006F4DB8" w:rsidRDefault="005E3B0C" w:rsidP="005E3B0C">
      <w:pPr>
        <w:ind w:leftChars="300" w:left="945" w:hangingChars="150" w:hanging="315"/>
      </w:pPr>
      <w:r>
        <w:rPr>
          <w:rFonts w:hint="eastAsia"/>
        </w:rPr>
        <w:t xml:space="preserve">   </w:t>
      </w: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的一个开源框架，是一个权限管理的框架，实现用户认证和授权。它不依赖</w:t>
      </w:r>
      <w:r>
        <w:rPr>
          <w:rFonts w:hint="eastAsia"/>
        </w:rPr>
        <w:t>spring</w:t>
      </w:r>
      <w:r>
        <w:rPr>
          <w:rFonts w:hint="eastAsia"/>
        </w:rPr>
        <w:t>框架，不仅可以实现</w:t>
      </w:r>
      <w:r>
        <w:rPr>
          <w:rFonts w:hint="eastAsia"/>
        </w:rPr>
        <w:t>web</w:t>
      </w:r>
      <w:r>
        <w:rPr>
          <w:rFonts w:hint="eastAsia"/>
        </w:rPr>
        <w:t>应用的权限管理，还可以实现</w:t>
      </w:r>
      <w:r>
        <w:rPr>
          <w:rFonts w:hint="eastAsia"/>
        </w:rPr>
        <w:t>C/S</w:t>
      </w:r>
      <w:r>
        <w:rPr>
          <w:rFonts w:hint="eastAsia"/>
        </w:rPr>
        <w:t>系统、分布式系统的权限管理，</w:t>
      </w:r>
      <w:proofErr w:type="spellStart"/>
      <w:r>
        <w:rPr>
          <w:rFonts w:hint="eastAsia"/>
        </w:rPr>
        <w:t>shiro</w:t>
      </w:r>
      <w:proofErr w:type="spellEnd"/>
      <w:r w:rsidR="008D5B7A">
        <w:rPr>
          <w:rFonts w:hint="eastAsia"/>
        </w:rPr>
        <w:t>属于轻量级框架。</w:t>
      </w:r>
    </w:p>
    <w:p w:rsidR="005E3B0C" w:rsidRDefault="006F4DB8" w:rsidP="006F4DB8">
      <w:pPr>
        <w:ind w:leftChars="450" w:left="945"/>
      </w:pPr>
      <w:r>
        <w:rPr>
          <w:rFonts w:hint="eastAsia"/>
        </w:rPr>
        <w:t>认证原理如下：</w:t>
      </w:r>
    </w:p>
    <w:p w:rsidR="006F4DB8" w:rsidRDefault="006F4DB8" w:rsidP="006F4DB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通过初试话配置文件创建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；</w:t>
      </w:r>
    </w:p>
    <w:p w:rsidR="006F4DB8" w:rsidRDefault="009C2047" w:rsidP="006F4DB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subject.login</w:t>
      </w:r>
      <w:proofErr w:type="spellEnd"/>
      <w:r>
        <w:rPr>
          <w:rFonts w:hint="eastAsia"/>
        </w:rPr>
        <w:t>提交主体认证提交的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9C2047" w:rsidRDefault="009C2047" w:rsidP="006F4DB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调用</w:t>
      </w:r>
      <w:proofErr w:type="spellStart"/>
      <w:r w:rsidRPr="00501F05">
        <w:t>ModularRealmAuthenticator</w:t>
      </w:r>
      <w:proofErr w:type="spellEnd"/>
      <w:r>
        <w:rPr>
          <w:rFonts w:hint="eastAsia"/>
        </w:rPr>
        <w:t>进行真正的认证；</w:t>
      </w:r>
    </w:p>
    <w:p w:rsidR="00501F05" w:rsidRPr="00E42155" w:rsidRDefault="00501F05" w:rsidP="00E42155">
      <w:pPr>
        <w:pStyle w:val="a4"/>
        <w:numPr>
          <w:ilvl w:val="0"/>
          <w:numId w:val="4"/>
        </w:numPr>
        <w:ind w:firstLineChars="0"/>
        <w:rPr>
          <w:shd w:val="clear" w:color="auto" w:fill="EEEEEE"/>
        </w:rPr>
      </w:pPr>
      <w:proofErr w:type="spellStart"/>
      <w:r w:rsidRPr="00E42155">
        <w:rPr>
          <w:shd w:val="clear" w:color="auto" w:fill="EEEEEE"/>
        </w:rPr>
        <w:t>ModularRealmAuthenticator</w:t>
      </w:r>
      <w:proofErr w:type="spellEnd"/>
      <w:r w:rsidRPr="00E42155">
        <w:rPr>
          <w:shd w:val="clear" w:color="auto" w:fill="EEEEEE"/>
        </w:rPr>
        <w:t>调用</w:t>
      </w:r>
      <w:proofErr w:type="spellStart"/>
      <w:r w:rsidRPr="00E42155">
        <w:rPr>
          <w:shd w:val="clear" w:color="auto" w:fill="EEEEEE"/>
        </w:rPr>
        <w:t>IniRealm</w:t>
      </w:r>
      <w:proofErr w:type="spellEnd"/>
      <w:r w:rsidRPr="00E42155">
        <w:rPr>
          <w:shd w:val="clear" w:color="auto" w:fill="EEEEEE"/>
        </w:rPr>
        <w:t>(</w:t>
      </w:r>
      <w:r w:rsidRPr="00E42155">
        <w:rPr>
          <w:shd w:val="clear" w:color="auto" w:fill="EEEEEE"/>
        </w:rPr>
        <w:t>给</w:t>
      </w:r>
      <w:r w:rsidRPr="00E42155">
        <w:rPr>
          <w:shd w:val="clear" w:color="auto" w:fill="EEEEEE"/>
        </w:rPr>
        <w:t>realm</w:t>
      </w:r>
      <w:r w:rsidRPr="00E42155">
        <w:rPr>
          <w:shd w:val="clear" w:color="auto" w:fill="EEEEEE"/>
        </w:rPr>
        <w:t>传入</w:t>
      </w:r>
      <w:r w:rsidRPr="00E42155">
        <w:rPr>
          <w:shd w:val="clear" w:color="auto" w:fill="EEEEEE"/>
        </w:rPr>
        <w:t xml:space="preserve">token) </w:t>
      </w:r>
      <w:r w:rsidRPr="00E42155">
        <w:rPr>
          <w:shd w:val="clear" w:color="auto" w:fill="EEEEEE"/>
        </w:rPr>
        <w:t>去</w:t>
      </w:r>
      <w:proofErr w:type="spellStart"/>
      <w:r w:rsidRPr="00E42155">
        <w:rPr>
          <w:shd w:val="clear" w:color="auto" w:fill="EEEEEE"/>
        </w:rPr>
        <w:t>ini</w:t>
      </w:r>
      <w:proofErr w:type="spellEnd"/>
      <w:r w:rsidRPr="00E42155">
        <w:rPr>
          <w:shd w:val="clear" w:color="auto" w:fill="EEEEEE"/>
        </w:rPr>
        <w:t>配置文件中查询用户信息</w:t>
      </w:r>
      <w:r w:rsidR="00E42155" w:rsidRPr="00E42155">
        <w:rPr>
          <w:rFonts w:hint="eastAsia"/>
          <w:shd w:val="clear" w:color="auto" w:fill="EEEEEE"/>
        </w:rPr>
        <w:t>；</w:t>
      </w:r>
    </w:p>
    <w:p w:rsidR="00E42155" w:rsidRPr="00BF7DF9" w:rsidRDefault="00E42155" w:rsidP="00BF7DF9">
      <w:pPr>
        <w:pStyle w:val="a4"/>
        <w:numPr>
          <w:ilvl w:val="0"/>
          <w:numId w:val="4"/>
        </w:numPr>
        <w:ind w:firstLineChars="0"/>
        <w:rPr>
          <w:shd w:val="clear" w:color="auto" w:fill="EEEEEE"/>
        </w:rPr>
      </w:pPr>
      <w:proofErr w:type="spellStart"/>
      <w:r w:rsidRPr="00BF7DF9">
        <w:rPr>
          <w:shd w:val="clear" w:color="auto" w:fill="EEEEEE"/>
        </w:rPr>
        <w:t>IniRealm</w:t>
      </w:r>
      <w:proofErr w:type="spellEnd"/>
      <w:r w:rsidRPr="00BF7DF9">
        <w:rPr>
          <w:shd w:val="clear" w:color="auto" w:fill="EEEEEE"/>
        </w:rPr>
        <w:t>根据输入的</w:t>
      </w:r>
      <w:r w:rsidRPr="00BF7DF9">
        <w:rPr>
          <w:shd w:val="clear" w:color="auto" w:fill="EEEEEE"/>
        </w:rPr>
        <w:t>token</w:t>
      </w:r>
      <w:r w:rsidRPr="00BF7DF9">
        <w:rPr>
          <w:shd w:val="clear" w:color="auto" w:fill="EEEEEE"/>
        </w:rPr>
        <w:t>（</w:t>
      </w:r>
      <w:proofErr w:type="spellStart"/>
      <w:r w:rsidRPr="00BF7DF9">
        <w:rPr>
          <w:shd w:val="clear" w:color="auto" w:fill="EEEEEE"/>
        </w:rPr>
        <w:t>UsernamePasswordToken</w:t>
      </w:r>
      <w:proofErr w:type="spellEnd"/>
      <w:r w:rsidRPr="00BF7DF9">
        <w:rPr>
          <w:shd w:val="clear" w:color="auto" w:fill="EEEEEE"/>
        </w:rPr>
        <w:t>，即这里的</w:t>
      </w:r>
      <w:r w:rsidRPr="00BF7DF9">
        <w:rPr>
          <w:shd w:val="clear" w:color="auto" w:fill="EEEEEE"/>
        </w:rPr>
        <w:t>token</w:t>
      </w:r>
      <w:r w:rsidRPr="00BF7DF9">
        <w:rPr>
          <w:shd w:val="clear" w:color="auto" w:fill="EEEEEE"/>
        </w:rPr>
        <w:t>是</w:t>
      </w:r>
      <w:r w:rsidRPr="00BF7DF9">
        <w:rPr>
          <w:shd w:val="clear" w:color="auto" w:fill="EEEEEE"/>
        </w:rPr>
        <w:lastRenderedPageBreak/>
        <w:t>用户从页面输入的信息）从</w:t>
      </w:r>
      <w:r w:rsidRPr="00BF7DF9">
        <w:rPr>
          <w:shd w:val="clear" w:color="auto" w:fill="EEEEEE"/>
        </w:rPr>
        <w:t xml:space="preserve"> shiro-first.ini</w:t>
      </w:r>
      <w:r w:rsidRPr="00BF7DF9">
        <w:rPr>
          <w:shd w:val="clear" w:color="auto" w:fill="EEEEEE"/>
        </w:rPr>
        <w:t>查询用户信息（这里是测试阶段，后面都是查询的数据库，注入</w:t>
      </w:r>
      <w:r w:rsidRPr="00BF7DF9">
        <w:rPr>
          <w:shd w:val="clear" w:color="auto" w:fill="EEEEEE"/>
        </w:rPr>
        <w:t>service</w:t>
      </w:r>
      <w:r w:rsidRPr="00BF7DF9">
        <w:rPr>
          <w:shd w:val="clear" w:color="auto" w:fill="EEEEEE"/>
        </w:rPr>
        <w:t>，调用</w:t>
      </w:r>
      <w:proofErr w:type="spellStart"/>
      <w:r w:rsidRPr="00BF7DF9">
        <w:rPr>
          <w:shd w:val="clear" w:color="auto" w:fill="EEEEEE"/>
        </w:rPr>
        <w:t>dao</w:t>
      </w:r>
      <w:proofErr w:type="spellEnd"/>
      <w:r w:rsidRPr="00BF7DF9">
        <w:rPr>
          <w:shd w:val="clear" w:color="auto" w:fill="EEEEEE"/>
        </w:rPr>
        <w:t>），根据账号查询用户信息（账号和密码）</w:t>
      </w:r>
      <w:r w:rsidRPr="00BF7DF9">
        <w:rPr>
          <w:rFonts w:hint="eastAsia"/>
          <w:shd w:val="clear" w:color="auto" w:fill="EEEEEE"/>
        </w:rPr>
        <w:t>；</w:t>
      </w:r>
    </w:p>
    <w:p w:rsidR="00BF7DF9" w:rsidRPr="00551E62" w:rsidRDefault="00551E62" w:rsidP="00551E62">
      <w:pPr>
        <w:ind w:firstLine="1365"/>
        <w:rPr>
          <w:color w:val="FF0000"/>
          <w:shd w:val="clear" w:color="auto" w:fill="EEEEEE"/>
        </w:rPr>
      </w:pPr>
      <w:r w:rsidRPr="00551E62">
        <w:rPr>
          <w:rFonts w:hint="eastAsia"/>
          <w:shd w:val="clear" w:color="auto" w:fill="EEEEEE"/>
        </w:rPr>
        <w:t>6</w:t>
      </w:r>
      <w:r w:rsidRPr="00551E62">
        <w:rPr>
          <w:rFonts w:hint="eastAsia"/>
          <w:shd w:val="clear" w:color="auto" w:fill="EEEEEE"/>
        </w:rPr>
        <w:t>、</w:t>
      </w:r>
      <w:proofErr w:type="spellStart"/>
      <w:r w:rsidR="00BF7DF9" w:rsidRPr="00551E62">
        <w:rPr>
          <w:shd w:val="clear" w:color="auto" w:fill="EEEEEE"/>
        </w:rPr>
        <w:t>ModularRealmAuthenticator</w:t>
      </w:r>
      <w:proofErr w:type="spellEnd"/>
      <w:r w:rsidR="00BF7DF9" w:rsidRPr="00551E62">
        <w:rPr>
          <w:shd w:val="clear" w:color="auto" w:fill="EEEEEE"/>
        </w:rPr>
        <w:t>接收</w:t>
      </w:r>
      <w:proofErr w:type="spellStart"/>
      <w:r w:rsidR="00BF7DF9" w:rsidRPr="00551E62">
        <w:rPr>
          <w:shd w:val="clear" w:color="auto" w:fill="EEEEEE"/>
        </w:rPr>
        <w:t>IniRealm</w:t>
      </w:r>
      <w:proofErr w:type="spellEnd"/>
      <w:r w:rsidR="00BF7DF9" w:rsidRPr="00551E62">
        <w:rPr>
          <w:shd w:val="clear" w:color="auto" w:fill="EEEEEE"/>
        </w:rPr>
        <w:t>返回</w:t>
      </w:r>
      <w:r w:rsidR="00BF7DF9" w:rsidRPr="00551E62">
        <w:rPr>
          <w:color w:val="FF0000"/>
          <w:shd w:val="clear" w:color="auto" w:fill="EEEEEE"/>
        </w:rPr>
        <w:t>Authentication</w:t>
      </w:r>
      <w:r w:rsidR="00BF7DF9" w:rsidRPr="00551E62">
        <w:rPr>
          <w:color w:val="FF0000"/>
          <w:shd w:val="clear" w:color="auto" w:fill="EEEEEE"/>
        </w:rPr>
        <w:t>认证信息</w:t>
      </w:r>
      <w:r w:rsidR="00C84E6E" w:rsidRPr="00551E62">
        <w:rPr>
          <w:rFonts w:hint="eastAsia"/>
          <w:color w:val="FF0000"/>
          <w:shd w:val="clear" w:color="auto" w:fill="EEEEEE"/>
        </w:rPr>
        <w:t>；</w:t>
      </w:r>
    </w:p>
    <w:p w:rsidR="00551E62" w:rsidRDefault="00551E62" w:rsidP="00DC07A0">
      <w:pPr>
        <w:ind w:left="735" w:hangingChars="350" w:hanging="735"/>
      </w:pPr>
      <w:r>
        <w:rPr>
          <w:rFonts w:hint="eastAsia"/>
        </w:rPr>
        <w:t xml:space="preserve">        </w:t>
      </w:r>
      <w:r>
        <w:rPr>
          <w:rFonts w:hint="eastAsia"/>
        </w:rPr>
        <w:t>其原理图如下：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86687">
        <w:rPr>
          <w:rFonts w:hint="eastAsia"/>
          <w:noProof/>
        </w:rPr>
        <w:drawing>
          <wp:inline distT="0" distB="0" distL="0" distR="0">
            <wp:extent cx="50577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B8" w:rsidRDefault="006F4DB8" w:rsidP="005E3B0C">
      <w:pPr>
        <w:ind w:leftChars="300" w:left="945" w:hangingChars="150" w:hanging="315"/>
      </w:pPr>
      <w:r>
        <w:rPr>
          <w:rFonts w:hint="eastAsia"/>
        </w:rPr>
        <w:t xml:space="preserve">    </w:t>
      </w:r>
    </w:p>
    <w:p w:rsidR="004E4556" w:rsidRDefault="00F11D57" w:rsidP="005C1D70">
      <w:pPr>
        <w:pStyle w:val="1"/>
        <w:numPr>
          <w:ilvl w:val="0"/>
          <w:numId w:val="1"/>
        </w:numPr>
      </w:pPr>
      <w:r>
        <w:rPr>
          <w:rFonts w:hint="eastAsia"/>
        </w:rPr>
        <w:t>系统结构化分析建模</w:t>
      </w:r>
    </w:p>
    <w:p w:rsidR="005C1D70" w:rsidRDefault="00485E3F" w:rsidP="005C1D70">
      <w:pPr>
        <w:pStyle w:val="a4"/>
        <w:ind w:left="660" w:firstLineChars="0" w:firstLine="0"/>
      </w:pPr>
      <w:r>
        <w:rPr>
          <w:rFonts w:hint="eastAsia"/>
        </w:rPr>
        <w:t>依据需求分析对系统的功能模块进行详细的分析，本系统的各个模块即功能如下表所示：</w:t>
      </w:r>
    </w:p>
    <w:tbl>
      <w:tblPr>
        <w:tblStyle w:val="a6"/>
        <w:tblW w:w="0" w:type="auto"/>
        <w:tblInd w:w="660" w:type="dxa"/>
        <w:tblLook w:val="04A0" w:firstRow="1" w:lastRow="0" w:firstColumn="1" w:lastColumn="0" w:noHBand="0" w:noVBand="1"/>
      </w:tblPr>
      <w:tblGrid>
        <w:gridCol w:w="2620"/>
        <w:gridCol w:w="2621"/>
        <w:gridCol w:w="2621"/>
      </w:tblGrid>
      <w:tr w:rsidR="00970F1F" w:rsidTr="00DA6B6E">
        <w:tc>
          <w:tcPr>
            <w:tcW w:w="2620" w:type="dxa"/>
            <w:vMerge w:val="restart"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业务功能模块</w:t>
            </w: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电量模块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月结算电量管理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电量月度清算管理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月度电量偏差管理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年度电量偏差管理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电源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电力用户管理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合约模块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售电合约管理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购电合约管理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电量调整管理</w:t>
            </w:r>
          </w:p>
        </w:tc>
      </w:tr>
      <w:tr w:rsidR="00970F1F" w:rsidTr="00DA6B6E">
        <w:tc>
          <w:tcPr>
            <w:tcW w:w="2620" w:type="dxa"/>
            <w:vMerge w:val="restart"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系统管理模块</w:t>
            </w:r>
          </w:p>
        </w:tc>
        <w:tc>
          <w:tcPr>
            <w:tcW w:w="2621" w:type="dxa"/>
            <w:vMerge w:val="restart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电压等级管理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电价系数管理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修改密码</w:t>
            </w:r>
          </w:p>
        </w:tc>
      </w:tr>
    </w:tbl>
    <w:p w:rsidR="00D0351F" w:rsidRDefault="00784118" w:rsidP="005C1D70">
      <w:pPr>
        <w:pStyle w:val="a4"/>
        <w:ind w:left="660" w:firstLineChars="0" w:firstLine="0"/>
        <w:rPr>
          <w:rFonts w:hint="eastAsia"/>
        </w:rPr>
      </w:pPr>
      <w:r>
        <w:rPr>
          <w:rFonts w:hint="eastAsia"/>
        </w:rPr>
        <w:lastRenderedPageBreak/>
        <w:t>整个系统的流程如下图所示：</w:t>
      </w:r>
      <w:bookmarkStart w:id="0" w:name="_GoBack"/>
      <w:bookmarkEnd w:id="0"/>
    </w:p>
    <w:p w:rsidR="00784118" w:rsidRPr="00784118" w:rsidRDefault="00784118" w:rsidP="005C1D70">
      <w:pPr>
        <w:pStyle w:val="a4"/>
        <w:ind w:left="660" w:firstLineChars="0" w:firstLine="0"/>
      </w:pPr>
      <w:r>
        <w:rPr>
          <w:noProof/>
        </w:rPr>
        <w:drawing>
          <wp:inline distT="0" distB="0" distL="0" distR="0">
            <wp:extent cx="3829050" cy="825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118" w:rsidRPr="0078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15644"/>
    <w:multiLevelType w:val="hybridMultilevel"/>
    <w:tmpl w:val="F9549E64"/>
    <w:lvl w:ilvl="0" w:tplc="A04E7444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55AB4EC4"/>
    <w:multiLevelType w:val="hybridMultilevel"/>
    <w:tmpl w:val="8752C456"/>
    <w:lvl w:ilvl="0" w:tplc="8A707588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">
    <w:nsid w:val="5FA04EC2"/>
    <w:multiLevelType w:val="hybridMultilevel"/>
    <w:tmpl w:val="46C8DB8C"/>
    <w:lvl w:ilvl="0" w:tplc="1E0C1E4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9632D"/>
    <w:multiLevelType w:val="hybridMultilevel"/>
    <w:tmpl w:val="66D0B522"/>
    <w:lvl w:ilvl="0" w:tplc="1838613A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38"/>
    <w:rsid w:val="00027239"/>
    <w:rsid w:val="000E6D22"/>
    <w:rsid w:val="00266063"/>
    <w:rsid w:val="00297ADC"/>
    <w:rsid w:val="002A6A51"/>
    <w:rsid w:val="0036781D"/>
    <w:rsid w:val="00370D43"/>
    <w:rsid w:val="003A4F6B"/>
    <w:rsid w:val="003B71C7"/>
    <w:rsid w:val="003C1FEF"/>
    <w:rsid w:val="00453B69"/>
    <w:rsid w:val="00485E3F"/>
    <w:rsid w:val="00486687"/>
    <w:rsid w:val="004E4556"/>
    <w:rsid w:val="004E4F6C"/>
    <w:rsid w:val="004F3061"/>
    <w:rsid w:val="00501F05"/>
    <w:rsid w:val="0050426C"/>
    <w:rsid w:val="00551E62"/>
    <w:rsid w:val="005667E8"/>
    <w:rsid w:val="005B0CB9"/>
    <w:rsid w:val="005C1D70"/>
    <w:rsid w:val="005E3B0C"/>
    <w:rsid w:val="006E73F1"/>
    <w:rsid w:val="006F3B2E"/>
    <w:rsid w:val="006F4DB8"/>
    <w:rsid w:val="00705C29"/>
    <w:rsid w:val="007415F2"/>
    <w:rsid w:val="00784118"/>
    <w:rsid w:val="008D5B7A"/>
    <w:rsid w:val="00923681"/>
    <w:rsid w:val="00970F1F"/>
    <w:rsid w:val="00971B70"/>
    <w:rsid w:val="009B1A34"/>
    <w:rsid w:val="009C2047"/>
    <w:rsid w:val="00BA0536"/>
    <w:rsid w:val="00BF7DF9"/>
    <w:rsid w:val="00C12938"/>
    <w:rsid w:val="00C73962"/>
    <w:rsid w:val="00C84E6E"/>
    <w:rsid w:val="00D0351F"/>
    <w:rsid w:val="00D14673"/>
    <w:rsid w:val="00D440B4"/>
    <w:rsid w:val="00DA6B6E"/>
    <w:rsid w:val="00DC07A0"/>
    <w:rsid w:val="00E04904"/>
    <w:rsid w:val="00E3184F"/>
    <w:rsid w:val="00E42155"/>
    <w:rsid w:val="00EA046E"/>
    <w:rsid w:val="00F11D57"/>
    <w:rsid w:val="00F35F78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7A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CB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6D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6D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6D22"/>
    <w:rPr>
      <w:sz w:val="18"/>
      <w:szCs w:val="18"/>
    </w:rPr>
  </w:style>
  <w:style w:type="table" w:styleId="a6">
    <w:name w:val="Table Grid"/>
    <w:basedOn w:val="a1"/>
    <w:uiPriority w:val="59"/>
    <w:rsid w:val="003B7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7A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CB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6D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6D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6D22"/>
    <w:rPr>
      <w:sz w:val="18"/>
      <w:szCs w:val="18"/>
    </w:rPr>
  </w:style>
  <w:style w:type="table" w:styleId="a6">
    <w:name w:val="Table Grid"/>
    <w:basedOn w:val="a1"/>
    <w:uiPriority w:val="59"/>
    <w:rsid w:val="003B7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92</cp:revision>
  <dcterms:created xsi:type="dcterms:W3CDTF">2018-03-15T01:26:00Z</dcterms:created>
  <dcterms:modified xsi:type="dcterms:W3CDTF">2018-03-16T01:58:00Z</dcterms:modified>
</cp:coreProperties>
</file>