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1501140</wp:posOffset>
            </wp:positionH>
            <wp:positionV relativeFrom="paragraph">
              <wp:posOffset>635</wp:posOffset>
            </wp:positionV>
            <wp:extent cx="2729230" cy="563880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56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Lines w:val="0"/>
        <w:widowControl w:val="0"/>
        <w:numPr>
          <w:ilvl w:val="0"/>
          <w:numId w:val="3"/>
        </w:numPr>
        <w:spacing w:after="60" w:before="240" w:line="240" w:lineRule="auto"/>
        <w:ind w:left="720" w:right="0" w:hanging="36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Version………………..…....……………………………….………………….2</w:t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numPr>
          <w:ilvl w:val="0"/>
          <w:numId w:val="3"/>
        </w:numPr>
        <w:spacing w:after="60" w:before="240" w:line="240" w:lineRule="auto"/>
        <w:ind w:left="720" w:right="0" w:hanging="36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Worldline………………..………………………………………………….…6</w:t>
      </w:r>
    </w:p>
    <w:p w:rsidR="00000000" w:rsidDel="00000000" w:rsidP="00000000" w:rsidRDefault="00000000" w:rsidRPr="00000000" w14:paraId="00000009">
      <w:pPr>
        <w:pStyle w:val="Heading3"/>
        <w:keepLines w:val="0"/>
        <w:widowControl w:val="0"/>
        <w:numPr>
          <w:ilvl w:val="0"/>
          <w:numId w:val="3"/>
        </w:numPr>
        <w:spacing w:after="60" w:before="240" w:line="240" w:lineRule="auto"/>
        <w:ind w:left="720" w:right="0" w:hanging="36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……….....………………..………………………………………………………7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6.999999999999986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Tomcat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spacing w:line="240" w:lineRule="auto"/>
        <w:ind w:left="2160" w:right="0" w:firstLine="720"/>
        <w:jc w:val="left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 Basic Setup Configuration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In server.xml of tomcat server, set value :</w:t>
      </w:r>
    </w:p>
    <w:p w:rsidR="00000000" w:rsidDel="00000000" w:rsidP="00000000" w:rsidRDefault="00000000" w:rsidRPr="00000000" w14:paraId="00000032">
      <w:pPr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relaxedPathChars='[]|'  relaxedQueryChars='[]|{}^&amp;#x5c;&amp;#x60;&amp;quot;&amp;lt;&amp;gt;'</w:t>
      </w:r>
    </w:p>
    <w:p w:rsidR="00000000" w:rsidDel="00000000" w:rsidP="00000000" w:rsidRDefault="00000000" w:rsidRPr="00000000" w14:paraId="00000033">
      <w:pPr>
        <w:ind w:left="720" w:right="0" w:firstLine="0"/>
        <w:rPr/>
      </w:pPr>
      <w:r w:rsidDel="00000000" w:rsidR="00000000" w:rsidRPr="00000000">
        <w:rPr>
          <w:rtl w:val="0"/>
        </w:rPr>
        <w:t xml:space="preserve">in the connector tag.</w:t>
      </w:r>
    </w:p>
    <w:p w:rsidR="00000000" w:rsidDel="00000000" w:rsidP="00000000" w:rsidRDefault="00000000" w:rsidRPr="00000000" w14:paraId="00000034">
      <w:pPr>
        <w:ind w:left="720" w:right="0" w:firstLine="0"/>
        <w:rPr/>
      </w:pPr>
      <w:r w:rsidDel="00000000" w:rsidR="00000000" w:rsidRPr="00000000">
        <w:rPr>
          <w:rtl w:val="0"/>
        </w:rPr>
        <w:t xml:space="preserve">Example :  &lt;Connector connectionTimeout="20000" port="8080" protocol="HTTP/1.1" redirectPort="8443" relaxedPathChars='[]|'</w:t>
      </w:r>
    </w:p>
    <w:p w:rsidR="00000000" w:rsidDel="00000000" w:rsidP="00000000" w:rsidRDefault="00000000" w:rsidRPr="00000000" w14:paraId="00000035">
      <w:pPr>
        <w:ind w:left="720" w:right="0" w:firstLine="0"/>
        <w:rPr/>
      </w:pPr>
      <w:r w:rsidDel="00000000" w:rsidR="00000000" w:rsidRPr="00000000">
        <w:rPr>
          <w:rtl w:val="0"/>
        </w:rPr>
        <w:t xml:space="preserve">    relaxedQueryChars='[]|{}^&amp;#x5c;&amp;#x60;&amp;quot;&amp;lt;&amp;gt;' /&gt;</w:t>
      </w:r>
    </w:p>
    <w:p w:rsidR="00000000" w:rsidDel="00000000" w:rsidP="00000000" w:rsidRDefault="00000000" w:rsidRPr="00000000" w14:paraId="00000036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In application.properties file set the location of the json file where admin page data needs to be stored.</w:t>
      </w:r>
    </w:p>
    <w:p w:rsidR="00000000" w:rsidDel="00000000" w:rsidP="00000000" w:rsidRDefault="00000000" w:rsidRPr="00000000" w14:paraId="00000038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widowControl w:val="0"/>
        <w:spacing w:line="240" w:lineRule="auto"/>
        <w:ind w:left="2160" w:right="0" w:firstLine="720"/>
        <w:jc w:val="left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      Configuring Worldline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00" w:before="0"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worldline, Edit it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00" w:before="0" w:line="276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1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8" w:val="single"/>
          <w:insideH w:color="000001" w:space="0" w:sz="4" w:val="single"/>
          <w:insideV w:color="000001" w:space="0" w:sz="8" w:val="single"/>
        </w:tblBorders>
        <w:tblLayout w:type="fixed"/>
        <w:tblLook w:val="0000"/>
      </w:tblPr>
      <w:tblGrid>
        <w:gridCol w:w="2639"/>
        <w:gridCol w:w="5641"/>
        <w:tblGridChange w:id="0">
          <w:tblGrid>
            <w:gridCol w:w="2639"/>
            <w:gridCol w:w="56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4C">
      <w:pPr>
        <w:spacing w:after="200" w:before="0" w:line="276" w:lineRule="auto"/>
        <w:ind w:left="72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43575" cy="17335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46993" l="0" r="0" t="121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widowControl w:val="0"/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731510" cy="2184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50" w:before="0"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at the bottom of the page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150" w:before="0"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5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bookmarkStart w:colFirst="0" w:colLast="0" w:name="bookmark=id.4d34og8" w:id="0"/>
    <w:bookmarkEnd w:id="0"/>
    <w:p w:rsidR="00000000" w:rsidDel="00000000" w:rsidP="00000000" w:rsidRDefault="00000000" w:rsidRPr="00000000" w14:paraId="00000061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62">
      <w:pPr>
        <w:spacing w:after="15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63">
      <w:pPr>
        <w:spacing w:after="15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1"/>
    <w:bookmarkEnd w:id="1"/>
    <w:p w:rsidR="00000000" w:rsidDel="00000000" w:rsidP="00000000" w:rsidRDefault="00000000" w:rsidRPr="00000000" w14:paraId="00000064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6381750" cy="376999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response from the server and based on the response it will update order status.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72">
      <w:pPr>
        <w:spacing w:after="16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}{mob:9876543210}|08-02-2021%2015:20:19|NA||TEST%20BANK|1111364637998||984ac060-eea8-4c01-a7e4-c3dc9184073b|7366ccdf630d883c56ce6ec517d55d456c1a6f6de6f23acefb82229cf023bd8eabec2472d840030f538939e29f046ea63e4bdff73968d4866fe504ccc3329ec3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3">
        <w:r w:rsidDel="00000000" w:rsidR="00000000" w:rsidRPr="00000000">
          <w:rPr>
            <w:color w:val="000080"/>
            <w:u w:val="single"/>
            <w:rtl w:val="0"/>
          </w:rPr>
          <w:t xml:space="preserve">http://&lt;your-hostname&gt;/payment/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offlineVerification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6143625" cy="26860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Worldline.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7054215" cy="267144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67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85">
      <w:pPr>
        <w:pStyle w:val="Heading2"/>
        <w:spacing w:after="150" w:before="36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72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1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8" w:val="single"/>
          <w:insideH w:color="000001" w:space="0" w:sz="4" w:val="single"/>
          <w:insideV w:color="000001" w:space="0" w:sz="8" w:val="single"/>
        </w:tblBorders>
        <w:tblLayout w:type="fixed"/>
        <w:tblLook w:val="0000"/>
      </w:tblPr>
      <w:tblGrid>
        <w:gridCol w:w="2639"/>
        <w:gridCol w:w="5641"/>
        <w:tblGridChange w:id="0">
          <w:tblGrid>
            <w:gridCol w:w="2639"/>
            <w:gridCol w:w="56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SI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after="20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on the bottom.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150" w:before="0"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 with E-mandate is  now configured &amp; ready to use.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519420" cy="255778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55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4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4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4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“Save” button to get the E-mandate Pop up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4"/>
        </w:numPr>
        <w:spacing w:line="240" w:lineRule="auto"/>
        <w:ind w:left="720" w:right="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076575" cy="352234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150" w:before="36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150" w:before="36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A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376999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38775" cy="419862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9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733415" cy="330708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733415" cy="252666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31510" cy="19939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D5">
      <w:pPr>
        <w:spacing w:after="150" w:before="0" w:line="240" w:lineRule="auto"/>
        <w:rPr/>
      </w:pPr>
      <w:hyperlink r:id="rId2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sz w:val="22"/>
        <w:szCs w:val="22"/>
        <w:vertAlign w:val="baseline"/>
      </w:rPr>
    </w:lvl>
    <w:lvl w:ilvl="1">
      <w:start w:val="1"/>
      <w:numFmt w:val="decimal"/>
      <w:lvlText w:val="%2"/>
      <w:lvlJc w:val="left"/>
      <w:pPr>
        <w:ind w:left="576" w:hanging="576"/>
      </w:pPr>
      <w:rPr>
        <w:sz w:val="22"/>
        <w:szCs w:val="22"/>
        <w:vertAlign w:val="baseli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sz w:val="22"/>
        <w:szCs w:val="22"/>
        <w:vertAlign w:val="baseline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sz w:val="22"/>
        <w:szCs w:val="22"/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sz w:val="22"/>
        <w:szCs w:val="22"/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sz w:val="22"/>
        <w:szCs w:val="22"/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sz w:val="22"/>
        <w:szCs w:val="22"/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sz w:val="22"/>
        <w:szCs w:val="22"/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sz w:val="22"/>
        <w:szCs w:val="22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position w:val="0"/>
      <w:sz w:val="22"/>
      <w:vertAlign w:val="baseline"/>
    </w:rPr>
  </w:style>
  <w:style w:type="character" w:styleId="ListLabel2">
    <w:name w:val="ListLabel 2"/>
    <w:qFormat w:val="1"/>
    <w:rPr>
      <w:b w:val="0"/>
      <w:position w:val="0"/>
      <w:sz w:val="22"/>
      <w:vertAlign w:val="baseli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rFonts w:cs="Calibri" w:eastAsia="Calibri"/>
      <w:b w:val="1"/>
      <w:color w:val="000000"/>
      <w:position w:val="0"/>
      <w:sz w:val="22"/>
      <w:vertAlign w:val="baseli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20" w:before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>
    <w:name w:val="LO-normal"/>
    <w:qFormat w:val="1"/>
    <w:pPr>
      <w:widowControl w:val="1"/>
      <w:numPr>
        <w:ilvl w:val="0"/>
        <w:numId w:val="0"/>
      </w:numPr>
      <w:kinsoku w:val="1"/>
      <w:overflowPunct w:val="1"/>
      <w:autoSpaceDE w:val="1"/>
      <w:bidi w:val="0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en-US"/>
    </w:rPr>
  </w:style>
  <w:style w:type="paragraph" w:styleId="Title">
    <w:name w:val="Title"/>
    <w:basedOn w:val="Normal1"/>
    <w:next w:val="Subtitle"/>
    <w:qFormat w:val="1"/>
    <w:pPr>
      <w:keepNext w:val="1"/>
      <w:keepLines w:val="1"/>
      <w:numPr>
        <w:ilvl w:val="0"/>
        <w:numId w:val="0"/>
      </w:numPr>
      <w:spacing w:after="60" w:before="0" w:line="240" w:lineRule="auto"/>
      <w:jc w:val="left"/>
    </w:pPr>
    <w:rPr>
      <w:b w:val="1"/>
      <w:bCs w:val="1"/>
      <w:sz w:val="52"/>
      <w:szCs w:val="52"/>
    </w:rPr>
  </w:style>
  <w:style w:type="paragraph" w:styleId="Subtitle">
    <w:name w:val="Subtitle"/>
    <w:basedOn w:val="Normal1"/>
    <w:next w:val="TextBody"/>
    <w:qFormat w:val="1"/>
    <w:pPr>
      <w:keepNext w:val="1"/>
      <w:keepLines w:val="1"/>
      <w:numPr>
        <w:ilvl w:val="0"/>
        <w:numId w:val="0"/>
      </w:numPr>
      <w:spacing w:after="320" w:before="0" w:line="240" w:lineRule="auto"/>
      <w:jc w:val="left"/>
    </w:pPr>
    <w:rPr>
      <w:rFonts w:ascii="Arial" w:cs="Arial" w:eastAsia="Arial" w:hAnsi="Arial"/>
      <w:i w:val="0"/>
      <w:iCs w:val="1"/>
      <w:color w:val="666666"/>
      <w:sz w:val="30"/>
      <w:szCs w:val="30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.png"/><Relationship Id="rId25" Type="http://schemas.openxmlformats.org/officeDocument/2006/relationships/hyperlink" Target="http://localhost:3000/payment/offline-verification" TargetMode="External"/><Relationship Id="rId28" Type="http://schemas.openxmlformats.org/officeDocument/2006/relationships/image" Target="media/image12.png"/><Relationship Id="rId27" Type="http://schemas.openxmlformats.org/officeDocument/2006/relationships/hyperlink" Target="http://localhost:3000/payment/offline-verific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tecprocesssolution.com/proto/p2m/client/salt-based-documentation.htm#onlin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hyperlink" Target="http://localhost:3000/payment/reconcile" TargetMode="External"/><Relationship Id="rId13" Type="http://schemas.openxmlformats.org/officeDocument/2006/relationships/hyperlink" Target="http://localhost:3000/payment/offline-verification" TargetMode="External"/><Relationship Id="rId12" Type="http://schemas.openxmlformats.org/officeDocument/2006/relationships/hyperlink" Target="mailto:test@test.com" TargetMode="External"/><Relationship Id="rId15" Type="http://schemas.openxmlformats.org/officeDocument/2006/relationships/hyperlink" Target="http://localhost:3000/payment/refund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71zYsPxdxcJWo67WsKJe8nIMg==">AMUW2mUiDO4GiOelPJit4myaUfBKACdRqKx+zZAqVyUYegqgk0BDswBt6++bKJeTg5rzXfwXP5/aj3lSxhA8uxrvP5PgYpXPuO79oGvIk0DXCCh7wXeLZ0OJTYT+y6Zzj2Tzaz37vwVreiRwlz4Ch/aIAZYQ6IZg1g==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