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35.pdf" ContentType="application/pdf"/>
  <Override PartName="/word/media/rId31.pdf" ContentType="application/pdf"/>
  <Override PartName="/word/media/rId42.pdf" ContentType="application/pdf"/>
  <Override PartName="/word/media/rId27.pdf" ContentType="application/pdf"/>
  <Override PartName="/word/media/rId3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allelic</w:t>
      </w:r>
      <w:r>
        <w:t xml:space="preserve"> </w:t>
      </w:r>
      <w:r>
        <w:t xml:space="preserve">series</w:t>
      </w:r>
      <w:r>
        <w:t xml:space="preserve"> </w:t>
      </w:r>
      <w:r>
        <w:t xml:space="preserve">with</w:t>
      </w:r>
      <w:r>
        <w:t xml:space="preserve"> </w:t>
      </w:r>
      <w:r>
        <w:t xml:space="preserve">transcriptomic</w:t>
      </w:r>
      <w:r>
        <w:t xml:space="preserve"> </w:t>
      </w:r>
      <w:r>
        <w:t xml:space="preserve">phenotypes</w:t>
      </w:r>
    </w:p>
    <w:p>
      <w:pPr>
        <w:pStyle w:val="Author"/>
      </w:pPr>
      <w:r>
        <w:t xml:space="preserve">David</w:t>
      </w:r>
      <w:r>
        <w:t xml:space="preserve"> </w:t>
      </w:r>
      <w:r>
        <w:t xml:space="preserve">Angeles-Albores</w:t>
      </w:r>
    </w:p>
    <w:p>
      <w:pPr>
        <w:pStyle w:val="Author"/>
      </w:pPr>
      <w:r>
        <w:t xml:space="preserve">Paul</w:t>
      </w:r>
      <w:r>
        <w:t xml:space="preserve"> </w:t>
      </w:r>
      <w:r>
        <w:t xml:space="preserve">W.</w:t>
      </w:r>
      <w:r>
        <w:t xml:space="preserve"> </w:t>
      </w:r>
      <w:r>
        <w:t xml:space="preserve">Sternberg</w:t>
      </w:r>
    </w:p>
    <w:p>
      <w:pPr>
        <w:pStyle w:val="Heading1"/>
      </w:pPr>
      <w:bookmarkStart w:id="21" w:name="introduction"/>
      <w:bookmarkEnd w:id="21"/>
      <w:r>
        <w:t xml:space="preserve">Introduction</w:t>
      </w:r>
    </w:p>
    <w:p>
      <w:pPr>
        <w:pStyle w:val="FirstParagraph"/>
      </w:pPr>
      <w:r>
        <w:t xml:space="preserve">Mutations of a gene can yield a series of alleles with different phenotypes that</w:t>
      </w:r>
      <w:r>
        <w:t xml:space="preserve"> </w:t>
      </w:r>
      <w:r>
        <w:t xml:space="preserve">reveal multiple functions encoded by that gene, regardless of the alleles’</w:t>
      </w:r>
      <w:r>
        <w:t xml:space="preserve"> </w:t>
      </w:r>
      <w:r>
        <w:t xml:space="preserve">molecular nature. Homozygous alleles can be ordered by their phenotypic</w:t>
      </w:r>
      <w:r>
        <w:t xml:space="preserve"> </w:t>
      </w:r>
      <w:r>
        <w:t xml:space="preserve">severity; then, phenotypes of</w:t>
      </w:r>
      <w:r>
        <w:t xml:space="preserve"> </w:t>
      </w:r>
      <w:r>
        <w:rPr>
          <w:i/>
        </w:rPr>
        <w:t xml:space="preserve">trans</w:t>
      </w:r>
      <w:r>
        <w:t xml:space="preserve">-heterozygotes carrying two alleles</w:t>
      </w:r>
      <w:r>
        <w:t xml:space="preserve"> </w:t>
      </w:r>
      <w:r>
        <w:t xml:space="preserve">can reveal which alleles are dominant for each phenotype. Together, the severity</w:t>
      </w:r>
      <w:r>
        <w:t xml:space="preserve"> </w:t>
      </w:r>
      <w:r>
        <w:t xml:space="preserve">and dominance hierarchies reveal intragenic functional regions. In</w:t>
      </w:r>
      <w:r>
        <w:t xml:space="preserve"> </w:t>
      </w:r>
      <w:r>
        <w:rPr>
          <w:i/>
        </w:rPr>
        <w:t xml:space="preserve">Caenorhabditis elegans</w:t>
      </w:r>
      <w:r>
        <w:t xml:space="preserve">, these series have helped characterize genes such</w:t>
      </w:r>
      <w:r>
        <w:t xml:space="preserve"> </w:t>
      </w:r>
      <w:r>
        <w:t xml:space="preserve">as</w:t>
      </w:r>
      <w:r>
        <w:t xml:space="preserve"> </w:t>
      </w:r>
      <w:r>
        <w:rPr>
          <w:i/>
        </w:rPr>
        <w:t xml:space="preserve">let-23/EGFR</w:t>
      </w:r>
      <w:r>
        <w:t xml:space="preserve">,</w:t>
      </w:r>
      <w:r>
        <w:t xml:space="preserve"> </w:t>
      </w:r>
      <w:r>
        <w:rPr>
          <w:i/>
        </w:rPr>
        <w:t xml:space="preserve">lin-3/EGF</w:t>
      </w:r>
      <w:r>
        <w:t xml:space="preserve"> </w:t>
      </w:r>
      <w:r>
        <w:t xml:space="preserve">and</w:t>
      </w:r>
      <w:r>
        <w:t xml:space="preserve"> </w:t>
      </w:r>
      <w:r>
        <w:rPr>
          <w:i/>
        </w:rPr>
        <w:t xml:space="preserve">lin-12/NOTCH</w:t>
      </w:r>
      <w:r>
        <w:t xml:space="preserve"> </w:t>
      </w:r>
      <w:r>
        <w:rPr>
          <w:vertAlign w:val="superscript"/>
        </w:rPr>
        <w:t xml:space="preserve">1–3</w:t>
      </w:r>
      <w:r>
        <w:t xml:space="preserve">. Allelic</w:t>
      </w:r>
      <w:r>
        <w:t xml:space="preserve"> </w:t>
      </w:r>
      <w:r>
        <w:t xml:space="preserve">series provide a powerful way to probe genes where biochemical approaches would</w:t>
      </w:r>
      <w:r>
        <w:t xml:space="preserve"> </w:t>
      </w:r>
      <w:r>
        <w:t xml:space="preserve">be difficult, slow or uninformative with regards to the biological phenomenon</w:t>
      </w:r>
      <w:r>
        <w:t xml:space="preserve"> </w:t>
      </w:r>
      <w:r>
        <w:t xml:space="preserve">of interest. The power of these allelic series derives from the ability to draw</w:t>
      </w:r>
      <w:r>
        <w:t xml:space="preserve"> </w:t>
      </w:r>
      <w:r>
        <w:t xml:space="preserve">broad conclusions about the gene of interest in terms of gene dosage and</w:t>
      </w:r>
      <w:r>
        <w:t xml:space="preserve"> </w:t>
      </w:r>
      <w:r>
        <w:t xml:space="preserve">functional units to the extent that these two factors are separable without</w:t>
      </w:r>
      <w:r>
        <w:t xml:space="preserve"> </w:t>
      </w:r>
      <w:r>
        <w:t xml:space="preserve">regard to the molecular identity of the mutations that created these alleles.</w:t>
      </w:r>
      <w:r>
        <w:t xml:space="preserve"> </w:t>
      </w:r>
      <w:r>
        <w:t xml:space="preserve">Here, gene dosage is defined as the combined effects of transcriptional and</w:t>
      </w:r>
      <w:r>
        <w:t xml:space="preserve"> </w:t>
      </w:r>
      <w:r>
        <w:t xml:space="preserve">translational expression, gene product localization, and biochemical kinetics of</w:t>
      </w:r>
      <w:r>
        <w:t xml:space="preserve"> </w:t>
      </w:r>
      <w:r>
        <w:t xml:space="preserve">the final gene product</w:t>
      </w:r>
      <w:r>
        <w:t xml:space="preserve"> </w:t>
      </w:r>
      <w:r>
        <w:rPr>
          <w:i/>
        </w:rPr>
        <w:t xml:space="preserve">in situ</w:t>
      </w:r>
      <w:r>
        <w:t xml:space="preserve">. Thus, allelic series enable geneticists</w:t>
      </w:r>
      <w:r>
        <w:t xml:space="preserve"> </w:t>
      </w:r>
      <w:r>
        <w:t xml:space="preserve">to study alleles with interesting phenotypes, typically found through genetic</w:t>
      </w:r>
      <w:r>
        <w:t xml:space="preserve"> </w:t>
      </w:r>
      <w:r>
        <w:t xml:space="preserve">screens. To study an allelic series, we must first enumerate the phenotypes each</w:t>
      </w:r>
      <w:r>
        <w:t xml:space="preserve"> </w:t>
      </w:r>
      <w:r>
        <w:t xml:space="preserve">allele affects, and subsequently order the alleles into severity and dominance</w:t>
      </w:r>
      <w:r>
        <w:t xml:space="preserve"> </w:t>
      </w:r>
      <w:r>
        <w:t xml:space="preserve">hierarchies per phenotype. The resulting hierarchies enable us to better</w:t>
      </w:r>
      <w:r>
        <w:t xml:space="preserve"> </w:t>
      </w:r>
      <w:r>
        <w:t xml:space="preserve">understand how a given gene, which may be highly pleiotropic, can give rise to</w:t>
      </w:r>
      <w:r>
        <w:t xml:space="preserve"> </w:t>
      </w:r>
      <w:r>
        <w:t xml:space="preserve">highly specific mutant phenotypes when mutated in just the right way.</w:t>
      </w:r>
    </w:p>
    <w:p>
      <w:pPr>
        <w:pStyle w:val="BodyText"/>
      </w:pPr>
      <w:r>
        <w:t xml:space="preserve">Biology has moved from expression measurements of single genes towards</w:t>
      </w:r>
      <w:r>
        <w:t xml:space="preserve"> </w:t>
      </w:r>
      <w:r>
        <w:t xml:space="preserve">genome-wide measurements. Expression profiling via RNA-seq </w:t>
      </w:r>
      <w:r>
        <w:rPr>
          <w:vertAlign w:val="superscript"/>
        </w:rPr>
        <w:t xml:space="preserve">4</w:t>
      </w:r>
      <w:r>
        <w:t xml:space="preserve"> </w:t>
      </w:r>
      <w:r>
        <w:t xml:space="preserve">enables simultaneous measurement of transcript levels for all genes in a genome,</w:t>
      </w:r>
      <w:r>
        <w:t xml:space="preserve"> </w:t>
      </w:r>
      <w:r>
        <w:t xml:space="preserve">yielding a transcriptome. These measurements can be made on whole organisms,</w:t>
      </w:r>
      <w:r>
        <w:t xml:space="preserve"> </w:t>
      </w:r>
      <w:r>
        <w:t xml:space="preserve">isolated tissues, or single cells </w:t>
      </w:r>
      <w:r>
        <w:rPr>
          <w:vertAlign w:val="superscript"/>
        </w:rPr>
        <w:t xml:space="preserve">5,6</w:t>
      </w:r>
      <w:r>
        <w:t xml:space="preserve">. Transcriptomes</w:t>
      </w:r>
      <w:r>
        <w:t xml:space="preserve"> </w:t>
      </w:r>
      <w:r>
        <w:t xml:space="preserve">have been successfully used to identify new cell or organismal</w:t>
      </w:r>
      <w:r>
        <w:t xml:space="preserve"> </w:t>
      </w:r>
      <w:r>
        <w:t xml:space="preserve">states </w:t>
      </w:r>
      <w:r>
        <w:rPr>
          <w:vertAlign w:val="superscript"/>
        </w:rPr>
        <w:t xml:space="preserve">7,8</w:t>
      </w:r>
      <w:r>
        <w:t xml:space="preserve">. For mutant genes, transcriptomic</w:t>
      </w:r>
      <w:r>
        <w:t xml:space="preserve"> </w:t>
      </w:r>
      <w:r>
        <w:t xml:space="preserve">states can be used for epistasis analysis </w:t>
      </w:r>
      <w:r>
        <w:rPr>
          <w:vertAlign w:val="superscript"/>
        </w:rPr>
        <w:t xml:space="preserve">9,10</w:t>
      </w:r>
      <w:r>
        <w:t xml:space="preserve">,</w:t>
      </w:r>
      <w:r>
        <w:t xml:space="preserve"> </w:t>
      </w:r>
      <w:r>
        <w:t xml:space="preserve">but have not been used to characterize allelic series.</w:t>
      </w:r>
    </w:p>
    <w:p>
      <w:pPr>
        <w:pStyle w:val="BodyText"/>
      </w:pPr>
      <w:r>
        <w:t xml:space="preserve">We have devised methods for characterizing allelic series with RNA-seq. To test</w:t>
      </w:r>
      <w:r>
        <w:t xml:space="preserve"> </w:t>
      </w:r>
      <w:r>
        <w:t xml:space="preserve">these methods, we selected three alleles </w:t>
      </w:r>
      <w:r>
        <w:rPr>
          <w:vertAlign w:val="superscript"/>
        </w:rPr>
        <w:t xml:space="preserve">11,12</w:t>
      </w:r>
      <w:r>
        <w:t xml:space="preserve"> </w:t>
      </w:r>
      <w:r>
        <w:t xml:space="preserve">of a</w:t>
      </w:r>
      <w:r>
        <w:t xml:space="preserve"> </w:t>
      </w:r>
      <w:r>
        <w:rPr>
          <w:i/>
        </w:rPr>
        <w:t xml:space="preserve">C. elegans</w:t>
      </w:r>
      <w:r>
        <w:t xml:space="preserve"> </w:t>
      </w:r>
      <w:r>
        <w:t xml:space="preserve">Mediator complex subunit gene,</w:t>
      </w:r>
      <w:r>
        <w:t xml:space="preserve"> </w:t>
      </w:r>
      <w:r>
        <w:rPr>
          <w:i/>
        </w:rPr>
        <w:t xml:space="preserve">dpy-22</w:t>
      </w:r>
      <w:r>
        <w:t xml:space="preserve">. Mediator is a macromolecular complex with</w:t>
      </w:r>
      <w:r>
        <w:t xml:space="preserve"> </w:t>
      </w:r>
      <m:oMath>
        <m:r>
          <m:t>∼</m:t>
        </m:r>
        <m:r>
          <m:t>25</m:t>
        </m:r>
      </m:oMath>
      <w:r>
        <w:t xml:space="preserve"> </w:t>
      </w:r>
      <w:r>
        <w:t xml:space="preserve">subunits </w:t>
      </w:r>
      <w:r>
        <w:rPr>
          <w:vertAlign w:val="superscript"/>
        </w:rPr>
        <w:t xml:space="preserve">13</w:t>
      </w:r>
      <w:r>
        <w:t xml:space="preserve"> </w:t>
      </w:r>
      <w:r>
        <w:t xml:space="preserve">that globally regulates RNA polymerase II</w:t>
      </w:r>
      <w:r>
        <w:t xml:space="preserve"> </w:t>
      </w:r>
      <w:r>
        <w:t xml:space="preserve">(Pol II) </w:t>
      </w:r>
      <w:r>
        <w:rPr>
          <w:vertAlign w:val="superscript"/>
        </w:rPr>
        <w:t xml:space="preserve">14,15</w:t>
      </w:r>
      <w:r>
        <w:t xml:space="preserve">. The Mediator complex has at least four</w:t>
      </w:r>
      <w:r>
        <w:t xml:space="preserve"> </w:t>
      </w:r>
      <w:r>
        <w:t xml:space="preserve">biochemically distinct modules: the Head, Middle and Tail modules and a</w:t>
      </w:r>
      <w:r>
        <w:t xml:space="preserve"> </w:t>
      </w:r>
      <w:r>
        <w:t xml:space="preserve">CDK-8-associated Kinase Module (CKM). The CKM associates reversibly with other</w:t>
      </w:r>
      <w:r>
        <w:t xml:space="preserve"> </w:t>
      </w:r>
      <w:r>
        <w:t xml:space="preserve">modules, and appears to inhibit transcription </w:t>
      </w:r>
      <w:r>
        <w:rPr>
          <w:vertAlign w:val="superscript"/>
        </w:rPr>
        <w:t xml:space="preserve">16,17</w:t>
      </w:r>
      <w:r>
        <w:t xml:space="preserve">. In</w:t>
      </w:r>
      <w:r>
        <w:t xml:space="preserve"> </w:t>
      </w:r>
      <w:r>
        <w:rPr>
          <w:i/>
        </w:rPr>
        <w:t xml:space="preserve">C. elegans</w:t>
      </w:r>
      <w:r>
        <w:t xml:space="preserve"> </w:t>
      </w:r>
      <w:r>
        <w:t xml:space="preserve">development, the CKM promotes both male tail formation </w:t>
      </w:r>
      <w:r>
        <w:rPr>
          <w:vertAlign w:val="superscript"/>
        </w:rPr>
        <w:t xml:space="preserve">11</w:t>
      </w:r>
      <w:r>
        <w:t xml:space="preserve"> </w:t>
      </w:r>
      <w:r>
        <w:t xml:space="preserve">(through interactions with the Wnt pathway), and vulval</w:t>
      </w:r>
      <w:r>
        <w:t xml:space="preserve"> </w:t>
      </w:r>
      <w:r>
        <w:t xml:space="preserve">formation </w:t>
      </w:r>
      <w:r>
        <w:rPr>
          <w:vertAlign w:val="superscript"/>
        </w:rPr>
        <w:t xml:space="preserve">18</w:t>
      </w:r>
      <w:r>
        <w:t xml:space="preserve"> </w:t>
      </w:r>
      <w:r>
        <w:t xml:space="preserve">(through inhibition of the Ras pathway).</w:t>
      </w:r>
      <w:r>
        <w:t xml:space="preserve"> </w:t>
      </w:r>
      <w:r>
        <w:t xml:space="preserve">Homozygotes of allele</w:t>
      </w:r>
      <w:r>
        <w:t xml:space="preserve"> </w:t>
      </w:r>
      <w:r>
        <w:rPr>
          <w:i/>
        </w:rPr>
        <w:t xml:space="preserve">dpy-22(bx93)</w:t>
      </w:r>
      <w:r>
        <w:t xml:space="preserve">, which encodes a premature stop codon</w:t>
      </w:r>
      <w:r>
        <w:t xml:space="preserve"> </w:t>
      </w:r>
      <w:r>
        <w:t xml:space="preserve">Q2549Amber </w:t>
      </w:r>
      <w:r>
        <w:rPr>
          <w:vertAlign w:val="superscript"/>
        </w:rPr>
        <w:t xml:space="preserve">11</w:t>
      </w:r>
      <w:r>
        <w:t xml:space="preserve">, appear grossly wild-type, though this allele does</w:t>
      </w:r>
      <w:r>
        <w:t xml:space="preserve"> </w:t>
      </w:r>
      <w:r>
        <w:t xml:space="preserve">not have complete wild-type functionality. In contrast, animals homozygous for a</w:t>
      </w:r>
      <w:r>
        <w:t xml:space="preserve"> </w:t>
      </w:r>
      <w:r>
        <w:t xml:space="preserve">more severe allele,</w:t>
      </w:r>
      <w:r>
        <w:t xml:space="preserve"> </w:t>
      </w:r>
      <w:r>
        <w:rPr>
          <w:i/>
        </w:rPr>
        <w:t xml:space="preserve">dpy-22(sy622)</w:t>
      </w:r>
      <w:r>
        <w:t xml:space="preserve"> </w:t>
      </w:r>
      <w:r>
        <w:t xml:space="preserve">encoding another premature stop codon,</w:t>
      </w:r>
      <w:r>
        <w:t xml:space="preserve"> </w:t>
      </w:r>
      <w:r>
        <w:t xml:space="preserve">Q1698Amber </w:t>
      </w:r>
      <w:r>
        <w:rPr>
          <w:vertAlign w:val="superscript"/>
        </w:rPr>
        <w:t xml:space="preserve">12</w:t>
      </w:r>
      <w:r>
        <w:t xml:space="preserve">, are dumpy (Dpy), have egg-laying defects (Egl),</w:t>
      </w:r>
      <w:r>
        <w:t xml:space="preserve"> </w:t>
      </w:r>
      <w:r>
        <w:t xml:space="preserve">and have multiple vulvae (Muv) (see Fig. [fig:genemodel]). In spite of its</w:t>
      </w:r>
      <w:r>
        <w:t xml:space="preserve"> </w:t>
      </w:r>
      <w:r>
        <w:t xml:space="preserve">causative role in a number of neurodevelopmental disorders </w:t>
      </w:r>
      <w:r>
        <w:rPr>
          <w:vertAlign w:val="superscript"/>
        </w:rPr>
        <w:t xml:space="preserve">19</w:t>
      </w:r>
      <w:r>
        <w:t xml:space="preserve">,</w:t>
      </w:r>
      <w:r>
        <w:t xml:space="preserve"> </w:t>
      </w:r>
      <w:r>
        <w:t xml:space="preserve">the structural and functional features of this gene are poorly understood. In</w:t>
      </w:r>
      <w:r>
        <w:t xml:space="preserve"> </w:t>
      </w:r>
      <w:r>
        <w:t xml:space="preserve">humans, is known to have a proline-, glutamine- and leucine-rich</w:t>
      </w:r>
      <w:r>
        <w:t xml:space="preserve"> </w:t>
      </w:r>
      <w:r>
        <w:t xml:space="preserve">domain that interacts with the WNT pathway </w:t>
      </w:r>
      <w:r>
        <w:rPr>
          <w:vertAlign w:val="superscript"/>
        </w:rPr>
        <w:t xml:space="preserve">20</w:t>
      </w:r>
      <w:r>
        <w:t xml:space="preserve">. However, many</w:t>
      </w:r>
      <w:r>
        <w:t xml:space="preserve"> </w:t>
      </w:r>
      <w:r>
        <w:t xml:space="preserve">disease-causing variants fall outside of this domain </w:t>
      </w:r>
      <w:r>
        <w:rPr>
          <w:vertAlign w:val="superscript"/>
        </w:rPr>
        <w:t xml:space="preserve">21</w:t>
      </w:r>
      <w:r>
        <w:t xml:space="preserve">. To</w:t>
      </w:r>
      <w:r>
        <w:t xml:space="preserve"> </w:t>
      </w:r>
      <w:r>
        <w:t xml:space="preserve">study these variants and how they interfere with the functionality of</w:t>
      </w:r>
      <w:r>
        <w:t xml:space="preserve"> </w:t>
      </w:r>
      <w:r>
        <w:rPr>
          <w:i/>
        </w:rPr>
        <w:t xml:space="preserve">MED12</w:t>
      </w:r>
      <w:r>
        <w:t xml:space="preserve">, quantitative and efficient methods are necessary.</w:t>
      </w:r>
    </w:p>
    <w:p>
      <w:pPr>
        <w:pStyle w:val="BodyText"/>
      </w:pPr>
      <w:r>
        <w:t xml:space="preserve">RNA-seq phenotypes have the potential to reveal functional regions within genes,</w:t>
      </w:r>
      <w:r>
        <w:t xml:space="preserve"> </w:t>
      </w:r>
      <w:r>
        <w:t xml:space="preserve">but their phenotypic complexity makes this difficult. We developed a</w:t>
      </w:r>
      <w:r>
        <w:t xml:space="preserve"> </w:t>
      </w:r>
      <w:r>
        <w:t xml:space="preserve">method for determining allelic series from transcriptomic phenotypes and used</w:t>
      </w:r>
      <w:r>
        <w:t xml:space="preserve"> </w:t>
      </w:r>
      <w:r>
        <w:t xml:space="preserve">the</w:t>
      </w:r>
      <w:r>
        <w:t xml:space="preserve"> </w:t>
      </w:r>
      <w:r>
        <w:rPr>
          <w:i/>
        </w:rPr>
        <w:t xml:space="preserve">C. elegans</w:t>
      </w:r>
      <w:r>
        <w:t xml:space="preserve"> </w:t>
      </w:r>
      <w:r>
        <w:rPr>
          <w:i/>
        </w:rPr>
        <w:t xml:space="preserve">dpy-22</w:t>
      </w:r>
      <w:r>
        <w:t xml:space="preserve"> </w:t>
      </w:r>
      <w:r>
        <w:t xml:space="preserve">gene as a test case. Our analysis revealed functional regions</w:t>
      </w:r>
      <w:r>
        <w:t xml:space="preserve"> </w:t>
      </w:r>
      <w:r>
        <w:t xml:space="preserve">that act to modulate Mediator activity at thousands of genetic loci.</w:t>
      </w:r>
    </w:p>
    <w:p>
      <w:pPr>
        <w:pStyle w:val="FigureWithCaption"/>
      </w:pPr>
      <w:r>
        <w:drawing>
          <wp:inline>
            <wp:extent cx="3810000" cy="2540000"/>
            <wp:effectExtent b="0" l="0" r="0" t="0"/>
            <wp:docPr descr=" Protein sequence of . The positions of the nonsense mutations used are shown. " title="" id="1" name="Picture"/>
            <a:graphic>
              <a:graphicData uri="http://schemas.openxmlformats.org/drawingml/2006/picture">
                <pic:pic>
                  <pic:nvPicPr>
                    <pic:cNvPr descr="../../figs/Gene_Model.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Protein sequence of . The positions of the nonsense</w:t>
      </w:r>
      <w:r>
        <w:t xml:space="preserve"> </w:t>
      </w:r>
      <w:r>
        <w:t xml:space="preserve">mutations used are shown.</w:t>
      </w:r>
      <w:r>
        <w:t xml:space="preserve"> </w:t>
      </w:r>
    </w:p>
    <w:p>
      <w:pPr>
        <w:pStyle w:val="Heading1"/>
      </w:pPr>
      <w:bookmarkStart w:id="23" w:name="results-and-discussion"/>
      <w:bookmarkEnd w:id="23"/>
      <w:r>
        <w:t xml:space="preserve">Results and Discussion</w:t>
      </w:r>
    </w:p>
    <w:p>
      <w:pPr>
        <w:pStyle w:val="Heading2"/>
      </w:pPr>
      <w:bookmarkStart w:id="24" w:name="rna-sequencing-of-three-dpy-22-alleles-and-two-known-interactor-genes"/>
      <w:bookmarkEnd w:id="24"/>
      <w:r>
        <w:t xml:space="preserve">RNA-sequencing of three</w:t>
      </w:r>
      <w:r>
        <w:t xml:space="preserve"> </w:t>
      </w:r>
      <w:r>
        <w:rPr>
          <w:i/>
        </w:rPr>
        <w:t xml:space="preserve">dpy-22</w:t>
      </w:r>
      <w:r>
        <w:t xml:space="preserve"> </w:t>
      </w:r>
      <w:r>
        <w:t xml:space="preserve">alleles and two known</w:t>
      </w:r>
      <w:r>
        <w:t xml:space="preserve"> </w:t>
      </w:r>
      <w:r>
        <w:t xml:space="preserve">interactor genes</w:t>
      </w:r>
    </w:p>
    <w:p>
      <w:pPr>
        <w:pStyle w:val="FirstParagraph"/>
      </w:pPr>
      <w:r>
        <w:t xml:space="preserve">We carried out RNA-seq on biological triplicates of mRNA extracted from</w:t>
      </w:r>
      <w:r>
        <w:t xml:space="preserve"> </w:t>
      </w:r>
      <w:r>
        <w:rPr>
          <w:i/>
        </w:rPr>
        <w:t xml:space="preserve">dpy-22(sy622)</w:t>
      </w:r>
      <w:r>
        <w:t xml:space="preserve"> </w:t>
      </w:r>
      <w:r>
        <w:t xml:space="preserve">homozygotes,</w:t>
      </w:r>
      <w:r>
        <w:t xml:space="preserve"> </w:t>
      </w:r>
      <w:r>
        <w:rPr>
          <w:i/>
        </w:rPr>
        <w:t xml:space="preserve">dpy-22(bx93)</w:t>
      </w:r>
      <w:r>
        <w:t xml:space="preserve"> </w:t>
      </w:r>
      <w:r>
        <w:t xml:space="preserve">homozygotes and wild type controls, along with quadruplicates</w:t>
      </w:r>
      <w:r>
        <w:t xml:space="preserve"> </w:t>
      </w:r>
      <w:r>
        <w:t xml:space="preserve">from</w:t>
      </w:r>
      <w:r>
        <w:t xml:space="preserve"> </w:t>
      </w:r>
      <w:r>
        <w:rPr>
          <w:i/>
        </w:rPr>
        <w:t xml:space="preserve">trans</w:t>
      </w:r>
      <w:r>
        <w:t xml:space="preserve">-heterozygotes of both alleles with the genotype</w:t>
      </w:r>
      <w:r>
        <w:t xml:space="preserve"> </w:t>
      </w:r>
      <w:r>
        <w:rPr>
          <w:i/>
        </w:rPr>
        <w:t xml:space="preserve">dpy-6 dpy-22(bx93) / + dpy-22(sy622)</w:t>
      </w:r>
      <w:r>
        <w:t xml:space="preserve">. We also sequenced mRNA</w:t>
      </w:r>
      <w:r>
        <w:t xml:space="preserve"> </w:t>
      </w:r>
      <w:r>
        <w:t xml:space="preserve">extracted from</w:t>
      </w:r>
      <w:r>
        <w:t xml:space="preserve"> </w:t>
      </w:r>
      <w:r>
        <w:rPr>
          <w:i/>
        </w:rPr>
        <w:t xml:space="preserve">bar-1(ga80)</w:t>
      </w:r>
      <w:r>
        <w:t xml:space="preserve"> </w:t>
      </w:r>
      <w:r>
        <w:t xml:space="preserve">(a Wnt ortholog),</w:t>
      </w:r>
      <w:r>
        <w:t xml:space="preserve"> </w:t>
      </w:r>
      <w:r>
        <w:rPr>
          <w:i/>
        </w:rPr>
        <w:t xml:space="preserve">let-60(n2021)</w:t>
      </w:r>
      <w:r>
        <w:t xml:space="preserve"> </w:t>
      </w:r>
      <w:r>
        <w:t xml:space="preserve">and</w:t>
      </w:r>
      <w:r>
        <w:t xml:space="preserve"> </w:t>
      </w:r>
      <w:r>
        <w:rPr>
          <w:i/>
        </w:rPr>
        <w:t xml:space="preserve">let-60(n1046gf)</w:t>
      </w:r>
      <w:r>
        <w:t xml:space="preserve"> </w:t>
      </w:r>
      <w:r>
        <w:t xml:space="preserve">(Ras ortholog) mutants in triplicate because these genes</w:t>
      </w:r>
      <w:r>
        <w:t xml:space="preserve"> </w:t>
      </w:r>
      <w:r>
        <w:t xml:space="preserve">have been previously described to interact with</w:t>
      </w:r>
      <w:r>
        <w:t xml:space="preserve"> </w:t>
      </w:r>
      <w:r>
        <w:rPr>
          <w:i/>
        </w:rPr>
        <w:t xml:space="preserve">dpy-22</w:t>
      </w:r>
      <w:r>
        <w:t xml:space="preserve"> </w:t>
      </w:r>
      <w:r>
        <w:t xml:space="preserve">to form the</w:t>
      </w:r>
      <w:r>
        <w:t xml:space="preserve"> </w:t>
      </w:r>
      <w:r>
        <w:t xml:space="preserve">vulva </w:t>
      </w:r>
      <w:r>
        <w:rPr>
          <w:vertAlign w:val="superscript"/>
        </w:rPr>
        <w:t xml:space="preserve">12</w:t>
      </w:r>
      <w:r>
        <w:t xml:space="preserve"> </w:t>
      </w:r>
      <w:r>
        <w:t xml:space="preserve">and the male tail </w:t>
      </w:r>
      <w:r>
        <w:rPr>
          <w:vertAlign w:val="superscript"/>
        </w:rPr>
        <w:t xml:space="preserve">11</w:t>
      </w:r>
      <w:r>
        <w:t xml:space="preserve">. Sequencing was</w:t>
      </w:r>
      <w:r>
        <w:t xml:space="preserve"> </w:t>
      </w:r>
      <w:r>
        <w:t xml:space="preserve">performed at a depth of 20 million reads per sample. Reads were pseudoaligned</w:t>
      </w:r>
      <w:r>
        <w:t xml:space="preserve"> </w:t>
      </w:r>
      <w:r>
        <w:t xml:space="preserve">using Kallisto </w:t>
      </w:r>
      <w:r>
        <w:rPr>
          <w:vertAlign w:val="superscript"/>
        </w:rPr>
        <w:t xml:space="preserve">22</w:t>
      </w:r>
      <w:r>
        <w:t xml:space="preserve">. We performed a differential expression using a</w:t>
      </w:r>
      <w:r>
        <w:t xml:space="preserve"> </w:t>
      </w:r>
      <w:r>
        <w:t xml:space="preserve">general linear model specified using Sleuth </w:t>
      </w:r>
      <w:r>
        <w:rPr>
          <w:vertAlign w:val="superscript"/>
        </w:rPr>
        <w:t xml:space="preserve">23</w:t>
      </w:r>
      <w:r>
        <w:t xml:space="preserve"> </w:t>
      </w:r>
      <w:r>
        <w:t xml:space="preserve">(see ). Differential expression with respect to the wild</w:t>
      </w:r>
      <w:r>
        <w:t xml:space="preserve"> </w:t>
      </w:r>
      <w:r>
        <w:t xml:space="preserve">type control for each transcript</w:t>
      </w:r>
      <w:r>
        <w:t xml:space="preserve"> </w:t>
      </w:r>
      <m:oMath>
        <m:r>
          <m:t>i</m:t>
        </m:r>
      </m:oMath>
      <w:r>
        <w:t xml:space="preserve"> </w:t>
      </w:r>
      <w:r>
        <w:t xml:space="preserve">in a genotype</w:t>
      </w:r>
      <w:r>
        <w:t xml:space="preserve"> </w:t>
      </w:r>
      <m:oMath>
        <m:r>
          <m:t>g</m:t>
        </m:r>
      </m:oMath>
      <w:r>
        <w:t xml:space="preserve"> </w:t>
      </w:r>
      <w:r>
        <w:t xml:space="preserve">is measured via a</w:t>
      </w:r>
      <w:r>
        <w:t xml:space="preserve"> </w:t>
      </w:r>
      <w:r>
        <w:t xml:space="preserve">coefficient</w:t>
      </w:r>
      <w:r>
        <w:t xml:space="preserve"> </w:t>
      </w:r>
      <m:oMath>
        <m:sSub>
          <m:e>
            <m:r>
              <m:t>β</m:t>
            </m:r>
          </m:e>
          <m:sub>
            <m:r>
              <m:t>g</m:t>
            </m:r>
            <m:r>
              <m:t>,</m:t>
            </m:r>
            <m:r>
              <m:t>i</m:t>
            </m:r>
          </m:sub>
        </m:sSub>
      </m:oMath>
      <w:r>
        <w:t xml:space="preserve">, which can be loosely interpreted as the natural</w:t>
      </w:r>
      <w:r>
        <w:t xml:space="preserve"> </w:t>
      </w:r>
      <w:r>
        <w:t xml:space="preserve">logarithm of the fold-change. Transcripts were considered to have differential</w:t>
      </w:r>
      <w:r>
        <w:t xml:space="preserve"> </w:t>
      </w:r>
      <w:r>
        <w:t xml:space="preserve">expression between wild-type and a mutant if the false discovery rate,</w:t>
      </w:r>
      <w:r>
        <w:t xml:space="preserve"> </w:t>
      </w:r>
      <m:oMath>
        <m:r>
          <m:t>q</m:t>
        </m:r>
      </m:oMath>
      <w:r>
        <w:t xml:space="preserve">, was</w:t>
      </w:r>
      <w:r>
        <w:t xml:space="preserve"> </w:t>
      </w:r>
      <w:r>
        <w:t xml:space="preserve">less than or equal to 10%. We used this method to identify the differentially</w:t>
      </w:r>
      <w:r>
        <w:t xml:space="preserve"> </w:t>
      </w:r>
      <w:r>
        <w:t xml:space="preserve">expressed genes associated with each mutant (see Table [tab:numbers];</w:t>
      </w:r>
      <w:r>
        <w:t xml:space="preserve"> </w:t>
      </w:r>
      <w:hyperlink r:id="rId25">
        <w:r>
          <w:rPr>
            <w:rStyle w:val="Hyperlink"/>
          </w:rPr>
          <w:t xml:space="preserve">Basic</w:t>
        </w:r>
        <w:r>
          <w:rPr>
            <w:rStyle w:val="Hyperlink"/>
          </w:rPr>
          <w:t xml:space="preserve"> </w:t>
        </w:r>
        <w:r>
          <w:rPr>
            <w:rStyle w:val="Hyperlink"/>
          </w:rPr>
          <w:t xml:space="preserve">Statistics Notebook</w:t>
        </w:r>
      </w:hyperlink>
      <w:r>
        <w:t xml:space="preserve">)</w:t>
      </w:r>
      <w:r>
        <w:t xml:space="preserve"> </w:t>
      </w:r>
      <w:r>
        <w:t xml:space="preserve">Supplementary File 1 contains all the beta values associated with this project.</w:t>
      </w:r>
      <w:r>
        <w:t xml:space="preserve"> </w:t>
      </w:r>
      <w:r>
        <w:t xml:space="preserve">We have also generated a website containing complete details of all the analyses</w:t>
      </w:r>
      <w:r>
        <w:t xml:space="preserve"> </w:t>
      </w:r>
      <w:r>
        <w:t xml:space="preserve">available at the following URL:</w:t>
      </w:r>
      <w:r>
        <w:t xml:space="preserve"> </w:t>
      </w:r>
      <w:hyperlink r:id="rId26">
        <w:r>
          <w:rPr>
            <w:rStyle w:val="Hyperlink"/>
          </w:rPr>
          <w:t xml:space="preserve">https://wormlabcaltech.github.io/med-cafe/analysis</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center"/>
            </w:pPr>
            <w:r>
              <w:t xml:space="preserve">Differentially Expressed Genes</w:t>
            </w:r>
          </w:p>
        </w:tc>
      </w:tr>
      <w:tr>
        <w:tc>
          <w:p>
            <w:pPr>
              <w:pStyle w:val="Compact"/>
              <w:jc w:val="left"/>
            </w:pPr>
            <w:r>
              <w:rPr>
                <w:i/>
              </w:rPr>
              <w:t xml:space="preserve">dpy-22(bx93)</w:t>
            </w:r>
          </w:p>
        </w:tc>
        <w:tc>
          <w:p>
            <w:pPr>
              <w:pStyle w:val="Compact"/>
              <w:jc w:val="center"/>
            </w:pPr>
            <w:r>
              <w:t xml:space="preserve">266</w:t>
            </w:r>
          </w:p>
        </w:tc>
      </w:tr>
      <w:tr>
        <w:tc>
          <w:p>
            <w:pPr>
              <w:pStyle w:val="Compact"/>
              <w:jc w:val="left"/>
            </w:pPr>
            <w:r>
              <w:rPr>
                <w:i/>
              </w:rPr>
              <w:t xml:space="preserve">dpy-6(e14)</w:t>
            </w:r>
            <w:r>
              <w:t xml:space="preserve"> </w:t>
            </w:r>
            <w:r>
              <w:rPr>
                <w:i/>
              </w:rPr>
              <w:t xml:space="preserve">dpy-22(bx93)</w:t>
            </w:r>
            <w:r>
              <w:t xml:space="preserve"> </w:t>
            </w:r>
            <w:r>
              <w:t xml:space="preserve">/</w:t>
            </w:r>
            <w:r>
              <w:t xml:space="preserve"> </w:t>
            </w:r>
            <w:r>
              <w:rPr>
                <w:i/>
              </w:rPr>
              <w:t xml:space="preserve">+</w:t>
            </w:r>
            <w:r>
              <w:t xml:space="preserve"> </w:t>
            </w:r>
            <w:r>
              <w:rPr>
                <w:i/>
              </w:rPr>
              <w:t xml:space="preserve">dpy-22(sy622)</w:t>
            </w:r>
          </w:p>
        </w:tc>
        <w:tc>
          <w:p>
            <w:pPr>
              <w:pStyle w:val="Compact"/>
              <w:jc w:val="center"/>
            </w:pPr>
            <w:r>
              <w:t xml:space="preserve">2,128</w:t>
            </w:r>
          </w:p>
        </w:tc>
      </w:tr>
      <w:tr>
        <w:tc>
          <w:p>
            <w:pPr>
              <w:pStyle w:val="Compact"/>
              <w:jc w:val="left"/>
            </w:pPr>
            <w:r>
              <w:rPr>
                <w:i/>
              </w:rPr>
              <w:t xml:space="preserve">dpy-22(sy622)</w:t>
            </w:r>
          </w:p>
        </w:tc>
        <w:tc>
          <w:p>
            <w:pPr>
              <w:pStyle w:val="Compact"/>
              <w:jc w:val="center"/>
            </w:pPr>
            <w:r>
              <w:t xml:space="preserve">2,036</w:t>
            </w:r>
          </w:p>
        </w:tc>
      </w:tr>
      <w:tr>
        <w:tc>
          <w:p>
            <w:pPr>
              <w:pStyle w:val="Compact"/>
              <w:jc w:val="left"/>
            </w:pPr>
            <w:r>
              <w:rPr>
                <w:i/>
              </w:rPr>
              <w:t xml:space="preserve">bar-1(ga80)</w:t>
            </w:r>
          </w:p>
        </w:tc>
        <w:tc>
          <w:p>
            <w:pPr>
              <w:pStyle w:val="Compact"/>
              <w:jc w:val="center"/>
            </w:pPr>
            <w:r>
              <w:t xml:space="preserve">4613</w:t>
            </w:r>
          </w:p>
        </w:tc>
      </w:tr>
      <w:tr>
        <w:tc>
          <w:p>
            <w:pPr>
              <w:pStyle w:val="Compact"/>
              <w:jc w:val="left"/>
            </w:pPr>
            <w:r>
              <w:rPr>
                <w:i/>
              </w:rPr>
              <w:t xml:space="preserve">let-60(n2021)</w:t>
            </w:r>
          </w:p>
        </w:tc>
        <w:tc>
          <w:p>
            <w:pPr>
              <w:pStyle w:val="Compact"/>
              <w:jc w:val="center"/>
            </w:pPr>
            <w:r>
              <w:t xml:space="preserve">509</w:t>
            </w:r>
          </w:p>
        </w:tc>
      </w:tr>
      <w:tr>
        <w:tc>
          <w:p>
            <w:pPr>
              <w:pStyle w:val="Compact"/>
              <w:jc w:val="left"/>
            </w:pPr>
            <w:r>
              <w:rPr>
                <w:i/>
              </w:rPr>
              <w:t xml:space="preserve">let-60(n1046gf)</w:t>
            </w:r>
          </w:p>
        </w:tc>
        <w:tc>
          <w:p>
            <w:pPr>
              <w:pStyle w:val="Compact"/>
              <w:jc w:val="center"/>
            </w:pPr>
            <w:r>
              <w:t xml:space="preserve">2526</w:t>
            </w:r>
          </w:p>
        </w:tc>
      </w:tr>
    </w:tbl>
    <w:p>
      <w:pPr>
        <w:pStyle w:val="FigureWithCaption"/>
      </w:pPr>
      <w:r>
        <w:drawing>
          <wp:inline>
            <wp:extent cx="3810000" cy="2540000"/>
            <wp:effectExtent b="0" l="0" r="0" t="0"/>
            <wp:docPr descr=" Principal component analysis of the genotypes we analyzed. The analysis was performed using only those transcripts that were differentially expressed in at least one genotype. The plot shows that the trans-heterozygotes phenocopy the dpy-22(bx93) homozygotes along the first two principal dimensions. " title="" id="1" name="Picture"/>
            <a:graphic>
              <a:graphicData uri="http://schemas.openxmlformats.org/drawingml/2006/picture">
                <pic:pic>
                  <pic:nvPicPr>
                    <pic:cNvPr descr="../../figs/pca.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Principal component analysis of the genotypes we analyzed. The</w:t>
      </w:r>
      <w:r>
        <w:t xml:space="preserve"> </w:t>
      </w:r>
      <w:r>
        <w:t xml:space="preserve">analysis was performed using only those transcripts that were</w:t>
      </w:r>
      <w:r>
        <w:t xml:space="preserve"> </w:t>
      </w:r>
      <w:r>
        <w:t xml:space="preserve">differentially expressed in at least one genotype. The plot shows</w:t>
      </w:r>
      <w:r>
        <w:t xml:space="preserve"> </w:t>
      </w:r>
      <w:r>
        <w:t xml:space="preserve">that the</w:t>
      </w:r>
      <w:r>
        <w:t xml:space="preserve"> </w:t>
      </w:r>
      <w:r>
        <w:rPr>
          <w:i/>
        </w:rPr>
        <w:t xml:space="preserve">trans</w:t>
      </w:r>
      <w:r>
        <w:t xml:space="preserve">-heterozygotes phenocopy the</w:t>
      </w:r>
      <w:r>
        <w:t xml:space="preserve"> </w:t>
      </w:r>
      <w:r>
        <w:rPr>
          <w:i/>
        </w:rPr>
        <w:t xml:space="preserve">dpy-22(bx93)</w:t>
      </w:r>
      <w:r>
        <w:t xml:space="preserve"> </w:t>
      </w:r>
      <w:r>
        <w:t xml:space="preserve">homozygotes</w:t>
      </w:r>
      <w:r>
        <w:t xml:space="preserve"> </w:t>
      </w:r>
      <w:r>
        <w:t xml:space="preserve">along the first two principal dimensions.</w:t>
      </w:r>
      <w:r>
        <w:t xml:space="preserve"> </w:t>
      </w:r>
    </w:p>
    <w:p>
      <w:pPr>
        <w:pStyle w:val="Heading2"/>
      </w:pPr>
      <w:bookmarkStart w:id="28" w:name="principal-component-analysis-visualizes-the-allelic-dominance-of-the-dpy-22bx93-allele-over-dpy-22sy622"/>
      <w:bookmarkEnd w:id="28"/>
      <w:r>
        <w:t xml:space="preserve">Principal component analysis visualizes the allelic dominance of</w:t>
      </w:r>
      <w:r>
        <w:t xml:space="preserve"> </w:t>
      </w:r>
      <w:r>
        <w:t xml:space="preserve">the</w:t>
      </w:r>
      <w:r>
        <w:t xml:space="preserve"> </w:t>
      </w:r>
      <w:r>
        <w:rPr>
          <w:i/>
        </w:rPr>
        <w:t xml:space="preserve">dpy-22(bx93)</w:t>
      </w:r>
      <w:r>
        <w:t xml:space="preserve"> </w:t>
      </w:r>
      <w:r>
        <w:t xml:space="preserve">allele over</w:t>
      </w:r>
      <w:r>
        <w:t xml:space="preserve"> </w:t>
      </w:r>
      <w:r>
        <w:rPr>
          <w:i/>
        </w:rPr>
        <w:t xml:space="preserve">dpy-22(sy622)</w:t>
      </w:r>
    </w:p>
    <w:p>
      <w:pPr>
        <w:pStyle w:val="FirstParagraph"/>
      </w:pPr>
      <w:r>
        <w:t xml:space="preserve">As a first step in our analysis, we performed dimensionality reduction on the</w:t>
      </w:r>
      <w:r>
        <w:t xml:space="preserve"> </w:t>
      </w:r>
      <w:r>
        <w:t xml:space="preserve">transcriptomes we sequenced using Principal Component Analysis (PCA). Briefly,</w:t>
      </w:r>
      <w:r>
        <w:t xml:space="preserve"> </w:t>
      </w:r>
      <w:r>
        <w:t xml:space="preserve">PCA identifies the vectors along which there is most variation in the data.</w:t>
      </w:r>
      <w:r>
        <w:t xml:space="preserve"> </w:t>
      </w:r>
      <w:r>
        <w:t xml:space="preserve">These vectors can be used to project the data into lower dimensions to assess</w:t>
      </w:r>
      <w:r>
        <w:t xml:space="preserve"> </w:t>
      </w:r>
      <w:r>
        <w:t xml:space="preserve">whether samples cluster, though interpreting the biological reasons for this</w:t>
      </w:r>
      <w:r>
        <w:t xml:space="preserve"> </w:t>
      </w:r>
      <w:r>
        <w:t xml:space="preserve">clustering can be challenging. To perform PCA, we selected only those</w:t>
      </w:r>
      <w:r>
        <w:t xml:space="preserve"> </w:t>
      </w:r>
      <w:r>
        <w:t xml:space="preserve">transcripts that were differentially in at least one genotype, and used the</w:t>
      </w:r>
      <w:r>
        <w:t xml:space="preserve"> </w:t>
      </w:r>
      <m:oMath>
        <m:r>
          <m:t>β</m:t>
        </m:r>
      </m:oMath>
      <w:r>
        <w:t xml:space="preserve"> </w:t>
      </w:r>
      <w:r>
        <w:t xml:space="preserve">coefficients associated with these genes to perform PCA. Projecting</w:t>
      </w:r>
      <w:r>
        <w:t xml:space="preserve"> </w:t>
      </w:r>
      <w:r>
        <w:t xml:space="preserve">the data into two dimensions maintains 65% of the variation. The first</w:t>
      </w:r>
      <w:r>
        <w:t xml:space="preserve"> </w:t>
      </w:r>
      <w:r>
        <w:t xml:space="preserve">dimension separates the gain and loss of function</w:t>
      </w:r>
      <w:r>
        <w:t xml:space="preserve"> </w:t>
      </w:r>
      <w:r>
        <w:rPr>
          <w:i/>
        </w:rPr>
        <w:t xml:space="preserve">let-60</w:t>
      </w:r>
      <w:r>
        <w:t xml:space="preserve"> </w:t>
      </w:r>
      <w:r>
        <w:t xml:space="preserve">mutants. The</w:t>
      </w:r>
      <w:r>
        <w:t xml:space="preserve"> </w:t>
      </w:r>
      <w:r>
        <w:t xml:space="preserve">second dimension separates the</w:t>
      </w:r>
      <w:r>
        <w:t xml:space="preserve"> </w:t>
      </w:r>
      <w:r>
        <w:rPr>
          <w:i/>
        </w:rPr>
        <w:t xml:space="preserve">dpy-22</w:t>
      </w:r>
      <w:r>
        <w:t xml:space="preserve"> </w:t>
      </w:r>
      <w:r>
        <w:t xml:space="preserve">mutants (see Fig. [fig:pca]). On the</w:t>
      </w:r>
      <w:r>
        <w:t xml:space="preserve"> </w:t>
      </w:r>
      <w:r>
        <w:t xml:space="preserve">PCA plot, the</w:t>
      </w:r>
      <w:r>
        <w:t xml:space="preserve"> </w:t>
      </w:r>
      <w:r>
        <w:rPr>
          <w:i/>
        </w:rPr>
        <w:t xml:space="preserve">trans</w:t>
      </w:r>
      <w:r>
        <w:t xml:space="preserve">-heterozygote mutants appear to phenocopy the</w:t>
      </w:r>
      <w:r>
        <w:t xml:space="preserve"> </w:t>
      </w:r>
      <w:r>
        <w:rPr>
          <w:i/>
        </w:rPr>
        <w:t xml:space="preserve">dpy-22(bx93)</w:t>
      </w:r>
      <w:r>
        <w:t xml:space="preserve"> </w:t>
      </w:r>
      <w:r>
        <w:t xml:space="preserve">mutants, recapitulating previous experiments that showed the</w:t>
      </w:r>
      <w:r>
        <w:t xml:space="preserve"> </w:t>
      </w:r>
      <w:r>
        <w:rPr>
          <w:i/>
        </w:rPr>
        <w:t xml:space="preserve">dpy-22(bx93)</w:t>
      </w:r>
      <w:r>
        <w:t xml:space="preserve"> </w:t>
      </w:r>
      <w:r>
        <w:t xml:space="preserve">allele to be</w:t>
      </w:r>
      <w:r>
        <w:t xml:space="preserve"> </w:t>
      </w:r>
      <w:r>
        <w:t xml:space="preserve">dominant over the</w:t>
      </w:r>
      <w:r>
        <w:t xml:space="preserve"> </w:t>
      </w:r>
      <w:r>
        <w:rPr>
          <w:i/>
        </w:rPr>
        <w:t xml:space="preserve">dpy-22(sy622)</w:t>
      </w:r>
      <w:r>
        <w:t xml:space="preserve"> </w:t>
      </w:r>
      <w:r>
        <w:t xml:space="preserve">allele.</w:t>
      </w:r>
    </w:p>
    <w:p>
      <w:pPr>
        <w:pStyle w:val="Heading2"/>
      </w:pPr>
      <w:bookmarkStart w:id="29" w:name="three-dpy-22-genotypes-have-shared-transcriptomic-phenotypes"/>
      <w:bookmarkEnd w:id="29"/>
      <w:r>
        <w:t xml:space="preserve">Three</w:t>
      </w:r>
      <w:r>
        <w:t xml:space="preserve"> </w:t>
      </w:r>
      <w:r>
        <w:rPr>
          <w:i/>
        </w:rPr>
        <w:t xml:space="preserve">dpy-22</w:t>
      </w:r>
      <w:r>
        <w:t xml:space="preserve"> </w:t>
      </w:r>
      <w:r>
        <w:t xml:space="preserve">genotypes have shared transcriptomic</w:t>
      </w:r>
      <w:r>
        <w:t xml:space="preserve"> </w:t>
      </w:r>
      <w:r>
        <w:t xml:space="preserve">phenotypes</w:t>
      </w:r>
    </w:p>
    <w:p>
      <w:pPr>
        <w:pStyle w:val="FirstParagraph"/>
      </w:pPr>
      <w:r>
        <w:t xml:space="preserve">Although the two dimensional PCA plot suggests strongly that the</w:t>
      </w:r>
      <w:r>
        <w:t xml:space="preserve"> </w:t>
      </w:r>
      <w:r>
        <w:rPr>
          <w:i/>
        </w:rPr>
        <w:t xml:space="preserve">dpy-22(bx93)</w:t>
      </w:r>
      <w:r>
        <w:t xml:space="preserve"> </w:t>
      </w:r>
      <w:r>
        <w:t xml:space="preserve">allele is</w:t>
      </w:r>
      <w:r>
        <w:t xml:space="preserve"> </w:t>
      </w:r>
      <w:r>
        <w:t xml:space="preserve">dominant over the</w:t>
      </w:r>
      <w:r>
        <w:t xml:space="preserve"> </w:t>
      </w:r>
      <w:r>
        <w:rPr>
          <w:i/>
        </w:rPr>
        <w:t xml:space="preserve">dpy-22(sy622)</w:t>
      </w:r>
      <w:r>
        <w:t xml:space="preserve"> </w:t>
      </w:r>
      <w:r>
        <w:t xml:space="preserve">allele, we would like to understand the degree and</w:t>
      </w:r>
      <w:r>
        <w:t xml:space="preserve"> </w:t>
      </w:r>
      <w:r>
        <w:t xml:space="preserve">nature of the dominance that is occurring. To construct a severity and dominance</w:t>
      </w:r>
      <w:r>
        <w:t xml:space="preserve"> </w:t>
      </w:r>
      <w:r>
        <w:t xml:space="preserve">hierarchy, we must establish how many transcriptomic phenotypes are</w:t>
      </w:r>
      <w:r>
        <w:t xml:space="preserve"> </w:t>
      </w:r>
      <w:r>
        <w:t xml:space="preserve">represented among the three</w:t>
      </w:r>
      <w:r>
        <w:t xml:space="preserve"> </w:t>
      </w:r>
      <w:r>
        <w:rPr>
          <w:i/>
        </w:rPr>
        <w:t xml:space="preserve">dpy-22</w:t>
      </w:r>
      <w:r>
        <w:t xml:space="preserve"> </w:t>
      </w:r>
      <w:r>
        <w:t xml:space="preserve">genotypes, and of those phenotypes, how many</w:t>
      </w:r>
      <w:r>
        <w:t xml:space="preserve"> </w:t>
      </w:r>
      <w:r>
        <w:t xml:space="preserve">of them are shared transcriptomic phenotypes (STPs). Shared transcriptomic</w:t>
      </w:r>
      <w:r>
        <w:t xml:space="preserve"> </w:t>
      </w:r>
      <w:r>
        <w:t xml:space="preserve">phenotypes are defined as the set of genes that are commonly differentially</w:t>
      </w:r>
      <w:r>
        <w:t xml:space="preserve"> </w:t>
      </w:r>
      <w:r>
        <w:t xml:space="preserve">expressed in two mutant genotypes relative to a wild-type control, regardless</w:t>
      </w:r>
      <w:r>
        <w:t xml:space="preserve"> </w:t>
      </w:r>
      <w:r>
        <w:t xml:space="preserve">of the direction of change, as defined previously </w:t>
      </w:r>
      <w:r>
        <w:rPr>
          <w:vertAlign w:val="superscript"/>
        </w:rPr>
        <w:t xml:space="preserve">10</w:t>
      </w:r>
      <w:r>
        <w:t xml:space="preserve">. We</w:t>
      </w:r>
      <w:r>
        <w:t xml:space="preserve"> </w:t>
      </w:r>
      <w:r>
        <w:t xml:space="preserve">use the term in the plural version, because the shared genes may represent</w:t>
      </w:r>
      <w:r>
        <w:t xml:space="preserve"> </w:t>
      </w:r>
      <w:r>
        <w:t xml:space="preserve">multiple independent modules that formally constitute different phenotypic</w:t>
      </w:r>
      <w:r>
        <w:t xml:space="preserve"> </w:t>
      </w:r>
      <w:r>
        <w:t xml:space="preserve">classes.</w:t>
      </w:r>
    </w:p>
    <w:p>
      <w:pPr>
        <w:pStyle w:val="BodyText"/>
      </w:pPr>
      <w:r>
        <w:t xml:space="preserve">We identified significant pairwise STPs between all</w:t>
      </w:r>
      <w:r>
        <w:t xml:space="preserve"> </w:t>
      </w:r>
      <w:r>
        <w:rPr>
          <w:i/>
        </w:rPr>
        <w:t xml:space="preserve">dpy-22</w:t>
      </w:r>
      <w:r>
        <w:t xml:space="preserve"> </w:t>
      </w:r>
      <w:r>
        <w:t xml:space="preserve">mutants. The</w:t>
      </w:r>
      <w:r>
        <w:t xml:space="preserve"> </w:t>
      </w:r>
      <w:r>
        <w:t xml:space="preserve">transcripts that were differentially expressed in</w:t>
      </w:r>
      <w:r>
        <w:t xml:space="preserve"> </w:t>
      </w:r>
      <w:r>
        <w:rPr>
          <w:i/>
        </w:rPr>
        <w:t xml:space="preserve">dpy-22(bx93)</w:t>
      </w:r>
      <w:r>
        <w:t xml:space="preserve"> </w:t>
      </w:r>
      <w:r>
        <w:t xml:space="preserve">homozygotes were almost</w:t>
      </w:r>
      <w:r>
        <w:t xml:space="preserve"> </w:t>
      </w:r>
      <w:r>
        <w:t xml:space="preserve">all differentially expressed in</w:t>
      </w:r>
      <w:r>
        <w:t xml:space="preserve"> </w:t>
      </w:r>
      <w:r>
        <w:rPr>
          <w:i/>
        </w:rPr>
        <w:t xml:space="preserve">dpy-22(sy622)</w:t>
      </w:r>
      <w:r>
        <w:t xml:space="preserve"> </w:t>
      </w:r>
      <w:r>
        <w:t xml:space="preserve">homozygotes (189/</w:t>
      </w:r>
      <w:r>
        <w:t xml:space="preserve">266</w:t>
      </w:r>
      <w:r>
        <w:t xml:space="preserve">) and in</w:t>
      </w:r>
      <w:r>
        <w:t xml:space="preserve"> </w:t>
      </w:r>
      <w:r>
        <w:rPr>
          <w:i/>
        </w:rPr>
        <w:t xml:space="preserve">trans</w:t>
      </w:r>
      <w:r>
        <w:t xml:space="preserve">-heterozygotes (192/</w:t>
      </w:r>
      <w:r>
        <w:t xml:space="preserve">266</w:t>
      </w:r>
      <w:r>
        <w:t xml:space="preserve">). On the other hand, although</w:t>
      </w:r>
      <w:r>
        <w:t xml:space="preserve"> </w:t>
      </w:r>
      <w:r>
        <w:rPr>
          <w:i/>
        </w:rPr>
        <w:t xml:space="preserve">dpy-22(sy622)</w:t>
      </w:r>
      <w:r>
        <w:t xml:space="preserve"> </w:t>
      </w:r>
      <w:r>
        <w:t xml:space="preserve">homozygotes and</w:t>
      </w:r>
      <w:r>
        <w:t xml:space="preserve"> </w:t>
      </w:r>
      <w:r>
        <w:rPr>
          <w:i/>
        </w:rPr>
        <w:t xml:space="preserve">trans</w:t>
      </w:r>
      <w:r>
        <w:t xml:space="preserve">-heterozygotes exhibited a similar number of</w:t>
      </w:r>
      <w:r>
        <w:t xml:space="preserve"> </w:t>
      </w:r>
      <w:r>
        <w:t xml:space="preserve">differentially expressed genes, less than half of these were shared between the</w:t>
      </w:r>
      <w:r>
        <w:t xml:space="preserve"> </w:t>
      </w:r>
      <w:r>
        <w:t xml:space="preserve">two genotypes.</w:t>
      </w:r>
    </w:p>
    <w:p>
      <w:pPr>
        <w:pStyle w:val="Heading2"/>
      </w:pPr>
      <w:bookmarkStart w:id="30" w:name="false-hit-analysis-identifies-four-non-overlapping-phenotypic-classes"/>
      <w:bookmarkEnd w:id="30"/>
      <w:r>
        <w:t xml:space="preserve">False hit analysis identifies four non-overlapping phenotypic</w:t>
      </w:r>
      <w:r>
        <w:t xml:space="preserve"> </w:t>
      </w:r>
      <w:r>
        <w:t xml:space="preserve">classes</w:t>
      </w:r>
    </w:p>
    <w:p>
      <w:pPr>
        <w:pStyle w:val="FirstParagraph"/>
      </w:pPr>
      <w:r>
        <w:drawing>
          <wp:inline>
            <wp:extent cx="3810000" cy="2540000"/>
            <wp:effectExtent b="0" l="0" r="0" t="0"/>
            <wp:docPr descr="image" title="" id="1" name="Picture"/>
            <a:graphic>
              <a:graphicData uri="http://schemas.openxmlformats.org/drawingml/2006/picture">
                <pic:pic>
                  <pic:nvPicPr>
                    <pic:cNvPr descr="../../figs/flowchart.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Severity and dominance hierarchies must be calculated with respect to each</w:t>
      </w:r>
      <w:r>
        <w:t xml:space="preserve"> </w:t>
      </w:r>
      <w:r>
        <w:t xml:space="preserve">independent phenotype associated with the alleles under study. A challenge with</w:t>
      </w:r>
      <w:r>
        <w:t xml:space="preserve"> </w:t>
      </w:r>
      <w:r>
        <w:t xml:space="preserve">expression profiles is to identify these independent phenotypes. We reasoned</w:t>
      </w:r>
      <w:r>
        <w:t xml:space="preserve"> </w:t>
      </w:r>
      <w:r>
        <w:t xml:space="preserve">that comparing the expression profiles of the two</w:t>
      </w:r>
      <w:r>
        <w:t xml:space="preserve"> </w:t>
      </w:r>
      <w:r>
        <w:rPr>
          <w:i/>
        </w:rPr>
        <w:t xml:space="preserve">dpy-22</w:t>
      </w:r>
      <w:r>
        <w:t xml:space="preserve"> </w:t>
      </w:r>
      <w:r>
        <w:t xml:space="preserve">homozygotes and the</w:t>
      </w:r>
      <w:r>
        <w:t xml:space="preserve"> </w:t>
      </w:r>
      <w:r>
        <w:rPr>
          <w:i/>
        </w:rPr>
        <w:t xml:space="preserve">trans</w:t>
      </w:r>
      <w:r>
        <w:t xml:space="preserve">-heterozygote would naturally partition the expression profiles into</w:t>
      </w:r>
      <w:r>
        <w:t xml:space="preserve"> </w:t>
      </w:r>
      <w:r>
        <w:t xml:space="preserve">groups that would constitute phenotypic classes. However, a three-way comparison</w:t>
      </w:r>
      <w:r>
        <w:t xml:space="preserve"> </w:t>
      </w:r>
      <w:r>
        <w:t xml:space="preserve">can give rise to 7 (</w:t>
      </w:r>
      <m:oMath>
        <m:sSup>
          <m:e>
            <m:r>
              <m:t>2</m:t>
            </m:r>
          </m:e>
          <m:sup>
            <m:r>
              <m:t>3</m:t>
            </m:r>
          </m:sup>
        </m:sSup>
      </m:oMath>
      <w:r>
        <w:t xml:space="preserve">) possible groupings: transcripts perturbed in only a</w:t>
      </w:r>
      <w:r>
        <w:t xml:space="preserve"> </w:t>
      </w:r>
      <w:r>
        <w:t xml:space="preserve">single genotype (3), transcripts perturbed in two genotypes (3) and transcripts</w:t>
      </w:r>
      <w:r>
        <w:t xml:space="preserve"> </w:t>
      </w:r>
      <w:r>
        <w:t xml:space="preserve">perturbed in all three genotypes (1). A shortcoming of RNA-seq is that it is</w:t>
      </w:r>
      <w:r>
        <w:t xml:space="preserve"> </w:t>
      </w:r>
      <w:r>
        <w:t xml:space="preserve">prone to false positive and false negative artifacts, and these artifacts could</w:t>
      </w:r>
      <w:r>
        <w:t xml:space="preserve"> </w:t>
      </w:r>
      <w:r>
        <w:t xml:space="preserve">be numerous enough to cause the appearance of certain groups that would not</w:t>
      </w:r>
      <w:r>
        <w:t xml:space="preserve"> </w:t>
      </w:r>
      <w:r>
        <w:t xml:space="preserve">be there otherwise. In other words, we might find a subset of genes that are</w:t>
      </w:r>
      <w:r>
        <w:t xml:space="preserve"> </w:t>
      </w:r>
      <w:r>
        <w:t xml:space="preserve">differentially expressed in a single genotype, but if this subset is small</w:t>
      </w:r>
      <w:r>
        <w:t xml:space="preserve"> </w:t>
      </w:r>
      <w:r>
        <w:t xml:space="preserve">enough, we ought to be concerned that this subset is caused by false positive</w:t>
      </w:r>
      <w:r>
        <w:t xml:space="preserve"> </w:t>
      </w:r>
      <w:r>
        <w:t xml:space="preserve">hits within this genotype or false negative hits in the other genotypes. This</w:t>
      </w:r>
      <w:r>
        <w:t xml:space="preserve"> </w:t>
      </w:r>
      <w:r>
        <w:t xml:space="preserve">thought experiment highlights the need to assess which groups have sufficient</w:t>
      </w:r>
      <w:r>
        <w:t xml:space="preserve"> </w:t>
      </w:r>
      <w:r>
        <w:t xml:space="preserve">statistical support to consider as phenotypic classes.</w:t>
      </w:r>
    </w:p>
    <w:p>
      <w:pPr>
        <w:pStyle w:val="BodyText"/>
      </w:pPr>
      <w:r>
        <w:t xml:space="preserve">We developed a method to assess whether groups in a Venn diagram are likely to</w:t>
      </w:r>
      <w:r>
        <w:t xml:space="preserve"> </w:t>
      </w:r>
      <w:r>
        <w:t xml:space="preserve">be the result of statistical artifacts. Briefly, the algorithm works by</w:t>
      </w:r>
      <w:r>
        <w:t xml:space="preserve"> </w:t>
      </w:r>
      <w:r>
        <w:t xml:space="preserve">assuming all of the data is the result of false positive and false negative hits</w:t>
      </w:r>
      <w:r>
        <w:t xml:space="preserve"> </w:t>
      </w:r>
      <w:r>
        <w:t xml:space="preserve">except for the group of transcripts that is differentially expressed in the</w:t>
      </w:r>
      <w:r>
        <w:t xml:space="preserve"> </w:t>
      </w:r>
      <w:r>
        <w:t xml:space="preserve">maximum number of genotypes. Then, using estimates for the false positive and</w:t>
      </w:r>
      <w:r>
        <w:t xml:space="preserve"> </w:t>
      </w:r>
      <w:r>
        <w:t xml:space="preserve">negative response, we calculate the expected sizes of all the groups after adding</w:t>
      </w:r>
      <w:r>
        <w:t xml:space="preserve"> </w:t>
      </w:r>
      <w:r>
        <w:t xml:space="preserve">noise under this model. If an observed group is much larger than expected by</w:t>
      </w:r>
      <w:r>
        <w:t xml:space="preserve"> </w:t>
      </w:r>
      <w:r>
        <w:t xml:space="preserve">noise, we refine the data model to accept the group. After accepting new groups</w:t>
      </w:r>
      <w:r>
        <w:t xml:space="preserve"> </w:t>
      </w:r>
      <w:r>
        <w:t xml:space="preserve">into the model, we calculate the noise again, and refine the model once more.</w:t>
      </w:r>
      <w:r>
        <w:t xml:space="preserve"> </w:t>
      </w:r>
      <w:r>
        <w:t xml:space="preserve">This process continues until the model converges. We called this method a false</w:t>
      </w:r>
      <w:r>
        <w:t xml:space="preserve"> </w:t>
      </w:r>
      <w:r>
        <w:t xml:space="preserve">hit analysis.</w:t>
      </w:r>
    </w:p>
    <w:p>
      <w:pPr>
        <w:pStyle w:val="BodyText"/>
      </w:pPr>
      <w:r>
        <w:t xml:space="preserve">We used false hit analysis to identify four non-overlapping phenotypic</w:t>
      </w:r>
      <w:r>
        <w:t xml:space="preserve"> </w:t>
      </w:r>
      <w:r>
        <w:t xml:space="preserve">classes. We use the term genotype-specific to refer to groups of transcripts</w:t>
      </w:r>
      <w:r>
        <w:t xml:space="preserve"> </w:t>
      </w:r>
      <w:r>
        <w:t xml:space="preserve">that were perturbed in one mutant. We use the term genotype-associated to refer</w:t>
      </w:r>
      <w:r>
        <w:t xml:space="preserve"> </w:t>
      </w:r>
      <w:r>
        <w:t xml:space="preserve">to those groups of transcripts whose expression was significantly altered in two</w:t>
      </w:r>
      <w:r>
        <w:t xml:space="preserve"> </w:t>
      </w:r>
      <w:r>
        <w:t xml:space="preserve">or more mutants with respect to the wild type control. The</w:t>
      </w:r>
      <w:r>
        <w:t xml:space="preserve"> </w:t>
      </w:r>
      <w:r>
        <w:rPr>
          <w:i/>
          <w:b/>
        </w:rPr>
        <w:t xml:space="preserve">dpy-22(sy622)</w:t>
      </w:r>
      <w:r>
        <w:rPr>
          <w:b/>
        </w:rPr>
        <w:t xml:space="preserve">-associated</w:t>
      </w:r>
      <w:r>
        <w:t xml:space="preserve"> </w:t>
      </w:r>
      <w:r>
        <w:t xml:space="preserve">phenotypic class consisted of 720 genes differentially</w:t>
      </w:r>
      <w:r>
        <w:t xml:space="preserve"> </w:t>
      </w:r>
      <w:r>
        <w:t xml:space="preserve">expressed in</w:t>
      </w:r>
      <w:r>
        <w:t xml:space="preserve"> </w:t>
      </w:r>
      <w:r>
        <w:rPr>
          <w:i/>
        </w:rPr>
        <w:t xml:space="preserve">dpy-22(sy622)</w:t>
      </w:r>
      <w:r>
        <w:t xml:space="preserve"> </w:t>
      </w:r>
      <w:r>
        <w:t xml:space="preserve">homozygotes and in</w:t>
      </w:r>
      <w:r>
        <w:t xml:space="preserve"> </w:t>
      </w:r>
      <w:r>
        <w:rPr>
          <w:i/>
        </w:rPr>
        <w:t xml:space="preserve">trans</w:t>
      </w:r>
      <w:r>
        <w:t xml:space="preserve">-heterozygotes, but which had</w:t>
      </w:r>
      <w:r>
        <w:t xml:space="preserve"> </w:t>
      </w:r>
      <w:r>
        <w:t xml:space="preserve">wild-type expression in</w:t>
      </w:r>
      <w:r>
        <w:t xml:space="preserve"> </w:t>
      </w:r>
      <w:r>
        <w:rPr>
          <w:i/>
        </w:rPr>
        <w:t xml:space="preserve">dpy-22(bx93)</w:t>
      </w:r>
      <w:r>
        <w:t xml:space="preserve"> </w:t>
      </w:r>
      <w:r>
        <w:t xml:space="preserve">homozygotes. The</w:t>
      </w:r>
      <w:r>
        <w:t xml:space="preserve"> </w:t>
      </w:r>
      <w:r>
        <w:rPr>
          <w:i/>
          <w:b/>
        </w:rPr>
        <w:t xml:space="preserve">dpy-22(bx93)</w:t>
      </w:r>
      <w:r>
        <w:rPr>
          <w:b/>
        </w:rPr>
        <w:t xml:space="preserve">-associated</w:t>
      </w:r>
      <w:r>
        <w:t xml:space="preserve"> </w:t>
      </w:r>
      <w:r>
        <w:t xml:space="preserve">phenotypic class contains 403 genes differentially expressed in all genotypes.</w:t>
      </w:r>
      <w:r>
        <w:t xml:space="preserve"> </w:t>
      </w:r>
      <w:r>
        <w:t xml:space="preserve">The</w:t>
      </w:r>
      <w:r>
        <w:t xml:space="preserve"> </w:t>
      </w:r>
      <w:r>
        <w:rPr>
          <w:i/>
        </w:rPr>
        <w:t xml:space="preserve">dpy-22(bx93)</w:t>
      </w:r>
      <w:r>
        <w:t xml:space="preserve">-associated class included re-classified transcripts that had been</w:t>
      </w:r>
      <w:r>
        <w:t xml:space="preserve"> </w:t>
      </w:r>
      <w:r>
        <w:t xml:space="preserve">found to be differentially expressed in the</w:t>
      </w:r>
      <w:r>
        <w:t xml:space="preserve"> </w:t>
      </w:r>
      <w:r>
        <w:rPr>
          <w:i/>
        </w:rPr>
        <w:t xml:space="preserve">dpy-22(bx93)</w:t>
      </w:r>
      <w:r>
        <w:t xml:space="preserve"> </w:t>
      </w:r>
      <w:r>
        <w:t xml:space="preserve">homozygote and one other</w:t>
      </w:r>
      <w:r>
        <w:t xml:space="preserve"> </w:t>
      </w:r>
      <w:r>
        <w:t xml:space="preserve">genotype, because these were very likely to be the result of false negative</w:t>
      </w:r>
      <w:r>
        <w:t xml:space="preserve"> </w:t>
      </w:r>
      <w:r>
        <w:t xml:space="preserve">hits in the missing genotype, and re-classifying these transcripts improved our</w:t>
      </w:r>
      <w:r>
        <w:t xml:space="preserve"> </w:t>
      </w:r>
      <w:r>
        <w:t xml:space="preserve">model substantially. We also identified a</w:t>
      </w:r>
      <w:r>
        <w:t xml:space="preserve"> </w:t>
      </w:r>
      <w:r>
        <w:rPr>
          <w:i/>
          <w:b/>
        </w:rPr>
        <w:t xml:space="preserve">dpy-22(sy622)</w:t>
      </w:r>
      <w:r>
        <w:rPr>
          <w:b/>
        </w:rPr>
        <w:t xml:space="preserve">-specific</w:t>
      </w:r>
      <w:r>
        <w:t xml:space="preserve"> </w:t>
      </w:r>
      <w:r>
        <w:t xml:space="preserve">phenotypic</w:t>
      </w:r>
      <w:r>
        <w:t xml:space="preserve"> </w:t>
      </w:r>
      <w:r>
        <w:t xml:space="preserve">class (1,841 genes) and a</w:t>
      </w:r>
      <w:r>
        <w:t xml:space="preserve"> </w:t>
      </w:r>
      <w:r>
        <w:rPr>
          <w:i/>
          <w:b/>
        </w:rPr>
        <w:t xml:space="preserve">trans</w:t>
      </w:r>
      <w:r>
        <w:rPr>
          <w:b/>
        </w:rPr>
        <w:t xml:space="preserve">-heterozygote-specific</w:t>
      </w:r>
      <w:r>
        <w:t xml:space="preserve"> </w:t>
      </w:r>
      <w:r>
        <w:t xml:space="preserve">phenotypic</w:t>
      </w:r>
      <w:r>
        <w:t xml:space="preserve"> </w:t>
      </w:r>
      <w:r>
        <w:t xml:space="preserve">class (1,226 genes; see the</w:t>
      </w:r>
      <w:r>
        <w:t xml:space="preserve"> </w:t>
      </w:r>
      <w:hyperlink r:id="rId32">
        <w:r>
          <w:rPr>
            <w:rStyle w:val="Hyperlink"/>
          </w:rPr>
          <w:t xml:space="preserve"> </w:t>
        </w:r>
        <w:r>
          <w:rPr>
            <w:rStyle w:val="Hyperlink"/>
          </w:rPr>
          <w:t xml:space="preserve">Phenotypic Classes Notebook</w:t>
        </w:r>
      </w:hyperlink>
      <w:r>
        <w:t xml:space="preserve">).</w:t>
      </w:r>
    </w:p>
    <w:p>
      <w:pPr>
        <w:pStyle w:val="Heading2"/>
      </w:pPr>
      <w:bookmarkStart w:id="33" w:name="severity-hierarchy-of-a-dpy-22-allelic-series"/>
      <w:bookmarkEnd w:id="33"/>
      <w:r>
        <w:t xml:space="preserve">Severity hierarchy of a</w:t>
      </w:r>
      <w:r>
        <w:t xml:space="preserve"> </w:t>
      </w:r>
      <w:r>
        <w:rPr>
          <w:i/>
        </w:rPr>
        <w:t xml:space="preserve">dpy-22</w:t>
      </w:r>
      <w:r>
        <w:t xml:space="preserve"> </w:t>
      </w:r>
      <w:r>
        <w:t xml:space="preserve">allelic series</w:t>
      </w:r>
    </w:p>
    <w:p>
      <w:pPr>
        <w:pStyle w:val="FirstParagraph"/>
      </w:pPr>
      <w:r>
        <w:t xml:space="preserve">Having separated the expression profiles into phenotypic classes, we can ask</w:t>
      </w:r>
      <w:r>
        <w:t xml:space="preserve"> </w:t>
      </w:r>
      <w:r>
        <w:t xml:space="preserve">what the severity hierarchy is between the</w:t>
      </w:r>
      <w:r>
        <w:t xml:space="preserve"> </w:t>
      </w:r>
      <w:r>
        <w:rPr>
          <w:i/>
        </w:rPr>
        <w:t xml:space="preserve">dpy-22(bx93)</w:t>
      </w:r>
      <w:r>
        <w:t xml:space="preserve"> </w:t>
      </w:r>
      <w:r>
        <w:t xml:space="preserve">allele and the</w:t>
      </w:r>
      <w:r>
        <w:t xml:space="preserve"> </w:t>
      </w:r>
      <w:r>
        <w:rPr>
          <w:i/>
        </w:rPr>
        <w:t xml:space="preserve">dpy-22(sy622)</w:t>
      </w:r>
      <w:r>
        <w:t xml:space="preserve"> </w:t>
      </w:r>
      <w:r>
        <w:t xml:space="preserve">allele.</w:t>
      </w:r>
      <w:r>
        <w:t xml:space="preserve"> </w:t>
      </w:r>
      <w:r>
        <w:t xml:space="preserve">Broadly speaking, there are two ways to assess severity. First, we can ask which</w:t>
      </w:r>
      <w:r>
        <w:t xml:space="preserve"> </w:t>
      </w:r>
      <w:r>
        <w:t xml:space="preserve">allele affects causes more mutant phenotypes or phenotypic groups as a</w:t>
      </w:r>
      <w:r>
        <w:t xml:space="preserve"> </w:t>
      </w:r>
      <w:r>
        <w:t xml:space="preserve">homozygote (allelic pleiotropy). Alternatively, we can</w:t>
      </w:r>
      <w:r>
        <w:t xml:space="preserve"> </w:t>
      </w:r>
      <w:r>
        <w:t xml:space="preserve">identify the allele which causes the greatest change in expression in a</w:t>
      </w:r>
      <w:r>
        <w:t xml:space="preserve"> </w:t>
      </w:r>
      <w:r>
        <w:t xml:space="preserve">homozygote at each shared phenotype among the homozygotes of both alleles, which</w:t>
      </w:r>
      <w:r>
        <w:t xml:space="preserve"> </w:t>
      </w:r>
      <w:r>
        <w:t xml:space="preserve">we refer to as</w:t>
      </w:r>
      <w:r>
        <w:t xml:space="preserve"> </w:t>
      </w:r>
      <w:r>
        <w:rPr>
          <w:b/>
        </w:rPr>
        <w:t xml:space="preserve">allelic volume</w:t>
      </w:r>
      <w:r>
        <w:rPr>
          <w:rStyle w:val="FootnoteReference"/>
        </w:rPr>
        <w:footnoteReference w:id="34"/>
      </w:r>
      <w:r>
        <w:t xml:space="preserve">. An</w:t>
      </w:r>
      <w:r>
        <w:t xml:space="preserve"> </w:t>
      </w:r>
      <w:r>
        <w:t xml:space="preserve">important caveat is that volume only makes sense if the homozygotes of each</w:t>
      </w:r>
      <w:r>
        <w:t xml:space="preserve"> </w:t>
      </w:r>
      <w:r>
        <w:t xml:space="preserve">allele are well correlated (i.e., they have a linear relationship with small</w:t>
      </w:r>
      <w:r>
        <w:t xml:space="preserve"> </w:t>
      </w:r>
      <w:r>
        <w:t xml:space="preserve">spread). If the phenotypes have zero or negative correlation between two</w:t>
      </w:r>
      <w:r>
        <w:t xml:space="preserve"> </w:t>
      </w:r>
      <w:r>
        <w:t xml:space="preserve">homozygotes, then the two alleles under inspection are not of the same kind,</w:t>
      </w:r>
      <w:r>
        <w:t xml:space="preserve"> </w:t>
      </w:r>
      <w:r>
        <w:t xml:space="preserve">i.e., they cannot both be loss-of-function alleles, or gain-of-function alleles</w:t>
      </w:r>
      <w:r>
        <w:t xml:space="preserve"> </w:t>
      </w:r>
      <w:r>
        <w:t xml:space="preserve">for this phenotype.</w:t>
      </w:r>
    </w:p>
    <w:p>
      <w:pPr>
        <w:pStyle w:val="BodyText"/>
      </w:pPr>
      <w:r>
        <w:t xml:space="preserve">The</w:t>
      </w:r>
      <w:r>
        <w:t xml:space="preserve"> </w:t>
      </w:r>
      <w:r>
        <w:rPr>
          <w:i/>
        </w:rPr>
        <w:t xml:space="preserve">dpy-22(sy622)</w:t>
      </w:r>
      <w:r>
        <w:t xml:space="preserve"> </w:t>
      </w:r>
      <w:r>
        <w:t xml:space="preserve">homozygote shows more differentially expressed genes that participate</w:t>
      </w:r>
      <w:r>
        <w:t xml:space="preserve"> </w:t>
      </w:r>
      <w:r>
        <w:t xml:space="preserve">in a greater number of phenotypic classes relative to the</w:t>
      </w:r>
      <w:r>
        <w:t xml:space="preserve"> </w:t>
      </w:r>
      <w:r>
        <w:rPr>
          <w:i/>
        </w:rPr>
        <w:t xml:space="preserve">dpy-22(bx93)</w:t>
      </w:r>
      <w:r>
        <w:t xml:space="preserve"> </w:t>
      </w:r>
      <w:r>
        <w:t xml:space="preserve">homozygote.</w:t>
      </w:r>
      <w:r>
        <w:t xml:space="preserve"> </w:t>
      </w:r>
      <w:r>
        <w:t xml:space="preserve">Thus, the</w:t>
      </w:r>
      <w:r>
        <w:t xml:space="preserve"> </w:t>
      </w:r>
      <w:r>
        <w:rPr>
          <w:i/>
        </w:rPr>
        <w:t xml:space="preserve">dpy-22(sy622)</w:t>
      </w:r>
      <w:r>
        <w:t xml:space="preserve"> </w:t>
      </w:r>
      <w:r>
        <w:t xml:space="preserve">allele is a more pleiotropic mutation than the</w:t>
      </w:r>
      <w:r>
        <w:t xml:space="preserve"> </w:t>
      </w:r>
      <w:r>
        <w:rPr>
          <w:i/>
        </w:rPr>
        <w:t xml:space="preserve">dpy-22(bx93)</w:t>
      </w:r>
      <w:r>
        <w:t xml:space="preserve"> </w:t>
      </w:r>
      <w:r>
        <w:t xml:space="preserve">allele. To</w:t>
      </w:r>
      <w:r>
        <w:t xml:space="preserve"> </w:t>
      </w:r>
      <w:r>
        <w:t xml:space="preserve">assess which allele has more volume, Since the homozygotes of each allele only</w:t>
      </w:r>
      <w:r>
        <w:t xml:space="preserve"> </w:t>
      </w:r>
      <w:r>
        <w:t xml:space="preserve">share a single phenotypic class in common, we need only assess volume along</w:t>
      </w:r>
      <w:r>
        <w:t xml:space="preserve"> </w:t>
      </w:r>
      <w:r>
        <w:t xml:space="preserve">this single phenotype. To calculate a volume coefficient, for genes in the</w:t>
      </w:r>
      <w:r>
        <w:t xml:space="preserve"> </w:t>
      </w:r>
      <w:r>
        <w:rPr>
          <w:i/>
        </w:rPr>
        <w:t xml:space="preserve">dpy-22(bx93)</w:t>
      </w:r>
      <w:r>
        <w:t xml:space="preserve">-associated phenotypic class, we plotted the</w:t>
      </w:r>
      <w:r>
        <w:t xml:space="preserve"> </w:t>
      </w:r>
      <m:oMath>
        <m:r>
          <m:t>β</m:t>
        </m:r>
      </m:oMath>
      <w:r>
        <w:t xml:space="preserve"> </w:t>
      </w:r>
      <w:r>
        <w:t xml:space="preserve">coefficients from the</w:t>
      </w:r>
      <w:r>
        <w:t xml:space="preserve"> </w:t>
      </w:r>
      <w:r>
        <w:rPr>
          <w:i/>
        </w:rPr>
        <w:t xml:space="preserve">dpy-22(sy622)</w:t>
      </w:r>
      <w:r>
        <w:t xml:space="preserve"> </w:t>
      </w:r>
      <w:r>
        <w:t xml:space="preserve">homozygote against the</w:t>
      </w:r>
      <w:r>
        <w:t xml:space="preserve"> </w:t>
      </w:r>
      <m:oMath>
        <m:r>
          <m:t>β</m:t>
        </m:r>
      </m:oMath>
      <w:r>
        <w:t xml:space="preserve"> </w:t>
      </w:r>
      <w:r>
        <w:t xml:space="preserve">coefficients from the</w:t>
      </w:r>
      <w:r>
        <w:t xml:space="preserve"> </w:t>
      </w:r>
      <w:r>
        <w:rPr>
          <w:i/>
        </w:rPr>
        <w:t xml:space="preserve">dpy-22(bx93)</w:t>
      </w:r>
      <w:r>
        <w:t xml:space="preserve"> </w:t>
      </w:r>
      <w:r>
        <w:t xml:space="preserve">homozygote (see</w:t>
      </w:r>
      <w:r>
        <w:t xml:space="preserve"> </w:t>
      </w:r>
      <w:r>
        <w:t xml:space="preserve">Fig. [fig:stp]) and performed a linear regression to find the slope of this</w:t>
      </w:r>
      <w:r>
        <w:t xml:space="preserve"> </w:t>
      </w:r>
      <w:r>
        <w:t xml:space="preserve">line. Using this method, we found that the</w:t>
      </w:r>
      <w:r>
        <w:t xml:space="preserve"> </w:t>
      </w:r>
      <w:r>
        <w:rPr>
          <w:i/>
        </w:rPr>
        <w:t xml:space="preserve">dpy-22(bx93)</w:t>
      </w:r>
      <w:r>
        <w:t xml:space="preserve"> </w:t>
      </w:r>
      <w:r>
        <w:t xml:space="preserve">homozygote has a volume that</w:t>
      </w:r>
      <w:r>
        <w:t xml:space="preserve"> </w:t>
      </w:r>
      <w:r>
        <w:t xml:space="preserve">is 60% of the</w:t>
      </w:r>
      <w:r>
        <w:t xml:space="preserve"> </w:t>
      </w:r>
      <w:r>
        <w:rPr>
          <w:i/>
        </w:rPr>
        <w:t xml:space="preserve">dpy-22(sy622)</w:t>
      </w:r>
      <w:r>
        <w:t xml:space="preserve"> </w:t>
      </w:r>
      <w:r>
        <w:t xml:space="preserve">homozygote. Taken together, these results suggest that the</w:t>
      </w:r>
      <w:r>
        <w:t xml:space="preserve"> </w:t>
      </w:r>
      <w:r>
        <w:rPr>
          <w:i/>
        </w:rPr>
        <w:t xml:space="preserve">dpy-22(sy622)</w:t>
      </w:r>
      <w:r>
        <w:t xml:space="preserve"> </w:t>
      </w:r>
      <w:r>
        <w:t xml:space="preserve">allele represents a more severe alteration-of-function mutation than the</w:t>
      </w:r>
      <w:r>
        <w:t xml:space="preserve"> </w:t>
      </w:r>
      <w:r>
        <w:t xml:space="preserve">mutation within the</w:t>
      </w:r>
      <w:r>
        <w:t xml:space="preserve"> </w:t>
      </w:r>
      <w:r>
        <w:rPr>
          <w:i/>
        </w:rPr>
        <w:t xml:space="preserve">dpy-22(bx93)</w:t>
      </w:r>
      <w:r>
        <w:t xml:space="preserve"> </w:t>
      </w:r>
      <w:r>
        <w:t xml:space="preserve">allele. Moreover, within their shared phenotype, the</w:t>
      </w:r>
      <w:r>
        <w:t xml:space="preserve"> </w:t>
      </w:r>
      <w:r>
        <w:rPr>
          <w:i/>
        </w:rPr>
        <w:t xml:space="preserve">dpy-22(bx93)</w:t>
      </w:r>
      <w:r>
        <w:t xml:space="preserve"> </w:t>
      </w:r>
      <w:r>
        <w:t xml:space="preserve">allele encodes functionality that is more similar to wild-type than the</w:t>
      </w:r>
      <w:r>
        <w:t xml:space="preserve"> </w:t>
      </w:r>
      <w:r>
        <w:t xml:space="preserve">functionality encoded in the</w:t>
      </w:r>
      <w:r>
        <w:t xml:space="preserve"> </w:t>
      </w:r>
      <w:r>
        <w:rPr>
          <w:i/>
        </w:rPr>
        <w:t xml:space="preserve">dpy-22(sy622)</w:t>
      </w:r>
      <w:r>
        <w:t xml:space="preserve"> </w:t>
      </w:r>
      <w:r>
        <w:t xml:space="preserve">allele.</w:t>
      </w:r>
    </w:p>
    <w:p>
      <w:pPr>
        <w:pStyle w:val="FigureWithCaption"/>
      </w:pPr>
      <w:r>
        <w:drawing>
          <wp:inline>
            <wp:extent cx="3810000" cy="2540000"/>
            <wp:effectExtent b="0" l="0" r="0" t="0"/>
            <wp:docPr descr=" Shared Transcriptomic Phenotypes amongst the dpy-22 genotypes are regulated in the same direction. For each pairwise comparison, we found those transcripts that were commonly differentially expressed in both genotypes relative to the wild-type control and plotted the \beta coefficients for each. We performed a linear regression on each plot to find the line of best fit (broken blue line). Only the comparison between dpy-22(sy622) and dpy-22(bx93) homozygotes was used to establish that the volume of the dpy-22(sy622) allele is greater than the volume of the dpy-22(bx93) allele. The other comparisons are shown for completeness. " title="" id="1" name="Picture"/>
            <a:graphic>
              <a:graphicData uri="http://schemas.openxmlformats.org/drawingml/2006/picture">
                <pic:pic>
                  <pic:nvPicPr>
                    <pic:cNvPr descr="../../figs/dpy22-stps.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Shared Transcriptomic Phenotypes amongst the</w:t>
      </w:r>
      <w:r>
        <w:t xml:space="preserve"> </w:t>
      </w:r>
      <w:r>
        <w:rPr>
          <w:i/>
        </w:rPr>
        <w:t xml:space="preserve">dpy-22</w:t>
      </w:r>
      <w:r>
        <w:t xml:space="preserve"> </w:t>
      </w:r>
      <w:r>
        <w:t xml:space="preserve">genotypes are</w:t>
      </w:r>
      <w:r>
        <w:t xml:space="preserve"> </w:t>
      </w:r>
      <w:r>
        <w:t xml:space="preserve">regulated in the same direction. For each pairwise comparison, we</w:t>
      </w:r>
      <w:r>
        <w:t xml:space="preserve"> </w:t>
      </w:r>
      <w:r>
        <w:t xml:space="preserve">found those transcripts that were commonly differentially expressed</w:t>
      </w:r>
      <w:r>
        <w:t xml:space="preserve"> </w:t>
      </w:r>
      <w:r>
        <w:t xml:space="preserve">in both genotypes relative to the wild-type control and plotted the</w:t>
      </w:r>
      <w:r>
        <w:t xml:space="preserve"> </w:t>
      </w:r>
      <m:oMath>
        <m:r>
          <m:t>β</m:t>
        </m:r>
      </m:oMath>
      <w:r>
        <w:t xml:space="preserve"> </w:t>
      </w:r>
      <w:r>
        <w:t xml:space="preserve">coefficients for each. We performed a linear regression on</w:t>
      </w:r>
      <w:r>
        <w:t xml:space="preserve"> </w:t>
      </w:r>
      <w:r>
        <w:t xml:space="preserve">each plot to find the line of best fit (broken blue line). Only the</w:t>
      </w:r>
      <w:r>
        <w:t xml:space="preserve"> </w:t>
      </w:r>
      <w:r>
        <w:t xml:space="preserve">comparison between</w:t>
      </w:r>
      <w:r>
        <w:t xml:space="preserve"> </w:t>
      </w:r>
      <w:r>
        <w:rPr>
          <w:i/>
        </w:rPr>
        <w:t xml:space="preserve">dpy-22(sy622)</w:t>
      </w:r>
      <w:r>
        <w:t xml:space="preserve"> </w:t>
      </w:r>
      <w:r>
        <w:t xml:space="preserve">and</w:t>
      </w:r>
      <w:r>
        <w:t xml:space="preserve"> </w:t>
      </w:r>
      <w:r>
        <w:rPr>
          <w:i/>
        </w:rPr>
        <w:t xml:space="preserve">dpy-22(bx93)</w:t>
      </w:r>
      <w:r>
        <w:t xml:space="preserve"> </w:t>
      </w:r>
      <w:r>
        <w:t xml:space="preserve">homozygotes was used to establish</w:t>
      </w:r>
      <w:r>
        <w:t xml:space="preserve"> </w:t>
      </w:r>
      <w:r>
        <w:t xml:space="preserve">that the volume of the</w:t>
      </w:r>
      <w:r>
        <w:t xml:space="preserve"> </w:t>
      </w:r>
      <w:r>
        <w:rPr>
          <w:i/>
        </w:rPr>
        <w:t xml:space="preserve">dpy-22(sy622)</w:t>
      </w:r>
      <w:r>
        <w:t xml:space="preserve"> </w:t>
      </w:r>
      <w:r>
        <w:t xml:space="preserve">allele is greater than the volume of</w:t>
      </w:r>
      <w:r>
        <w:t xml:space="preserve"> </w:t>
      </w:r>
      <w:r>
        <w:t xml:space="preserve">the</w:t>
      </w:r>
      <w:r>
        <w:t xml:space="preserve"> </w:t>
      </w:r>
      <w:r>
        <w:rPr>
          <w:i/>
        </w:rPr>
        <w:t xml:space="preserve">dpy-22(bx93)</w:t>
      </w:r>
      <w:r>
        <w:t xml:space="preserve"> </w:t>
      </w:r>
      <w:r>
        <w:t xml:space="preserve">allele. The other comparisons are shown for completeness.</w:t>
      </w:r>
      <w:r>
        <w:t xml:space="preserve"> </w:t>
      </w:r>
    </w:p>
    <w:p>
      <w:pPr>
        <w:pStyle w:val="Heading2"/>
      </w:pPr>
      <w:bookmarkStart w:id="36" w:name="dominance-hierarchy-of-a-dpy-22-allelic-series"/>
      <w:bookmarkEnd w:id="36"/>
      <w:r>
        <w:t xml:space="preserve">Dominance hierarchy of a</w:t>
      </w:r>
      <w:r>
        <w:t xml:space="preserve"> </w:t>
      </w:r>
      <w:r>
        <w:rPr>
          <w:i/>
        </w:rPr>
        <w:t xml:space="preserve">dpy-22</w:t>
      </w:r>
      <w:r>
        <w:t xml:space="preserve"> </w:t>
      </w:r>
      <w:r>
        <w:t xml:space="preserve">allelic series</w:t>
      </w:r>
    </w:p>
    <w:p>
      <w:pPr>
        <w:pStyle w:val="FirstParagraph"/>
      </w:pPr>
      <w:r>
        <w:t xml:space="preserve">We measured allelic dominance for each class using a dominance coefficient</w:t>
      </w:r>
      <w:r>
        <w:t xml:space="preserve"> </w:t>
      </w:r>
      <w:r>
        <w:t xml:space="preserve">(see ). The dominance coefficient is a measure of the</w:t>
      </w:r>
      <w:r>
        <w:t xml:space="preserve"> </w:t>
      </w:r>
      <w:r>
        <w:t xml:space="preserve">contribution of each allele to the total expression level in</w:t>
      </w:r>
      <w:r>
        <w:t xml:space="preserve"> </w:t>
      </w:r>
      <w:r>
        <w:rPr>
          <w:i/>
        </w:rPr>
        <w:t xml:space="preserve">trans</w:t>
      </w:r>
      <w:r>
        <w:t xml:space="preserve">-heterozygotes. By definition, the</w:t>
      </w:r>
      <w:r>
        <w:t xml:space="preserve"> </w:t>
      </w:r>
      <w:r>
        <w:rPr>
          <w:i/>
        </w:rPr>
        <w:t xml:space="preserve">dpy-22(sy622)</w:t>
      </w:r>
      <w:r>
        <w:t xml:space="preserve"> </w:t>
      </w:r>
      <w:r>
        <w:t xml:space="preserve">allele is completely</w:t>
      </w:r>
      <w:r>
        <w:t xml:space="preserve"> </w:t>
      </w:r>
      <w:r>
        <w:t xml:space="preserve">recessive to</w:t>
      </w:r>
      <w:r>
        <w:t xml:space="preserve"> </w:t>
      </w:r>
      <w:r>
        <w:rPr>
          <w:i/>
        </w:rPr>
        <w:t xml:space="preserve">dpy-22(bx93)</w:t>
      </w:r>
      <w:r>
        <w:t xml:space="preserve"> </w:t>
      </w:r>
      <w:r>
        <w:t xml:space="preserve">for the</w:t>
      </w:r>
      <w:r>
        <w:t xml:space="preserve"> </w:t>
      </w:r>
      <w:r>
        <w:rPr>
          <w:i/>
        </w:rPr>
        <w:t xml:space="preserve">dpy-22(sy622)</w:t>
      </w:r>
      <w:r>
        <w:t xml:space="preserve">-specific phenotypic class. To determine the</w:t>
      </w:r>
      <w:r>
        <w:t xml:space="preserve"> </w:t>
      </w:r>
      <w:r>
        <w:t xml:space="preserve">dominance coefficient for the other phenotypic classes, we first selected the</w:t>
      </w:r>
      <w:r>
        <w:t xml:space="preserve"> </w:t>
      </w:r>
      <w:r>
        <w:t xml:space="preserve">transcripts within those classes, and asked what linear combination of the</w:t>
      </w:r>
      <w:r>
        <w:t xml:space="preserve"> </w:t>
      </w:r>
      <w:r>
        <w:t xml:space="preserve">homozygotic</w:t>
      </w:r>
      <w:r>
        <w:t xml:space="preserve"> </w:t>
      </w:r>
      <m:oMath>
        <m:r>
          <m:t>β</m:t>
        </m:r>
      </m:oMath>
      <w:r>
        <w:t xml:space="preserve"> </w:t>
      </w:r>
      <w:r>
        <w:t xml:space="preserve">coefficients best approximated the</w:t>
      </w:r>
      <w:r>
        <w:t xml:space="preserve"> </w:t>
      </w:r>
      <m:oMath>
        <m:r>
          <m:t>β</m:t>
        </m:r>
      </m:oMath>
      <w:r>
        <w:t xml:space="preserve"> </w:t>
      </w:r>
      <w:r>
        <w:t xml:space="preserve">coefficients of</w:t>
      </w:r>
      <w:r>
        <w:t xml:space="preserve"> </w:t>
      </w:r>
      <w:r>
        <w:t xml:space="preserve">the</w:t>
      </w:r>
      <w:r>
        <w:t xml:space="preserve"> </w:t>
      </w:r>
      <w:r>
        <w:rPr>
          <w:i/>
        </w:rPr>
        <w:t xml:space="preserve">trans</w:t>
      </w:r>
      <w:r>
        <w:t xml:space="preserve">-heterozygote, subject to the constraint that the sum of the</w:t>
      </w:r>
      <w:r>
        <w:t xml:space="preserve"> </w:t>
      </w:r>
      <w:r>
        <w:t xml:space="preserve">weights for the two homozygotes should be equal to unity. We solved this problem</w:t>
      </w:r>
      <w:r>
        <w:t xml:space="preserve"> </w:t>
      </w:r>
      <w:r>
        <w:t xml:space="preserve">by finding the maximum likelihood estimate for these weights. Using this method,</w:t>
      </w:r>
      <w:r>
        <w:t xml:space="preserve"> </w:t>
      </w:r>
      <w:r>
        <w:t xml:space="preserve">we found that the</w:t>
      </w:r>
      <w:r>
        <w:t xml:space="preserve"> </w:t>
      </w:r>
      <w:r>
        <w:rPr>
          <w:i/>
        </w:rPr>
        <w:t xml:space="preserve">dpy-22(sy622)</w:t>
      </w:r>
      <w:r>
        <w:t xml:space="preserve"> </w:t>
      </w:r>
      <w:r>
        <w:t xml:space="preserve">and</w:t>
      </w:r>
      <w:r>
        <w:t xml:space="preserve"> </w:t>
      </w:r>
      <w:r>
        <w:rPr>
          <w:i/>
        </w:rPr>
        <w:t xml:space="preserve">dpy-22(bx93)</w:t>
      </w:r>
      <w:r>
        <w:t xml:space="preserve"> </w:t>
      </w:r>
      <w:r>
        <w:t xml:space="preserve">alleles are semidominant (</w:t>
      </w:r>
      <m:oMath>
        <m:sSub>
          <m:e>
            <m:r>
              <m:t>d</m:t>
            </m:r>
          </m:e>
          <m:sub>
            <m:r>
              <m:t>b</m:t>
            </m:r>
            <m:r>
              <m:t>x</m:t>
            </m:r>
            <m:r>
              <m:t>93</m:t>
            </m:r>
          </m:sub>
        </m:sSub>
        <m:r>
          <m:t>=</m:t>
        </m:r>
        <m:r>
          <m:t>0.48</m:t>
        </m:r>
      </m:oMath>
      <w:r>
        <w:t xml:space="preserve">)</w:t>
      </w:r>
      <w:r>
        <w:t xml:space="preserve"> </w:t>
      </w:r>
      <w:r>
        <w:t xml:space="preserve">to each other for the</w:t>
      </w:r>
      <w:r>
        <w:t xml:space="preserve"> </w:t>
      </w:r>
      <w:r>
        <w:rPr>
          <w:i/>
        </w:rPr>
        <w:t xml:space="preserve">dpy-22(sy622)</w:t>
      </w:r>
      <w:r>
        <w:t xml:space="preserve">-associated phenotypic class. The</w:t>
      </w:r>
      <w:r>
        <w:t xml:space="preserve"> </w:t>
      </w:r>
      <w:r>
        <w:rPr>
          <w:i/>
        </w:rPr>
        <w:t xml:space="preserve">dpy-22(bx93)</w:t>
      </w:r>
      <w:r>
        <w:t xml:space="preserve"> </w:t>
      </w:r>
      <w:r>
        <w:t xml:space="preserve">allele is</w:t>
      </w:r>
      <w:r>
        <w:t xml:space="preserve"> </w:t>
      </w:r>
      <w:r>
        <w:t xml:space="preserve">largely dominant over the</w:t>
      </w:r>
      <w:r>
        <w:t xml:space="preserve"> </w:t>
      </w:r>
      <w:r>
        <w:rPr>
          <w:i/>
        </w:rPr>
        <w:t xml:space="preserve">dpy-22(sy622)</w:t>
      </w:r>
      <w:r>
        <w:t xml:space="preserve"> </w:t>
      </w:r>
      <w:r>
        <w:t xml:space="preserve">allele (</w:t>
      </w:r>
      <m:oMath>
        <m:sSub>
          <m:e>
            <m:r>
              <m:t>d</m:t>
            </m:r>
          </m:e>
          <m:sub>
            <m:r>
              <m:t>b</m:t>
            </m:r>
            <m:r>
              <m:t>x</m:t>
            </m:r>
            <m:r>
              <m:t>93</m:t>
            </m:r>
          </m:sub>
        </m:sSub>
        <m:r>
          <m:t>=</m:t>
        </m:r>
        <m:r>
          <m:t>0.82</m:t>
        </m:r>
      </m:oMath>
      <w:r>
        <w:t xml:space="preserve">; see</w:t>
      </w:r>
      <w:r>
        <w:t xml:space="preserve"> </w:t>
      </w:r>
      <w:r>
        <w:t xml:space="preserve">Table [tab:dom]) for the</w:t>
      </w:r>
      <w:r>
        <w:t xml:space="preserve"> </w:t>
      </w:r>
      <w:r>
        <w:rPr>
          <w:i/>
        </w:rPr>
        <w:t xml:space="preserve">dpy-22(bx93)</w:t>
      </w:r>
      <w:r>
        <w:t xml:space="preserve">-associated phenotypic class.</w:t>
      </w:r>
    </w:p>
    <w:p>
      <w:pPr>
        <w:pStyle w:val="TableCaption"/>
      </w:pPr>
      <w:r>
        <w:t xml:space="preserve"> </w:t>
      </w:r>
      <w:r>
        <w:t xml:space="preserve">Dominance analysis for the</w:t>
      </w:r>
      <w:r>
        <w:t xml:space="preserve"> </w:t>
      </w:r>
      <w:r>
        <w:rPr>
          <w:i/>
        </w:rPr>
        <w:t xml:space="preserve">dpy-22/MDT12</w:t>
      </w:r>
      <w:r>
        <w:t xml:space="preserve"> </w:t>
      </w:r>
      <w:r>
        <w:t xml:space="preserve">allelic series. Dominance</w:t>
      </w:r>
      <w:r>
        <w:t xml:space="preserve"> </w:t>
      </w:r>
      <w:r>
        <w:t xml:space="preserve">values closer to 1 indicate</w:t>
      </w:r>
      <w:r>
        <w:t xml:space="preserve"> </w:t>
      </w:r>
      <w:r>
        <w:rPr>
          <w:i/>
        </w:rPr>
        <w:t xml:space="preserve">dpy-22(bx93)</w:t>
      </w:r>
      <w:r>
        <w:t xml:space="preserve"> </w:t>
      </w:r>
      <w:r>
        <w:t xml:space="preserve">is dominant over</w:t>
      </w:r>
      <w:r>
        <w:t xml:space="preserve"> </w:t>
      </w:r>
      <w:r>
        <w:rPr>
          <w:i/>
        </w:rPr>
        <w:t xml:space="preserve">dpy-22(sy622)</w:t>
      </w:r>
      <w:r>
        <w:t xml:space="preserve">, whereas 0</w:t>
      </w:r>
      <w:r>
        <w:t xml:space="preserve"> </w:t>
      </w:r>
      <w:r>
        <w:t xml:space="preserve">indicates</w:t>
      </w:r>
      <w:r>
        <w:t xml:space="preserve"> </w:t>
      </w:r>
      <w:r>
        <w:rPr>
          <w:i/>
        </w:rPr>
        <w:t xml:space="preserve">dpy-22(sy622)</w:t>
      </w:r>
      <w:r>
        <w:t xml:space="preserve"> </w:t>
      </w:r>
      <w:r>
        <w:t xml:space="preserve">is dominant over</w:t>
      </w:r>
      <w:r>
        <w:t xml:space="preserve"> </w:t>
      </w:r>
      <w:r>
        <w:rPr>
          <w:i/>
        </w:rPr>
        <w:t xml:space="preserve">dpy-22(bx93)</w:t>
      </w:r>
      <w:r>
        <w:t xml:space="preserve">.</w:t>
      </w:r>
      <w:r>
        <w:t xml:space="preserve"> </w:t>
      </w:r>
    </w:p>
    <w:tbl>
      <w:tblPr>
        <w:tblStyle w:val="TableNormal"/>
        <w:tblW w:type="pct" w:w="0.0"/>
        <w:tblLook w:firstRow="1"/>
        <w:tblCaption w:val=" Dominance analysis for the dpy-22/MDT12 allelic series. Dominance values closer to 1 indicate dpy-22(bx93) is dominant over dpy-22(sy622), whereas 0 indicates dpy-22(sy622) is dominant over dpy-22(bx93). "/>
      </w:tblPr>
      <w:tblGrid/>
      <w:tr>
        <w:trPr>
          <w:cnfStyle w:firstRow="1"/>
        </w:trPr>
        <w:tc>
          <w:tcPr>
            <w:tcBorders>
              <w:bottom w:val="single"/>
            </w:tcBorders>
            <w:vAlign w:val="bottom"/>
          </w:tcPr>
          <w:p>
            <w:pPr>
              <w:pStyle w:val="Compact"/>
              <w:jc w:val="left"/>
            </w:pPr>
            <w:r>
              <w:t xml:space="preserve">Phenotypic Class</w:t>
            </w:r>
          </w:p>
        </w:tc>
        <w:tc>
          <w:tcPr>
            <w:tcBorders>
              <w:bottom w:val="single"/>
            </w:tcBorders>
            <w:vAlign w:val="bottom"/>
          </w:tcPr>
          <w:p>
            <w:pPr>
              <w:pStyle w:val="Compact"/>
              <w:jc w:val="center"/>
            </w:pPr>
            <w:r>
              <w:t xml:space="preserve">Dominance</w:t>
            </w:r>
          </w:p>
        </w:tc>
      </w:tr>
      <w:tr>
        <w:tc>
          <w:p>
            <w:pPr>
              <w:pStyle w:val="Compact"/>
              <w:jc w:val="left"/>
            </w:pPr>
            <w:r>
              <w:rPr>
                <w:i/>
              </w:rPr>
              <w:t xml:space="preserve">dpy-22(sy622)</w:t>
            </w:r>
            <w:r>
              <w:t xml:space="preserve">-specific</w:t>
            </w:r>
          </w:p>
        </w:tc>
        <w:tc>
          <w:p>
            <w:pPr>
              <w:pStyle w:val="Compact"/>
              <w:jc w:val="center"/>
            </w:pPr>
            <m:oMath>
              <m:r>
                <m:t>1.00</m:t>
              </m:r>
              <m:r>
                <m:t>±</m:t>
              </m:r>
              <m:r>
                <m:t>0.00</m:t>
              </m:r>
            </m:oMath>
          </w:p>
        </w:tc>
      </w:tr>
      <w:tr>
        <w:tc>
          <w:p>
            <w:pPr>
              <w:pStyle w:val="Compact"/>
              <w:jc w:val="left"/>
            </w:pPr>
            <w:r>
              <w:rPr>
                <w:i/>
              </w:rPr>
              <w:t xml:space="preserve">dpy-22(sy622)</w:t>
            </w:r>
            <w:r>
              <w:t xml:space="preserve">-associated</w:t>
            </w:r>
          </w:p>
        </w:tc>
        <w:tc>
          <w:p>
            <w:pPr>
              <w:pStyle w:val="Compact"/>
              <w:jc w:val="center"/>
            </w:pPr>
            <m:oMath>
              <m:r>
                <m:t>0.48</m:t>
              </m:r>
              <m:r>
                <m:t>±</m:t>
              </m:r>
              <m:r>
                <m:t>0.01</m:t>
              </m:r>
            </m:oMath>
          </w:p>
        </w:tc>
      </w:tr>
      <w:tr>
        <w:tc>
          <w:p>
            <w:pPr>
              <w:pStyle w:val="Compact"/>
              <w:jc w:val="left"/>
            </w:pPr>
            <w:r>
              <w:rPr>
                <w:i/>
              </w:rPr>
              <w:t xml:space="preserve">dpy-22(bx93)</w:t>
            </w:r>
            <w:r>
              <w:t xml:space="preserve">-associated</w:t>
            </w:r>
          </w:p>
        </w:tc>
        <w:tc>
          <w:p>
            <w:pPr>
              <w:pStyle w:val="Compact"/>
              <w:jc w:val="center"/>
            </w:pPr>
            <m:oMath>
              <m:r>
                <m:t>0.82</m:t>
              </m:r>
              <m:r>
                <m:t>±</m:t>
              </m:r>
              <m:r>
                <m:t>0.01</m:t>
              </m:r>
            </m:oMath>
          </w:p>
        </w:tc>
      </w:tr>
    </w:tbl>
    <w:p>
      <w:pPr>
        <w:pStyle w:val="Heading1"/>
      </w:pPr>
      <w:bookmarkStart w:id="37" w:name="phenotypic-classes-reflect-morphological-phenotypes"/>
      <w:bookmarkEnd w:id="37"/>
      <w:r>
        <w:t xml:space="preserve">Phenotypic classes reflect morphological phenotypes</w:t>
      </w:r>
    </w:p>
    <w:p>
      <w:pPr>
        <w:pStyle w:val="FirstParagraph"/>
      </w:pPr>
      <w:r>
        <w:t xml:space="preserve">Having identified a set of phenotypic classes, we wanted to know whether</w:t>
      </w:r>
      <w:r>
        <w:t xml:space="preserve"> </w:t>
      </w:r>
      <w:r>
        <w:t xml:space="preserve">enrichment analysis of anatomical, phenotypic or gene ontology terms revealed</w:t>
      </w:r>
      <w:r>
        <w:t xml:space="preserve"> </w:t>
      </w:r>
      <w:r>
        <w:t xml:space="preserve">relevant physiological aspects underlying our data. To this end, we used the</w:t>
      </w:r>
      <w:r>
        <w:t xml:space="preserve"> </w:t>
      </w:r>
      <w:r>
        <w:t xml:space="preserve">WormBase Enrichment Suite </w:t>
      </w:r>
      <w:r>
        <w:rPr>
          <w:vertAlign w:val="superscript"/>
        </w:rPr>
        <w:t xml:space="preserve">24</w:t>
      </w:r>
      <w:r>
        <w:t xml:space="preserve"> </w:t>
      </w:r>
      <w:r>
        <w:t xml:space="preserve">to perform enrichment</w:t>
      </w:r>
      <w:r>
        <w:t xml:space="preserve"> </w:t>
      </w:r>
      <w:r>
        <w:t xml:space="preserve">analysis of each group.</w:t>
      </w:r>
    </w:p>
    <w:p>
      <w:pPr>
        <w:pStyle w:val="BodyText"/>
      </w:pPr>
      <w:r>
        <w:t xml:space="preserve">We found that the</w:t>
      </w:r>
      <w:r>
        <w:t xml:space="preserve"> </w:t>
      </w:r>
      <w:r>
        <w:rPr>
          <w:i/>
        </w:rPr>
        <w:t xml:space="preserve">dpy-22(bx93)</w:t>
      </w:r>
      <w:r>
        <w:t xml:space="preserve">-associated phenotypic class was enriched in genes</w:t>
      </w:r>
      <w:r>
        <w:t xml:space="preserve"> </w:t>
      </w:r>
      <w:r>
        <w:t xml:space="preserve">involved in</w:t>
      </w:r>
      <w:r>
        <w:t xml:space="preserve"> </w:t>
      </w:r>
      <w:r>
        <w:t xml:space="preserve">‘</w:t>
      </w:r>
      <w:r>
        <w:t xml:space="preserve">immune system processes</w:t>
      </w:r>
      <w:r>
        <w:t xml:space="preserve">’</w:t>
      </w:r>
      <w:r>
        <w:t xml:space="preserve"> </w:t>
      </w:r>
      <w:r>
        <w:t xml:space="preserve">(</w:t>
      </w:r>
      <m:oMath>
        <m:r>
          <m:t>q</m:t>
        </m:r>
        <m:r>
          <m:t>&lt;</m:t>
        </m:r>
        <m:sSup>
          <m:e>
            <m:r>
              <m:t>10</m:t>
            </m:r>
          </m:e>
          <m:sup>
            <m:r>
              <m:t>−</m:t>
            </m:r>
            <m:r>
              <m:t>5</m:t>
            </m:r>
          </m:sup>
        </m:sSup>
      </m:oMath>
      <w:r>
        <w:t xml:space="preserve">), and was enriched in genes</w:t>
      </w:r>
      <w:r>
        <w:t xml:space="preserve"> </w:t>
      </w:r>
      <w:r>
        <w:t xml:space="preserve">that are expressed in the</w:t>
      </w:r>
      <w:r>
        <w:t xml:space="preserve"> </w:t>
      </w:r>
      <w:r>
        <w:t xml:space="preserve">‘</w:t>
      </w:r>
      <w:r>
        <w:t xml:space="preserve">intestine</w:t>
      </w:r>
      <w:r>
        <w:t xml:space="preserve">’</w:t>
      </w:r>
      <w:r>
        <w:t xml:space="preserve"> </w:t>
      </w:r>
      <w:r>
        <w:t xml:space="preserve">(</w:t>
      </w:r>
      <m:oMath>
        <m:r>
          <m:t>q</m:t>
        </m:r>
        <m:r>
          <m:t>&lt;</m:t>
        </m:r>
        <m:sSup>
          <m:e>
            <m:r>
              <m:t>10</m:t>
            </m:r>
          </m:e>
          <m:sup>
            <m:r>
              <m:t>−</m:t>
            </m:r>
            <m:r>
              <m:t>4</m:t>
            </m:r>
          </m:sup>
        </m:sSup>
      </m:oMath>
      <w:r>
        <w:t xml:space="preserve">). The</w:t>
      </w:r>
      <w:r>
        <w:t xml:space="preserve"> </w:t>
      </w:r>
      <w:r>
        <w:rPr>
          <w:i/>
        </w:rPr>
        <w:t xml:space="preserve">dpy-22(sy622)</w:t>
      </w:r>
      <w:r>
        <w:t xml:space="preserve">-associated class on</w:t>
      </w:r>
      <w:r>
        <w:t xml:space="preserve"> </w:t>
      </w:r>
      <w:r>
        <w:t xml:space="preserve">the other hand was enriched in genes expressed in the</w:t>
      </w:r>
      <w:r>
        <w:t xml:space="preserve"> </w:t>
      </w:r>
      <w:r>
        <w:t xml:space="preserve">‘</w:t>
      </w:r>
      <w:r>
        <w:t xml:space="preserve">cephalic sheath cell</w:t>
      </w:r>
      <w:r>
        <w:t xml:space="preserve">’</w:t>
      </w:r>
      <w:r>
        <w:t xml:space="preserve"> </w:t>
      </w:r>
      <w:r>
        <w:t xml:space="preserve">(</w:t>
      </w:r>
      <m:oMath>
        <m:r>
          <m:t>q</m:t>
        </m:r>
        <m:r>
          <m:t>&lt;</m:t>
        </m:r>
        <m:sSup>
          <m:e>
            <m:r>
              <m:t>10</m:t>
            </m:r>
          </m:e>
          <m:sup>
            <m:r>
              <m:t>−</m:t>
            </m:r>
            <m:r>
              <m:t>4</m:t>
            </m:r>
          </m:sup>
        </m:sSup>
      </m:oMath>
      <w:r>
        <w:t xml:space="preserve">). Using the Gene Ontology Enrichment Analysis, we found that the</w:t>
      </w:r>
      <w:r>
        <w:t xml:space="preserve"> </w:t>
      </w:r>
      <w:r>
        <w:rPr>
          <w:i/>
        </w:rPr>
        <w:t xml:space="preserve">dpy-22(sy622)</w:t>
      </w:r>
      <w:r>
        <w:t xml:space="preserve">-associated class is enriched in histones and histone-like proteins</w:t>
      </w:r>
      <w:r>
        <w:t xml:space="preserve"> </w:t>
      </w:r>
      <w:r>
        <w:t xml:space="preserve">(</w:t>
      </w:r>
      <w:r>
        <w:t xml:space="preserve">‘</w:t>
      </w:r>
      <w:r>
        <w:t xml:space="preserve">DNA packaging complex</w:t>
      </w:r>
      <w:r>
        <w:t xml:space="preserve">’</w:t>
      </w:r>
      <w:r>
        <w:t xml:space="preserve"> </w:t>
      </w:r>
      <m:oMath>
        <m:r>
          <m:t>q</m:t>
        </m:r>
        <m:r>
          <m:t>&lt;</m:t>
        </m:r>
        <m:sSup>
          <m:e>
            <m:r>
              <m:t>10</m:t>
            </m:r>
          </m:e>
          <m:sup>
            <m:r>
              <m:t>−</m:t>
            </m:r>
            <m:r>
              <m:t>3</m:t>
            </m:r>
          </m:sup>
        </m:sSup>
      </m:oMath>
      <w:r>
        <w:t xml:space="preserve">) as well as genes involed in</w:t>
      </w:r>
      <w:r>
        <w:t xml:space="preserve"> </w:t>
      </w:r>
      <w:r>
        <w:t xml:space="preserve">‘</w:t>
      </w:r>
      <w:r>
        <w:t xml:space="preserve">immune system</w:t>
      </w:r>
      <w:r>
        <w:t xml:space="preserve"> </w:t>
      </w:r>
      <w:r>
        <w:t xml:space="preserve">processes</w:t>
      </w:r>
      <w:r>
        <w:t xml:space="preserve">’</w:t>
      </w:r>
      <w:r>
        <w:t xml:space="preserve"> </w:t>
      </w:r>
      <w:r>
        <w:t xml:space="preserve">(</w:t>
      </w:r>
      <m:oMath>
        <m:r>
          <m:t>q</m:t>
        </m:r>
        <m:r>
          <m:t>&lt;</m:t>
        </m:r>
        <m:sSup>
          <m:e>
            <m:r>
              <m:t>10</m:t>
            </m:r>
          </m:e>
          <m:sup>
            <m:r>
              <m:t>−</m:t>
            </m:r>
            <m:r>
              <m:t>5</m:t>
            </m:r>
          </m:sup>
        </m:sSup>
      </m:oMath>
      <w:r>
        <w:t xml:space="preserve">). The</w:t>
      </w:r>
      <w:r>
        <w:t xml:space="preserve"> </w:t>
      </w:r>
      <w:r>
        <w:rPr>
          <w:i/>
        </w:rPr>
        <w:t xml:space="preserve">dpy-22(sy622)</w:t>
      </w:r>
      <w:r>
        <w:t xml:space="preserve">-specific class was</w:t>
      </w:r>
      <w:r>
        <w:t xml:space="preserve"> </w:t>
      </w:r>
      <w:r>
        <w:t xml:space="preserve">enriched in genes that have expression in the</w:t>
      </w:r>
      <w:r>
        <w:t xml:space="preserve"> </w:t>
      </w:r>
      <w:r>
        <w:t xml:space="preserve">‘</w:t>
      </w:r>
      <w:r>
        <w:t xml:space="preserve">intestine</w:t>
      </w:r>
      <w:r>
        <w:t xml:space="preserve">’</w:t>
      </w:r>
      <w:r>
        <w:t xml:space="preserve"> </w:t>
      </w:r>
      <w:r>
        <w:t xml:space="preserve">(</w:t>
      </w:r>
      <m:oMath>
        <m:r>
          <m:t>q</m:t>
        </m:r>
        <m:r>
          <m:t>&lt;</m:t>
        </m:r>
        <m:sSup>
          <m:e>
            <m:r>
              <m:t>10</m:t>
            </m:r>
          </m:e>
          <m:sup>
            <m:r>
              <m:t>−</m:t>
            </m:r>
            <m:r>
              <m:t>7</m:t>
            </m:r>
          </m:sup>
        </m:sSup>
      </m:oMath>
      <w:r>
        <w:t xml:space="preserve">),</w:t>
      </w:r>
      <w:r>
        <w:t xml:space="preserve"> </w:t>
      </w:r>
      <w:r>
        <w:t xml:space="preserve">‘</w:t>
      </w:r>
      <w:r>
        <w:t xml:space="preserve">muscular</w:t>
      </w:r>
      <w:r>
        <w:t xml:space="preserve"> </w:t>
      </w:r>
      <w:r>
        <w:t xml:space="preserve">system</w:t>
      </w:r>
      <w:r>
        <w:t xml:space="preserve">’</w:t>
      </w:r>
      <w:r>
        <w:t xml:space="preserve"> </w:t>
      </w:r>
      <w:r>
        <w:t xml:space="preserve">(</w:t>
      </w:r>
      <m:oMath>
        <m:r>
          <m:t>q</m:t>
        </m:r>
        <m:r>
          <m:t>&lt;</m:t>
        </m:r>
        <m:sSup>
          <m:e>
            <m:r>
              <m:t>10</m:t>
            </m:r>
          </m:e>
          <m:sup>
            <m:r>
              <m:t>−</m:t>
            </m:r>
            <m:r>
              <m:t>3</m:t>
            </m:r>
          </m:sup>
        </m:sSup>
      </m:oMath>
      <w:r>
        <w:t xml:space="preserve">) and</w:t>
      </w:r>
      <w:r>
        <w:t xml:space="preserve"> </w:t>
      </w:r>
      <w:r>
        <w:t xml:space="preserve">‘</w:t>
      </w:r>
      <w:r>
        <w:t xml:space="preserve">epithelial system</w:t>
      </w:r>
      <w:r>
        <w:t xml:space="preserve">’</w:t>
      </w:r>
      <w:r>
        <w:t xml:space="preserve"> </w:t>
      </w:r>
      <w:r>
        <w:t xml:space="preserve">(</w:t>
      </w:r>
      <m:oMath>
        <m:r>
          <m:t>q</m:t>
        </m:r>
        <m:r>
          <m:t>&lt;</m:t>
        </m:r>
        <m:sSup>
          <m:e>
            <m:r>
              <m:t>10</m:t>
            </m:r>
          </m:e>
          <m:sup>
            <m:r>
              <m:t>−</m:t>
            </m:r>
            <m:r>
              <m:t>2</m:t>
            </m:r>
          </m:sup>
        </m:sSup>
      </m:oMath>
      <w:r>
        <w:t xml:space="preserve">). The genes in this class</w:t>
      </w:r>
      <w:r>
        <w:t xml:space="preserve"> </w:t>
      </w:r>
      <w:r>
        <w:t xml:space="preserve">are known to cause bacterial lawn avoidance when knocked down or knocked out</w:t>
      </w:r>
      <w:r>
        <w:t xml:space="preserve"> </w:t>
      </w:r>
      <w:r>
        <w:t xml:space="preserve">(</w:t>
      </w:r>
      <m:oMath>
        <m:r>
          <m:t>q</m:t>
        </m:r>
        <m:r>
          <m:t>&lt;</m:t>
        </m:r>
        <m:sSup>
          <m:e>
            <m:r>
              <m:t>10</m:t>
            </m:r>
          </m:e>
          <m:sup>
            <m:r>
              <m:t>−</m:t>
            </m:r>
            <m:r>
              <m:t>2</m:t>
            </m:r>
          </m:sup>
        </m:sSup>
      </m:oMath>
      <w:r>
        <w:t xml:space="preserve">). Finally, GO enrichment showed that the</w:t>
      </w:r>
      <w:r>
        <w:t xml:space="preserve"> </w:t>
      </w:r>
      <w:r>
        <w:rPr>
          <w:i/>
        </w:rPr>
        <w:t xml:space="preserve">dpy-22(sy622)</w:t>
      </w:r>
      <w:r>
        <w:t xml:space="preserve">-specific class is</w:t>
      </w:r>
      <w:r>
        <w:t xml:space="preserve"> </w:t>
      </w:r>
      <w:r>
        <w:t xml:space="preserve">specifically enriched in</w:t>
      </w:r>
      <w:r>
        <w:t xml:space="preserve"> </w:t>
      </w:r>
      <w:r>
        <w:t xml:space="preserve">‘</w:t>
      </w:r>
      <w:r>
        <w:t xml:space="preserve">structural constituents of cuticle</w:t>
      </w:r>
      <w:r>
        <w:t xml:space="preserve">’</w:t>
      </w:r>
      <w:r>
        <w:t xml:space="preserve"> </w:t>
      </w:r>
      <w:r>
        <w:t xml:space="preserve">(</w:t>
      </w:r>
      <m:oMath>
        <m:r>
          <m:t>q</m:t>
        </m:r>
        <m:r>
          <m:t>&lt;</m:t>
        </m:r>
        <m:sSup>
          <m:e>
            <m:r>
              <m:t>10</m:t>
            </m:r>
          </m:e>
          <m:sup>
            <m:r>
              <m:t>−</m:t>
            </m:r>
            <m:r>
              <m:t>12</m:t>
            </m:r>
          </m:sup>
        </m:sSup>
      </m:oMath>
      <w:r>
        <w:t xml:space="preserve">),</w:t>
      </w:r>
      <w:r>
        <w:t xml:space="preserve"> </w:t>
      </w:r>
      <w:r>
        <w:t xml:space="preserve">namely</w:t>
      </w:r>
      <w:r>
        <w:t xml:space="preserve"> </w:t>
      </w:r>
      <w:r>
        <w:t xml:space="preserve">‘</w:t>
      </w:r>
      <w:r>
        <w:t xml:space="preserve">collagen trimers</w:t>
      </w:r>
      <w:r>
        <w:t xml:space="preserve">’</w:t>
      </w:r>
      <w:r>
        <w:t xml:space="preserve"> </w:t>
      </w:r>
      <w:r>
        <w:t xml:space="preserve">(</w:t>
      </w:r>
      <m:oMath>
        <m:r>
          <m:t>q</m:t>
        </m:r>
        <m:r>
          <m:t>&lt;</m:t>
        </m:r>
        <m:sSup>
          <m:e>
            <m:r>
              <m:t>10</m:t>
            </m:r>
          </m:e>
          <m:sup>
            <m:r>
              <m:t>−</m:t>
            </m:r>
            <m:r>
              <m:t>12</m:t>
            </m:r>
          </m:sup>
        </m:sSup>
      </m:oMath>
      <w:r>
        <w:t xml:space="preserve">) and in genes involved in respiration</w:t>
      </w:r>
      <w:r>
        <w:t xml:space="preserve"> </w:t>
      </w:r>
      <w:r>
        <w:t xml:space="preserve">(</w:t>
      </w:r>
      <m:oMath>
        <m:r>
          <m:t>q</m:t>
        </m:r>
        <m:r>
          <m:t>&lt;</m:t>
        </m:r>
        <m:sSup>
          <m:e>
            <m:r>
              <m:t>10</m:t>
            </m:r>
          </m:e>
          <m:sup>
            <m:r>
              <m:t>−</m:t>
            </m:r>
            <m:r>
              <m:t>6</m:t>
            </m:r>
          </m:sup>
        </m:sSup>
      </m:oMath>
      <w:r>
        <w:t xml:space="preserve">). This last result recapitulates the fact that</w:t>
      </w:r>
      <w:r>
        <w:t xml:space="preserve"> </w:t>
      </w:r>
      <w:r>
        <w:rPr>
          <w:i/>
        </w:rPr>
        <w:t xml:space="preserve">dpy-22(sy622)</w:t>
      </w:r>
      <w:r>
        <w:t xml:space="preserve"> </w:t>
      </w:r>
      <w:r>
        <w:t xml:space="preserve">homozygotes show</w:t>
      </w:r>
      <w:r>
        <w:t xml:space="preserve"> </w:t>
      </w:r>
      <w:r>
        <w:t xml:space="preserve">a severe Dumpy phenotype. The</w:t>
      </w:r>
      <w:r>
        <w:t xml:space="preserve"> </w:t>
      </w:r>
      <w:r>
        <w:rPr>
          <w:i/>
        </w:rPr>
        <w:t xml:space="preserve">trans</w:t>
      </w:r>
      <w:r>
        <w:t xml:space="preserve">-heterozygote specific class was</w:t>
      </w:r>
      <w:r>
        <w:t xml:space="preserve"> </w:t>
      </w:r>
      <w:r>
        <w:t xml:space="preserve">enriched in genes expressed in</w:t>
      </w:r>
      <w:r>
        <w:t xml:space="preserve"> </w:t>
      </w:r>
      <w:r>
        <w:t xml:space="preserve">‘</w:t>
      </w:r>
      <w:r>
        <w:t xml:space="preserve">male</w:t>
      </w:r>
      <w:r>
        <w:t xml:space="preserve">’</w:t>
      </w:r>
      <w:r>
        <w:t xml:space="preserve"> </w:t>
      </w:r>
      <w:r>
        <w:t xml:space="preserve">animals (</w:t>
      </w:r>
      <m:oMath>
        <m:r>
          <m:t>q</m:t>
        </m:r>
        <m:r>
          <m:t>&lt;</m:t>
        </m:r>
        <m:sSup>
          <m:e>
            <m:r>
              <m:t>10</m:t>
            </m:r>
          </m:e>
          <m:sup>
            <m:r>
              <m:t>−</m:t>
            </m:r>
            <m:r>
              <m:t>63</m:t>
            </m:r>
          </m:sup>
        </m:sSup>
      </m:oMath>
      <w:r>
        <w:t xml:space="preserve">) and genes expressed in</w:t>
      </w:r>
      <w:r>
        <w:t xml:space="preserve"> </w:t>
      </w:r>
      <w:r>
        <w:t xml:space="preserve">the</w:t>
      </w:r>
      <w:r>
        <w:t xml:space="preserve"> </w:t>
      </w:r>
      <w:r>
        <w:t xml:space="preserve">‘</w:t>
      </w:r>
      <w:r>
        <w:t xml:space="preserve">reproductive system</w:t>
      </w:r>
      <w:r>
        <w:t xml:space="preserve">’</w:t>
      </w:r>
      <w:r>
        <w:t xml:space="preserve"> </w:t>
      </w:r>
      <w:r>
        <w:t xml:space="preserve">(</w:t>
      </w:r>
      <m:oMath>
        <m:r>
          <m:t>q</m:t>
        </m:r>
        <m:r>
          <m:t>&lt;</m:t>
        </m:r>
        <m:sSup>
          <m:e>
            <m:r>
              <m:t>10</m:t>
            </m:r>
          </m:e>
          <m:sup>
            <m:r>
              <m:t>−</m:t>
            </m:r>
            <m:r>
              <m:t>21</m:t>
            </m:r>
          </m:sup>
        </m:sSup>
      </m:oMath>
      <w:r>
        <w:t xml:space="preserve">). GO enrichment of genes in the</w:t>
      </w:r>
      <w:r>
        <w:t xml:space="preserve"> </w:t>
      </w:r>
      <w:r>
        <w:rPr>
          <w:i/>
        </w:rPr>
        <w:t xml:space="preserve">trans</w:t>
      </w:r>
      <w:r>
        <w:t xml:space="preserve">-heterozygote specific class showed enrichment of the genes involved</w:t>
      </w:r>
      <w:r>
        <w:t xml:space="preserve"> </w:t>
      </w:r>
      <w:r>
        <w:t xml:space="preserve">in the</w:t>
      </w:r>
      <w:r>
        <w:t xml:space="preserve"> </w:t>
      </w:r>
      <w:r>
        <w:t xml:space="preserve">‘</w:t>
      </w:r>
      <w:r>
        <w:t xml:space="preserve">regulation of cell shape</w:t>
      </w:r>
      <w:r>
        <w:t xml:space="preserve">’</w:t>
      </w:r>
      <w:r>
        <w:t xml:space="preserve"> </w:t>
      </w:r>
      <w:r>
        <w:t xml:space="preserve">(</w:t>
      </w:r>
      <m:oMath>
        <m:r>
          <m:t>q</m:t>
        </m:r>
        <m:r>
          <m:t>&lt;</m:t>
        </m:r>
        <m:sSup>
          <m:e>
            <m:r>
              <m:t>10</m:t>
            </m:r>
          </m:e>
          <m:sup>
            <m:r>
              <m:t>−</m:t>
            </m:r>
            <m:r>
              <m:t>6</m:t>
            </m:r>
          </m:sup>
        </m:sSup>
      </m:oMath>
      <w:r>
        <w:t xml:space="preserve">) and in a variety of terms involving</w:t>
      </w:r>
      <w:r>
        <w:t xml:space="preserve"> </w:t>
      </w:r>
      <w:r>
        <w:t xml:space="preserve">phosphate metabolism, such as</w:t>
      </w:r>
      <w:r>
        <w:t xml:space="preserve"> </w:t>
      </w:r>
      <w:r>
        <w:t xml:space="preserve">‘</w:t>
      </w:r>
      <w:r>
        <w:t xml:space="preserve">nucleoside phosphate binding</w:t>
      </w:r>
      <w:r>
        <w:t xml:space="preserve">’</w:t>
      </w:r>
      <w:r>
        <w:t xml:space="preserve"> </w:t>
      </w:r>
      <w:r>
        <w:t xml:space="preserve">(</w:t>
      </w:r>
      <m:oMath>
        <m:r>
          <m:t>q</m:t>
        </m:r>
        <m:r>
          <m:t>&lt;</m:t>
        </m:r>
        <m:sSup>
          <m:e>
            <m:r>
              <m:t>10</m:t>
            </m:r>
          </m:e>
          <m:sup>
            <m:r>
              <m:t>−</m:t>
            </m:r>
            <m:r>
              <m:t>5</m:t>
            </m:r>
          </m:sup>
        </m:sSup>
      </m:oMath>
      <w:r>
        <w:t xml:space="preserve">),</w:t>
      </w:r>
      <w:r>
        <w:t xml:space="preserve"> </w:t>
      </w:r>
      <w:r>
        <w:t xml:space="preserve">‘</w:t>
      </w:r>
      <w:r>
        <w:t xml:space="preserve">dephosphorylation</w:t>
      </w:r>
      <w:r>
        <w:t xml:space="preserve">’</w:t>
      </w:r>
      <w:r>
        <w:t xml:space="preserve"> </w:t>
      </w:r>
      <w:r>
        <w:t xml:space="preserve">(</w:t>
      </w:r>
      <m:oMath>
        <m:r>
          <m:t>q</m:t>
        </m:r>
        <m:r>
          <m:t>&lt;</m:t>
        </m:r>
        <m:sSup>
          <m:e>
            <m:r>
              <m:t>10</m:t>
            </m:r>
          </m:e>
          <m:sup>
            <m:r>
              <m:t>−</m:t>
            </m:r>
            <m:r>
              <m:t>3</m:t>
            </m:r>
          </m:sup>
        </m:sSup>
      </m:oMath>
      <w:r>
        <w:t xml:space="preserve">) or</w:t>
      </w:r>
      <w:r>
        <w:t xml:space="preserve"> </w:t>
      </w:r>
      <w:r>
        <w:t xml:space="preserve">‘</w:t>
      </w:r>
      <w:r>
        <w:t xml:space="preserve">phosphorylation</w:t>
      </w:r>
      <w:r>
        <w:t xml:space="preserve">’</w:t>
      </w:r>
      <w:r>
        <w:t xml:space="preserve"> </w:t>
      </w:r>
      <w:r>
        <w:t xml:space="preserve">(</w:t>
      </w:r>
      <m:oMath>
        <m:r>
          <m:t>q</m:t>
        </m:r>
        <m:r>
          <m:t>&lt;</m:t>
        </m:r>
        <m:sSup>
          <m:e>
            <m:r>
              <m:t>10</m:t>
            </m:r>
          </m:e>
          <m:sup>
            <m:r>
              <m:t>−</m:t>
            </m:r>
            <m:r>
              <m:t>2</m:t>
            </m:r>
          </m:sup>
        </m:sSup>
      </m:oMath>
      <w:r>
        <w:t xml:space="preserve">), suggesting that</w:t>
      </w:r>
      <w:r>
        <w:t xml:space="preserve"> </w:t>
      </w:r>
      <w:r>
        <w:t xml:space="preserve">this class may be enriched in genes involved in signal transduction though the</w:t>
      </w:r>
      <w:r>
        <w:t xml:space="preserve"> </w:t>
      </w:r>
      <w:r>
        <w:t xml:space="preserve">reason for this enrichment remains unclear. The</w:t>
      </w:r>
      <w:r>
        <w:t xml:space="preserve"> </w:t>
      </w:r>
      <w:r>
        <w:rPr>
          <w:i/>
        </w:rPr>
        <w:t xml:space="preserve">dpy-22(bx93)</w:t>
      </w:r>
      <w:r>
        <w:t xml:space="preserve">-specific class did not</w:t>
      </w:r>
      <w:r>
        <w:t xml:space="preserve"> </w:t>
      </w:r>
      <w:r>
        <w:t xml:space="preserve">show enrichment on any test, consistent with our interpretation that this class</w:t>
      </w:r>
      <w:r>
        <w:t xml:space="preserve"> </w:t>
      </w:r>
      <w:r>
        <w:t xml:space="preserve">is the result of random false positive hits.</w:t>
      </w:r>
    </w:p>
    <w:p>
      <w:pPr>
        <w:pStyle w:val="Heading1"/>
      </w:pPr>
      <w:bookmarkStart w:id="38" w:name="predicted-interactions-of-mediator-with-wnt-and-ras-pathways-in-c.elegans"/>
      <w:bookmarkEnd w:id="38"/>
      <w:r>
        <w:t xml:space="preserve">Predicted interactions of Mediator with Wnt and Ras pathways in</w:t>
      </w:r>
      <w:r>
        <w:t xml:space="preserve"> </w:t>
      </w:r>
      <w:r>
        <w:rPr>
          <w:i/>
        </w:rPr>
        <w:t xml:space="preserve">C. elegans</w:t>
      </w:r>
    </w:p>
    <w:p>
      <w:pPr>
        <w:pStyle w:val="FirstParagraph"/>
      </w:pPr>
      <w:r>
        <w:t xml:space="preserve">Previous work in</w:t>
      </w:r>
      <w:r>
        <w:t xml:space="preserve"> </w:t>
      </w:r>
      <w:r>
        <w:rPr>
          <w:i/>
        </w:rPr>
        <w:t xml:space="preserve">C. elegans</w:t>
      </w:r>
      <w:r>
        <w:t xml:space="preserve"> </w:t>
      </w:r>
      <w:r>
        <w:rPr>
          <w:vertAlign w:val="superscript"/>
        </w:rPr>
        <w:t xml:space="preserve">11,12</w:t>
      </w:r>
      <w:r>
        <w:t xml:space="preserve"> </w:t>
      </w:r>
      <w:r>
        <w:t xml:space="preserve">has implicated</w:t>
      </w:r>
      <w:r>
        <w:t xml:space="preserve"> </w:t>
      </w:r>
      <w:r>
        <w:rPr>
          <w:i/>
        </w:rPr>
        <w:t xml:space="preserve">dpy-22</w:t>
      </w:r>
      <w:r>
        <w:t xml:space="preserve"> </w:t>
      </w:r>
      <w:r>
        <w:t xml:space="preserve">as an</w:t>
      </w:r>
      <w:r>
        <w:t xml:space="preserve"> </w:t>
      </w:r>
      <w:r>
        <w:t xml:space="preserve">inhibitor of the Wnt and Ras pathways during the formation of the vulva and the</w:t>
      </w:r>
      <w:r>
        <w:t xml:space="preserve"> </w:t>
      </w:r>
      <w:r>
        <w:t xml:space="preserve">male tail. We obtained expression profiles for</w:t>
      </w:r>
      <w:r>
        <w:t xml:space="preserve"> </w:t>
      </w:r>
      <w:r>
        <w:rPr>
          <w:i/>
        </w:rPr>
        <w:t xml:space="preserve">bar-1(ga80)</w:t>
      </w:r>
      <w:r>
        <w:t xml:space="preserve"> </w:t>
      </w:r>
      <w:r>
        <w:t xml:space="preserve">mutants as</w:t>
      </w:r>
      <w:r>
        <w:t xml:space="preserve"> </w:t>
      </w:r>
      <w:r>
        <w:t xml:space="preserve">well as loss-of-function and gain-of-function Ras mutants,</w:t>
      </w:r>
      <w:r>
        <w:t xml:space="preserve"> </w:t>
      </w:r>
      <w:r>
        <w:rPr>
          <w:i/>
        </w:rPr>
        <w:t xml:space="preserve">let-60(n2021)</w:t>
      </w:r>
      <w:r>
        <w:t xml:space="preserve"> </w:t>
      </w:r>
      <w:r>
        <w:t xml:space="preserve">and</w:t>
      </w:r>
      <w:r>
        <w:t xml:space="preserve"> </w:t>
      </w:r>
      <w:r>
        <w:rPr>
          <w:i/>
        </w:rPr>
        <w:t xml:space="preserve">let-60(n1046gf)</w:t>
      </w:r>
      <w:r>
        <w:t xml:space="preserve"> </w:t>
      </w:r>
      <w:r>
        <w:t xml:space="preserve">respectively. We predicted that the</w:t>
      </w:r>
      <w:r>
        <w:t xml:space="preserve"> </w:t>
      </w:r>
      <w:r>
        <w:rPr>
          <w:i/>
        </w:rPr>
        <w:t xml:space="preserve">dpy-22(sy622)</w:t>
      </w:r>
      <w:r>
        <w:t xml:space="preserve">-specific</w:t>
      </w:r>
      <w:r>
        <w:t xml:space="preserve"> </w:t>
      </w:r>
      <w:r>
        <w:t xml:space="preserve">phenotypic class would exhibit the most significant overlap (assessed by a</w:t>
      </w:r>
      <w:r>
        <w:t xml:space="preserve"> </w:t>
      </w:r>
      <w:r>
        <w:t xml:space="preserve">hypergeometric enrichment test) with differentially expressed genes in</w:t>
      </w:r>
      <w:r>
        <w:t xml:space="preserve"> </w:t>
      </w:r>
      <w:r>
        <w:rPr>
          <w:i/>
        </w:rPr>
        <w:t xml:space="preserve">let-60(n1046gf)</w:t>
      </w:r>
      <w:r>
        <w:t xml:space="preserve"> </w:t>
      </w:r>
      <w:r>
        <w:t xml:space="preserve">mutants, whereas the</w:t>
      </w:r>
      <w:r>
        <w:t xml:space="preserve"> </w:t>
      </w:r>
      <w:r>
        <w:rPr>
          <w:i/>
        </w:rPr>
        <w:t xml:space="preserve">dpy-22(bx93)</w:t>
      </w:r>
      <w:r>
        <w:t xml:space="preserve">-specific phenotypic class would</w:t>
      </w:r>
      <w:r>
        <w:t xml:space="preserve"> </w:t>
      </w:r>
      <w:r>
        <w:t xml:space="preserve">exhibit the most significant overlap with</w:t>
      </w:r>
      <w:r>
        <w:t xml:space="preserve"> </w:t>
      </w:r>
      <w:r>
        <w:rPr>
          <w:i/>
        </w:rPr>
        <w:t xml:space="preserve">bar-1(ga80)</w:t>
      </w:r>
      <w:r>
        <w:t xml:space="preserve"> </w:t>
      </w:r>
      <w:r>
        <w:t xml:space="preserve">mutants.</w:t>
      </w:r>
    </w:p>
    <w:p>
      <w:pPr>
        <w:pStyle w:val="BodyText"/>
      </w:pPr>
      <w:r>
        <w:t xml:space="preserve">There was no significant overlap between any of the mutants we tested and the</w:t>
      </w:r>
      <w:r>
        <w:t xml:space="preserve"> </w:t>
      </w:r>
      <w:r>
        <w:t xml:space="preserve">genes in the</w:t>
      </w:r>
      <w:r>
        <w:t xml:space="preserve"> </w:t>
      </w:r>
      <w:r>
        <w:rPr>
          <w:i/>
        </w:rPr>
        <w:t xml:space="preserve">dpy-22(bx93)</w:t>
      </w:r>
      <w:r>
        <w:t xml:space="preserve">-specific class, consistent with our interpretation of this</w:t>
      </w:r>
      <w:r>
        <w:t xml:space="preserve"> </w:t>
      </w:r>
      <w:r>
        <w:t xml:space="preserve">class as the result of random false positives (see Fig. [fig:wnt_stps]). All</w:t>
      </w:r>
      <w:r>
        <w:t xml:space="preserve"> </w:t>
      </w:r>
      <w:r>
        <w:t xml:space="preserve">other classes showed significant enrichment with genes perturbed in</w:t>
      </w:r>
      <w:r>
        <w:t xml:space="preserve"> </w:t>
      </w:r>
      <w:r>
        <w:rPr>
          <w:i/>
        </w:rPr>
        <w:t xml:space="preserve">bar-1(ga80)</w:t>
      </w:r>
      <w:r>
        <w:t xml:space="preserve">. Similarly,</w:t>
      </w:r>
      <w:r>
        <w:t xml:space="preserve"> </w:t>
      </w:r>
      <w:r>
        <w:rPr>
          <w:i/>
        </w:rPr>
        <w:t xml:space="preserve">let-60(n2021)</w:t>
      </w:r>
      <w:r>
        <w:t xml:space="preserve"> </w:t>
      </w:r>
      <w:r>
        <w:t xml:space="preserve">showed enrichment in all</w:t>
      </w:r>
      <w:r>
        <w:t xml:space="preserve"> </w:t>
      </w:r>
      <w:r>
        <w:t xml:space="preserve">real phenotypic classes, with the exception of the</w:t>
      </w:r>
      <w:r>
        <w:t xml:space="preserve"> </w:t>
      </w:r>
      <w:r>
        <w:rPr>
          <w:i/>
        </w:rPr>
        <w:t xml:space="preserve">trans</w:t>
      </w:r>
      <w:r>
        <w:t xml:space="preserve">-heterozygote</w:t>
      </w:r>
      <w:r>
        <w:t xml:space="preserve"> </w:t>
      </w:r>
      <w:r>
        <w:t xml:space="preserve">specific class. Contrary to our hypotheses, differentially expressed genes in</w:t>
      </w:r>
      <w:r>
        <w:t xml:space="preserve"> </w:t>
      </w:r>
      <w:r>
        <w:rPr>
          <w:i/>
        </w:rPr>
        <w:t xml:space="preserve">let-60(n1046gf)</w:t>
      </w:r>
      <w:r>
        <w:t xml:space="preserve"> </w:t>
      </w:r>
      <w:r>
        <w:t xml:space="preserve">did not show significant overlap with the</w:t>
      </w:r>
      <w:r>
        <w:t xml:space="preserve"> </w:t>
      </w:r>
      <w:r>
        <w:rPr>
          <w:i/>
        </w:rPr>
        <w:t xml:space="preserve">dpy-22(sy622)</w:t>
      </w:r>
      <w:r>
        <w:t xml:space="preserve">-specific</w:t>
      </w:r>
      <w:r>
        <w:t xml:space="preserve"> </w:t>
      </w:r>
      <w:r>
        <w:t xml:space="preserve">phenotype, but they did show significant overlap with all remaining real</w:t>
      </w:r>
      <w:r>
        <w:t xml:space="preserve"> </w:t>
      </w:r>
      <w:r>
        <w:t xml:space="preserve">phenotypic classes.</w:t>
      </w:r>
    </w:p>
    <w:p>
      <w:pPr>
        <w:pStyle w:val="FigureWithCaption"/>
      </w:pPr>
      <w:r>
        <w:drawing>
          <wp:inline>
            <wp:extent cx="3810000" cy="2540000"/>
            <wp:effectExtent b="0" l="0" r="0" t="0"/>
            <wp:docPr descr=" We tested whether the overlap between the differentially expressed genes in bar-1(ga80), let-60(n1046gf) or let-60(n20201) and the dpy-22 phenotypic classes was statistically significant using a hypergeometric enrichment test. Since the hypergeometric enrichment test is very sensitive to deviations from random, and since we suspect that there may be a broad genotoxic response to all mutants, we used a statistical significance threshold of p &lt; 10^{-10} (dashed black line). " title="" id="1" name="Picture"/>
            <a:graphic>
              <a:graphicData uri="http://schemas.openxmlformats.org/drawingml/2006/picture">
                <pic:pic>
                  <pic:nvPicPr>
                    <pic:cNvPr descr="../../figs/stp_pval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We tested whether the overlap between the differentially expressed</w:t>
      </w:r>
      <w:r>
        <w:t xml:space="preserve"> </w:t>
      </w:r>
      <w:r>
        <w:t xml:space="preserve">genes in</w:t>
      </w:r>
      <w:r>
        <w:t xml:space="preserve"> </w:t>
      </w:r>
      <w:r>
        <w:rPr>
          <w:i/>
        </w:rPr>
        <w:t xml:space="preserve">bar-1(ga80)</w:t>
      </w:r>
      <w:r>
        <w:t xml:space="preserve">,</w:t>
      </w:r>
      <w:r>
        <w:t xml:space="preserve"> </w:t>
      </w:r>
      <w:r>
        <w:rPr>
          <w:i/>
        </w:rPr>
        <w:t xml:space="preserve">let-60(n1046gf)</w:t>
      </w:r>
      <w:r>
        <w:t xml:space="preserve"> </w:t>
      </w:r>
      <w:r>
        <w:t xml:space="preserve">or</w:t>
      </w:r>
      <w:r>
        <w:t xml:space="preserve"> </w:t>
      </w:r>
      <w:r>
        <w:rPr>
          <w:i/>
        </w:rPr>
        <w:t xml:space="preserve">let-60(n20201)</w:t>
      </w:r>
      <w:r>
        <w:t xml:space="preserve"> </w:t>
      </w:r>
      <w:r>
        <w:t xml:space="preserve">and the</w:t>
      </w:r>
      <w:r>
        <w:t xml:space="preserve"> </w:t>
      </w:r>
      <w:r>
        <w:rPr>
          <w:i/>
        </w:rPr>
        <w:t xml:space="preserve">dpy-22</w:t>
      </w:r>
      <w:r>
        <w:t xml:space="preserve"> </w:t>
      </w:r>
      <w:r>
        <w:t xml:space="preserve">phenotypic classes was</w:t>
      </w:r>
      <w:r>
        <w:t xml:space="preserve"> </w:t>
      </w:r>
      <w:r>
        <w:t xml:space="preserve">statistically significant using a hypergeometric enrichment test.</w:t>
      </w:r>
      <w:r>
        <w:t xml:space="preserve"> </w:t>
      </w:r>
      <w:r>
        <w:t xml:space="preserve">Since the hypergeometric enrichment test is very sensitive to</w:t>
      </w:r>
      <w:r>
        <w:t xml:space="preserve"> </w:t>
      </w:r>
      <w:r>
        <w:t xml:space="preserve">deviations from random, and since we suspect that there may be a broad</w:t>
      </w:r>
      <w:r>
        <w:t xml:space="preserve"> </w:t>
      </w:r>
      <w:r>
        <w:t xml:space="preserve">genotoxic response to all mutants, we used a statistical significance</w:t>
      </w:r>
      <w:r>
        <w:t xml:space="preserve"> </w:t>
      </w:r>
      <w:r>
        <w:t xml:space="preserve">threshold of</w:t>
      </w:r>
      <w:r>
        <w:t xml:space="preserve"> </w:t>
      </w:r>
      <m:oMath>
        <m:r>
          <m:t>p</m:t>
        </m:r>
        <m:r>
          <m:t>&lt;</m:t>
        </m:r>
        <m:sSup>
          <m:e>
            <m:r>
              <m:t>10</m:t>
            </m:r>
          </m:e>
          <m:sup>
            <m:r>
              <m:t>−</m:t>
            </m:r>
            <m:r>
              <m:t>10</m:t>
            </m:r>
          </m:sup>
        </m:sSup>
      </m:oMath>
      <w:r>
        <w:t xml:space="preserve"> </w:t>
      </w:r>
      <w:r>
        <w:t xml:space="preserve">(dashed black line).</w:t>
      </w:r>
      <w:r>
        <w:t xml:space="preserve"> </w:t>
      </w:r>
    </w:p>
    <w:p>
      <w:pPr>
        <w:pStyle w:val="Heading1"/>
      </w:pPr>
      <w:bookmarkStart w:id="40" w:name="sec:conclusions"/>
      <w:bookmarkEnd w:id="40"/>
      <w:r>
        <w:t xml:space="preserve">Discussion</w:t>
      </w:r>
    </w:p>
    <w:p>
      <w:pPr>
        <w:pStyle w:val="Heading2"/>
      </w:pPr>
      <w:bookmarkStart w:id="41" w:name="phenotypic-classes-and-their-sequence-requirements"/>
      <w:bookmarkEnd w:id="41"/>
      <w:r>
        <w:t xml:space="preserve">Phenotypic classes and their sequence requirements</w:t>
      </w:r>
    </w:p>
    <w:p>
      <w:pPr>
        <w:pStyle w:val="FirstParagraph"/>
      </w:pPr>
      <w:r>
        <w:t xml:space="preserve">Because the mutations we used are truncations, our results suggest the existence</w:t>
      </w:r>
      <w:r>
        <w:t xml:space="preserve"> </w:t>
      </w:r>
      <w:r>
        <w:t xml:space="preserve">of various functional regions in</w:t>
      </w:r>
      <w:r>
        <w:t xml:space="preserve"> </w:t>
      </w:r>
      <w:r>
        <w:rPr>
          <w:i/>
        </w:rPr>
        <w:t xml:space="preserve">dpy-22/MDT12</w:t>
      </w:r>
      <w:r>
        <w:t xml:space="preserve"> </w:t>
      </w:r>
      <w:r>
        <w:t xml:space="preserve">(see Fig. [fig:domains]).</w:t>
      </w:r>
      <w:r>
        <w:t xml:space="preserve"> </w:t>
      </w:r>
      <w:r>
        <w:t xml:space="preserve">These functional regions could encode protein domains with biochemical activity,</w:t>
      </w:r>
      <w:r>
        <w:t xml:space="preserve"> </w:t>
      </w:r>
      <w:r>
        <w:t xml:space="preserve">or they could encode biochemically active amino acid motifs, such as nuclear</w:t>
      </w:r>
      <w:r>
        <w:t xml:space="preserve"> </w:t>
      </w:r>
      <w:r>
        <w:t xml:space="preserve">localization sequences or protein binding sites. The</w:t>
      </w:r>
      <w:r>
        <w:t xml:space="preserve"> </w:t>
      </w:r>
      <w:r>
        <w:rPr>
          <w:i/>
        </w:rPr>
        <w:t xml:space="preserve">dpy-22(sy622)</w:t>
      </w:r>
      <w:r>
        <w:t xml:space="preserve">-specific phenotypic</w:t>
      </w:r>
      <w:r>
        <w:t xml:space="preserve"> </w:t>
      </w:r>
      <w:r>
        <w:t xml:space="preserve">class is likely controlled by a single functional region, functional region 1</w:t>
      </w:r>
      <w:r>
        <w:t xml:space="preserve"> </w:t>
      </w:r>
      <w:r>
        <w:t xml:space="preserve">(FR1). Sequence necessary for wild-type FR1 functionality is encoded between</w:t>
      </w:r>
      <w:r>
        <w:t xml:space="preserve"> </w:t>
      </w:r>
      <w:r>
        <w:t xml:space="preserve">amino acid positions 0 and 2,549. The</w:t>
      </w:r>
      <w:r>
        <w:t xml:space="preserve"> </w:t>
      </w:r>
      <w:r>
        <w:rPr>
          <w:i/>
        </w:rPr>
        <w:t xml:space="preserve">dpy-22(sy622)</w:t>
      </w:r>
      <w:r>
        <w:t xml:space="preserve">-associated phenotypic class is</w:t>
      </w:r>
      <w:r>
        <w:t xml:space="preserve"> </w:t>
      </w:r>
      <w:r>
        <w:t xml:space="preserve">likely controlled by a second functional region, functional region 2 (FR2), and</w:t>
      </w:r>
      <w:r>
        <w:t xml:space="preserve"> </w:t>
      </w:r>
      <w:r>
        <w:t xml:space="preserve">some necessary sequences for wild-type function are encoded between</w:t>
      </w:r>
      <w:r>
        <w:t xml:space="preserve"> </w:t>
      </w:r>
      <w:r>
        <w:t xml:space="preserve">amino acid positions 1,698 and 2,549. It is unlikely that FR1 and FR2 are</w:t>
      </w:r>
      <w:r>
        <w:t xml:space="preserve"> </w:t>
      </w:r>
      <w:r>
        <w:t xml:space="preserve">identical because their dominance behaviors are very different. The</w:t>
      </w:r>
      <w:r>
        <w:t xml:space="preserve"> </w:t>
      </w:r>
      <w:r>
        <w:rPr>
          <w:i/>
        </w:rPr>
        <w:t xml:space="preserve">dpy-22(bx93)</w:t>
      </w:r>
      <w:r>
        <w:t xml:space="preserve"> </w:t>
      </w:r>
      <w:r>
        <w:t xml:space="preserve">allele</w:t>
      </w:r>
      <w:r>
        <w:t xml:space="preserve"> </w:t>
      </w:r>
      <w:r>
        <w:t xml:space="preserve">was largely dominant over the</w:t>
      </w:r>
      <w:r>
        <w:t xml:space="preserve"> </w:t>
      </w:r>
      <w:r>
        <w:rPr>
          <w:i/>
        </w:rPr>
        <w:t xml:space="preserve">dpy-22(sy622)</w:t>
      </w:r>
      <w:r>
        <w:t xml:space="preserve"> </w:t>
      </w:r>
      <w:r>
        <w:t xml:space="preserve">allele for the</w:t>
      </w:r>
      <w:r>
        <w:t xml:space="preserve"> </w:t>
      </w:r>
      <w:r>
        <w:rPr>
          <w:i/>
        </w:rPr>
        <w:t xml:space="preserve">dpy-22(bx93)</w:t>
      </w:r>
      <w:r>
        <w:t xml:space="preserve">-associated class, but</w:t>
      </w:r>
      <w:r>
        <w:t xml:space="preserve"> </w:t>
      </w:r>
      <w:r>
        <w:t xml:space="preserve">gene expression in this class was perturbed in both homozygotes. The</w:t>
      </w:r>
      <w:r>
        <w:t xml:space="preserve"> </w:t>
      </w:r>
      <w:r>
        <w:t xml:space="preserve">perturbations were greater for</w:t>
      </w:r>
      <w:r>
        <w:t xml:space="preserve"> </w:t>
      </w:r>
      <w:r>
        <w:rPr>
          <w:i/>
        </w:rPr>
        <w:t xml:space="preserve">dpy-22(sy622)</w:t>
      </w:r>
      <w:r>
        <w:t xml:space="preserve"> </w:t>
      </w:r>
      <w:r>
        <w:t xml:space="preserve">homozygotes than for</w:t>
      </w:r>
      <w:r>
        <w:t xml:space="preserve"> </w:t>
      </w:r>
      <w:r>
        <w:rPr>
          <w:i/>
        </w:rPr>
        <w:t xml:space="preserve">dpy-22(bx93)</w:t>
      </w:r>
      <w:r>
        <w:t xml:space="preserve"> </w:t>
      </w:r>
      <w:r>
        <w:t xml:space="preserve">homozygotes.</w:t>
      </w:r>
      <w:r>
        <w:t xml:space="preserve"> </w:t>
      </w:r>
      <w:r>
        <w:t xml:space="preserve">This behavior can be explained if the</w:t>
      </w:r>
      <w:r>
        <w:t xml:space="preserve"> </w:t>
      </w:r>
      <w:r>
        <w:rPr>
          <w:i/>
        </w:rPr>
        <w:t xml:space="preserve">dpy-22(bx93)</w:t>
      </w:r>
      <w:r>
        <w:t xml:space="preserve">-associated class is controlled</w:t>
      </w:r>
      <w:r>
        <w:t xml:space="preserve"> </w:t>
      </w:r>
      <w:r>
        <w:t xml:space="preserve">jointly by two distinct effectors, functional regions 3 and 4 (FR3, FR4, see</w:t>
      </w:r>
      <w:r>
        <w:t xml:space="preserve"> </w:t>
      </w:r>
      <w:r>
        <w:t xml:space="preserve">Fig. [fig:domains]). Such a model would propose that the sequences necessary</w:t>
      </w:r>
      <w:r>
        <w:t xml:space="preserve"> </w:t>
      </w:r>
      <w:r>
        <w:t xml:space="preserve">for FR3 functionality are within the interval 0 and 1,698, and some sequences</w:t>
      </w:r>
      <w:r>
        <w:t xml:space="preserve"> </w:t>
      </w:r>
      <w:r>
        <w:t xml:space="preserve">necessary for FR4 functionality are encoded between positions 2549 and 3499.</w:t>
      </w:r>
      <w:r>
        <w:t xml:space="preserve"> </w:t>
      </w:r>
      <w:r>
        <w:t xml:space="preserve">This model explains how expression levels of the</w:t>
      </w:r>
      <w:r>
        <w:t xml:space="preserve"> </w:t>
      </w:r>
      <w:r>
        <w:rPr>
          <w:i/>
        </w:rPr>
        <w:t xml:space="preserve">bx93</w:t>
      </w:r>
      <w:r>
        <w:t xml:space="preserve">-associated</w:t>
      </w:r>
      <w:r>
        <w:t xml:space="preserve"> </w:t>
      </w:r>
      <w:r>
        <w:t xml:space="preserve">phenotypic class in the</w:t>
      </w:r>
      <w:r>
        <w:t xml:space="preserve"> </w:t>
      </w:r>
      <w:r>
        <w:rPr>
          <w:i/>
        </w:rPr>
        <w:t xml:space="preserve">trans</w:t>
      </w:r>
      <w:r>
        <w:t xml:space="preserve">-heterozygote are complemented to the levels</w:t>
      </w:r>
      <w:r>
        <w:t xml:space="preserve"> </w:t>
      </w:r>
      <w:r>
        <w:t xml:space="preserve">of the</w:t>
      </w:r>
      <w:r>
        <w:t xml:space="preserve"> </w:t>
      </w:r>
      <w:r>
        <w:rPr>
          <w:i/>
        </w:rPr>
        <w:t xml:space="preserve">bx93</w:t>
      </w:r>
      <w:r>
        <w:t xml:space="preserve"> </w:t>
      </w:r>
      <w:r>
        <w:t xml:space="preserve">homozygote, because FR3 is complemented in</w:t>
      </w:r>
      <w:r>
        <w:t xml:space="preserve"> </w:t>
      </w:r>
      <w:r>
        <w:rPr>
          <w:i/>
        </w:rPr>
        <w:t xml:space="preserve">trans</w:t>
      </w:r>
      <w:r>
        <w:t xml:space="preserve">, but</w:t>
      </w:r>
      <w:r>
        <w:t xml:space="preserve"> </w:t>
      </w:r>
      <w:r>
        <w:t xml:space="preserve">FR4 is defective. Thus, FR3 encodes a functionality that is not</w:t>
      </w:r>
      <w:r>
        <w:t xml:space="preserve"> </w:t>
      </w:r>
      <w:r>
        <w:t xml:space="preserve">dosage-dependent. One possibility is that FR3 is equivalent to FR2, and FR4</w:t>
      </w:r>
      <w:r>
        <w:t xml:space="preserve"> </w:t>
      </w:r>
      <w:r>
        <w:t xml:space="preserve">modifies its activity at a subset of loci. A rigorous examination of this model</w:t>
      </w:r>
      <w:r>
        <w:t xml:space="preserve"> </w:t>
      </w:r>
      <w:r>
        <w:t xml:space="preserve">will require studying many alleles that mutate the region between Q1689 and</w:t>
      </w:r>
      <w:r>
        <w:t xml:space="preserve"> </w:t>
      </w:r>
      <w:r>
        <w:t xml:space="preserve">Q2549 using homozygotes and</w:t>
      </w:r>
      <w:r>
        <w:t xml:space="preserve"> </w:t>
      </w:r>
      <w:r>
        <w:rPr>
          <w:i/>
        </w:rPr>
        <w:t xml:space="preserve">trans</w:t>
      </w:r>
      <w:r>
        <w:t xml:space="preserve">-heterozygotes.</w:t>
      </w:r>
    </w:p>
    <w:p>
      <w:pPr>
        <w:pStyle w:val="FigureWithCaption"/>
      </w:pPr>
      <w:r>
        <w:drawing>
          <wp:inline>
            <wp:extent cx="3810000" cy="2540000"/>
            <wp:effectExtent b="0" l="0" r="0" t="0"/>
            <wp:docPr descr=" The functional regions associated with each phenotypic class can be mapped intragenically. The number of genes associated with each class is shown. The dpy-22(bx93)-associated class may be controlled by two functional regions. FR2 and FR3 could be redundant if FR4 is a modifier of FR2 functionality at dpy-22(bx93)-associated loci. Note that the dpy-22(bx93)-associated phenotypic class is actually three classes merged together. Two of these classes are DE in dpy-22(bx93) homozygotes and one other genotype. Our analyses suggested that these two classes are likely the result of false negative hits and genes in these classes should be differentially expressed in all three genotypes, so we merged all classes together (see ). " title="" id="1" name="Picture"/>
            <a:graphic>
              <a:graphicData uri="http://schemas.openxmlformats.org/drawingml/2006/picture">
                <pic:pic>
                  <pic:nvPicPr>
                    <pic:cNvPr descr="../../figs/inferred_domains.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functional regions associated with each phenotypic class can be</w:t>
      </w:r>
      <w:r>
        <w:t xml:space="preserve"> </w:t>
      </w:r>
      <w:r>
        <w:t xml:space="preserve">mapped intragenically. The number of genes associated with each class</w:t>
      </w:r>
      <w:r>
        <w:t xml:space="preserve"> </w:t>
      </w:r>
      <w:r>
        <w:t xml:space="preserve">is shown. The</w:t>
      </w:r>
      <w:r>
        <w:t xml:space="preserve"> </w:t>
      </w:r>
      <w:r>
        <w:rPr>
          <w:i/>
        </w:rPr>
        <w:t xml:space="preserve">dpy-22(bx93)</w:t>
      </w:r>
      <w:r>
        <w:t xml:space="preserve">-associated class may be controlled by two</w:t>
      </w:r>
      <w:r>
        <w:t xml:space="preserve"> </w:t>
      </w:r>
      <w:r>
        <w:t xml:space="preserve">functional regions. FR2 and FR3 could be redundant if FR4 is a</w:t>
      </w:r>
      <w:r>
        <w:t xml:space="preserve"> </w:t>
      </w:r>
      <w:r>
        <w:t xml:space="preserve">modifier of FR2 functionality at</w:t>
      </w:r>
      <w:r>
        <w:t xml:space="preserve"> </w:t>
      </w:r>
      <w:r>
        <w:rPr>
          <w:i/>
        </w:rPr>
        <w:t xml:space="preserve">dpy-22(bx93)</w:t>
      </w:r>
      <w:r>
        <w:t xml:space="preserve">-associated loci. Note that the</w:t>
      </w:r>
      <w:r>
        <w:t xml:space="preserve"> </w:t>
      </w:r>
      <w:r>
        <w:rPr>
          <w:i/>
        </w:rPr>
        <w:t xml:space="preserve">dpy-22(bx93)</w:t>
      </w:r>
      <w:r>
        <w:t xml:space="preserve">-associated phenotypic class is actually three classes merged</w:t>
      </w:r>
      <w:r>
        <w:t xml:space="preserve"> </w:t>
      </w:r>
      <w:r>
        <w:t xml:space="preserve">together. Two of these classes are DE in</w:t>
      </w:r>
      <w:r>
        <w:t xml:space="preserve"> </w:t>
      </w:r>
      <w:r>
        <w:rPr>
          <w:i/>
        </w:rPr>
        <w:t xml:space="preserve">dpy-22(bx93)</w:t>
      </w:r>
      <w:r>
        <w:t xml:space="preserve"> </w:t>
      </w:r>
      <w:r>
        <w:t xml:space="preserve">homozygotes and one</w:t>
      </w:r>
      <w:r>
        <w:t xml:space="preserve"> </w:t>
      </w:r>
      <w:r>
        <w:t xml:space="preserve">other genotype. Our analyses suggested that these two classes are</w:t>
      </w:r>
      <w:r>
        <w:t xml:space="preserve"> </w:t>
      </w:r>
      <w:r>
        <w:t xml:space="preserve">likely the result of false negative hits and genes in these classes</w:t>
      </w:r>
      <w:r>
        <w:t xml:space="preserve"> </w:t>
      </w:r>
      <w:r>
        <w:t xml:space="preserve">should be differentially expressed in all three genotypes, so we</w:t>
      </w:r>
      <w:r>
        <w:t xml:space="preserve"> </w:t>
      </w:r>
      <w:r>
        <w:t xml:space="preserve">merged all classes together (see ).</w:t>
      </w:r>
      <w:r>
        <w:t xml:space="preserve"> </w:t>
      </w:r>
    </w:p>
    <w:p>
      <w:pPr>
        <w:pStyle w:val="BodyText"/>
      </w:pPr>
      <w:r>
        <w:t xml:space="preserve">We also found a class of transcripts that had perturbed levels in</w:t>
      </w:r>
      <w:r>
        <w:t xml:space="preserve"> </w:t>
      </w:r>
      <w:r>
        <w:rPr>
          <w:i/>
        </w:rPr>
        <w:t xml:space="preserve">trans</w:t>
      </w:r>
      <w:r>
        <w:t xml:space="preserve">-heterozygotes only; its biological significance is unclear.</w:t>
      </w:r>
      <w:r>
        <w:t xml:space="preserve"> </w:t>
      </w:r>
      <w:r>
        <w:t xml:space="preserve">Phenotypes unique to</w:t>
      </w:r>
      <w:r>
        <w:t xml:space="preserve"> </w:t>
      </w:r>
      <w:r>
        <w:rPr>
          <w:i/>
        </w:rPr>
        <w:t xml:space="preserve">trans</w:t>
      </w:r>
      <w:r>
        <w:t xml:space="preserve">-heterozygotes are often the result of physical</w:t>
      </w:r>
      <w:r>
        <w:t xml:space="preserve"> </w:t>
      </w:r>
      <w:r>
        <w:t xml:space="preserve">interactions such as homodimerization, or dosage reduction of a toxic</w:t>
      </w:r>
      <w:r>
        <w:t xml:space="preserve"> </w:t>
      </w:r>
      <w:r>
        <w:t xml:space="preserve">product </w:t>
      </w:r>
      <w:r>
        <w:rPr>
          <w:vertAlign w:val="superscript"/>
        </w:rPr>
        <w:t xml:space="preserve">25</w:t>
      </w:r>
      <w:r>
        <w:t xml:space="preserve">. In the case of</w:t>
      </w:r>
      <w:r>
        <w:t xml:space="preserve"> </w:t>
      </w:r>
      <w:r>
        <w:rPr>
          <w:i/>
        </w:rPr>
        <w:t xml:space="preserve">dpy-22/MDT12</w:t>
      </w:r>
      <w:r>
        <w:t xml:space="preserve"> </w:t>
      </w:r>
      <w:r>
        <w:t xml:space="preserve">orthologs, how either</w:t>
      </w:r>
      <w:r>
        <w:t xml:space="preserve"> </w:t>
      </w:r>
      <w:r>
        <w:t xml:space="preserve">mechanism could operate is not obvious, since is expected</w:t>
      </w:r>
      <w:r>
        <w:t xml:space="preserve"> </w:t>
      </w:r>
      <w:r>
        <w:t xml:space="preserve">to assemble in a monomeric manner into the CKM. Massive single-cell RNA-seq</w:t>
      </w:r>
      <w:r>
        <w:t xml:space="preserve"> </w:t>
      </w:r>
      <w:r>
        <w:t xml:space="preserve">of</w:t>
      </w:r>
      <w:r>
        <w:t xml:space="preserve"> </w:t>
      </w:r>
      <w:r>
        <w:rPr>
          <w:i/>
        </w:rPr>
        <w:t xml:space="preserve">C. elegans</w:t>
      </w:r>
      <w:r>
        <w:t xml:space="preserve"> </w:t>
      </w:r>
      <w:r>
        <w:t xml:space="preserve">has recently been reported </w:t>
      </w:r>
      <w:r>
        <w:rPr>
          <w:vertAlign w:val="superscript"/>
        </w:rPr>
        <w:t xml:space="preserve">26</w:t>
      </w:r>
      <w:r>
        <w:t xml:space="preserve">. When this technique becomes</w:t>
      </w:r>
      <w:r>
        <w:t xml:space="preserve"> </w:t>
      </w:r>
      <w:r>
        <w:t xml:space="preserve">cost-efficient, single-cell profiling of these genotypes may provide information</w:t>
      </w:r>
      <w:r>
        <w:t xml:space="preserve"> </w:t>
      </w:r>
      <w:r>
        <w:t xml:space="preserve">that complements the whole-organism expression phenotypes, perhaps explaining</w:t>
      </w:r>
      <w:r>
        <w:t xml:space="preserve"> </w:t>
      </w:r>
      <w:r>
        <w:t xml:space="preserve">the origin of this phenotype.</w:t>
      </w:r>
    </w:p>
    <w:p>
      <w:pPr>
        <w:pStyle w:val="Heading2"/>
      </w:pPr>
      <w:bookmarkStart w:id="43" w:name="phenotypes-not-molecular-pathways"/>
      <w:bookmarkEnd w:id="43"/>
      <w:r>
        <w:t xml:space="preserve">Phenotypes, not molecular pathways</w:t>
      </w:r>
    </w:p>
    <w:p>
      <w:pPr>
        <w:pStyle w:val="FirstParagraph"/>
      </w:pPr>
      <w:r>
        <w:t xml:space="preserve">In an attempt to better dissect interactions between</w:t>
      </w:r>
      <w:r>
        <w:t xml:space="preserve"> </w:t>
      </w:r>
      <w:r>
        <w:rPr>
          <w:i/>
        </w:rPr>
        <w:t xml:space="preserve">dpy-22</w:t>
      </w:r>
      <w:r>
        <w:t xml:space="preserve"> </w:t>
      </w:r>
      <w:r>
        <w:t xml:space="preserve">and</w:t>
      </w:r>
      <w:r>
        <w:t xml:space="preserve"> </w:t>
      </w:r>
      <w:r>
        <w:rPr>
          <w:i/>
        </w:rPr>
        <w:t xml:space="preserve">let-60</w:t>
      </w:r>
      <w:r>
        <w:t xml:space="preserve"> </w:t>
      </w:r>
      <w:r>
        <w:t xml:space="preserve">(ras) and</w:t>
      </w:r>
      <w:r>
        <w:t xml:space="preserve"> </w:t>
      </w:r>
      <w:r>
        <w:rPr>
          <w:i/>
        </w:rPr>
        <w:t xml:space="preserve">bar-1</w:t>
      </w:r>
      <w:r>
        <w:t xml:space="preserve"> </w:t>
      </w:r>
      <w:r>
        <w:t xml:space="preserve">(wnt), we obtained expression profiles of these mutants</w:t>
      </w:r>
      <w:r>
        <w:t xml:space="preserve"> </w:t>
      </w:r>
      <w:r>
        <w:t xml:space="preserve">and looked for enrichment within each phenotypic class. Prior research suggested</w:t>
      </w:r>
      <w:r>
        <w:t xml:space="preserve"> </w:t>
      </w:r>
      <w:r>
        <w:t xml:space="preserve">that the</w:t>
      </w:r>
      <w:r>
        <w:t xml:space="preserve"> </w:t>
      </w:r>
      <w:r>
        <w:rPr>
          <w:i/>
        </w:rPr>
        <w:t xml:space="preserve">bx93</w:t>
      </w:r>
      <w:r>
        <w:t xml:space="preserve">-associated class should show STPs with</w:t>
      </w:r>
      <w:r>
        <w:t xml:space="preserve"> </w:t>
      </w:r>
      <w:r>
        <w:rPr>
          <w:i/>
        </w:rPr>
        <w:t xml:space="preserve">bar-1</w:t>
      </w:r>
      <w:r>
        <w:t xml:space="preserve"> </w:t>
      </w:r>
      <w:r>
        <w:t xml:space="preserve">mutant</w:t>
      </w:r>
      <w:r>
        <w:t xml:space="preserve"> </w:t>
      </w:r>
      <w:r>
        <w:t xml:space="preserve">transcriptomes but not with</w:t>
      </w:r>
      <w:r>
        <w:t xml:space="preserve"> </w:t>
      </w:r>
      <w:r>
        <w:rPr>
          <w:i/>
        </w:rPr>
        <w:t xml:space="preserve">let-60</w:t>
      </w:r>
      <w:r>
        <w:t xml:space="preserve"> </w:t>
      </w:r>
      <w:r>
        <w:t xml:space="preserve">mutant transcriptomes, and the</w:t>
      </w:r>
      <w:r>
        <w:t xml:space="preserve"> </w:t>
      </w:r>
      <w:r>
        <w:rPr>
          <w:i/>
        </w:rPr>
        <w:t xml:space="preserve">sy622</w:t>
      </w:r>
      <w:r>
        <w:t xml:space="preserve">-specific class should show STPs with gain-of-function</w:t>
      </w:r>
      <w:r>
        <w:t xml:space="preserve"> </w:t>
      </w:r>
      <w:r>
        <w:rPr>
          <w:i/>
        </w:rPr>
        <w:t xml:space="preserve">let-60</w:t>
      </w:r>
      <w:r>
        <w:t xml:space="preserve"> </w:t>
      </w:r>
      <w:r>
        <w:t xml:space="preserve">mutants but not with</w:t>
      </w:r>
      <w:r>
        <w:t xml:space="preserve"> </w:t>
      </w:r>
      <w:r>
        <w:rPr>
          <w:i/>
        </w:rPr>
        <w:t xml:space="preserve">bar-1</w:t>
      </w:r>
      <w:r>
        <w:t xml:space="preserve"> </w:t>
      </w:r>
      <w:r>
        <w:t xml:space="preserve">null mutants. Instead, we found that</w:t>
      </w:r>
      <w:r>
        <w:t xml:space="preserve"> </w:t>
      </w:r>
      <w:r>
        <w:rPr>
          <w:i/>
        </w:rPr>
        <w:t xml:space="preserve">let-60</w:t>
      </w:r>
      <w:r>
        <w:t xml:space="preserve"> </w:t>
      </w:r>
      <w:r>
        <w:t xml:space="preserve">and</w:t>
      </w:r>
      <w:r>
        <w:t xml:space="preserve"> </w:t>
      </w:r>
      <w:r>
        <w:rPr>
          <w:i/>
        </w:rPr>
        <w:t xml:space="preserve">bar-1</w:t>
      </w:r>
      <w:r>
        <w:t xml:space="preserve"> </w:t>
      </w:r>
      <w:r>
        <w:t xml:space="preserve">loss-of-function mutants had STPs with all the</w:t>
      </w:r>
      <w:r>
        <w:t xml:space="preserve"> </w:t>
      </w:r>
      <w:r>
        <w:t xml:space="preserve">phenotypic classes; and</w:t>
      </w:r>
      <w:r>
        <w:t xml:space="preserve"> </w:t>
      </w:r>
      <w:r>
        <w:rPr>
          <w:i/>
        </w:rPr>
        <w:t xml:space="preserve">let-60</w:t>
      </w:r>
      <w:r>
        <w:t xml:space="preserve"> </w:t>
      </w:r>
      <w:r>
        <w:t xml:space="preserve">gain-of-function mutants did not show STPs</w:t>
      </w:r>
      <w:r>
        <w:t xml:space="preserve"> </w:t>
      </w:r>
      <w:r>
        <w:t xml:space="preserve">with the</w:t>
      </w:r>
      <w:r>
        <w:t xml:space="preserve"> </w:t>
      </w:r>
      <w:r>
        <w:rPr>
          <w:i/>
        </w:rPr>
        <w:t xml:space="preserve">sy622</w:t>
      </w:r>
      <w:r>
        <w:t xml:space="preserve">-associated class. Thus, although we could predict that</w:t>
      </w:r>
      <w:r>
        <w:t xml:space="preserve"> </w:t>
      </w:r>
      <w:r>
        <w:t xml:space="preserve">both of these genes are interactors with</w:t>
      </w:r>
      <w:r>
        <w:t xml:space="preserve"> </w:t>
      </w:r>
      <w:r>
        <w:rPr>
          <w:i/>
        </w:rPr>
        <w:t xml:space="preserve">dpy-22</w:t>
      </w:r>
      <w:r>
        <w:t xml:space="preserve">, our experiments did not enable</w:t>
      </w:r>
      <w:r>
        <w:t xml:space="preserve"> </w:t>
      </w:r>
      <w:r>
        <w:t xml:space="preserve">us to predict what functional regions mediate this interaction.</w:t>
      </w:r>
    </w:p>
    <w:p>
      <w:pPr>
        <w:pStyle w:val="BodyText"/>
      </w:pPr>
      <w:r>
        <w:t xml:space="preserve">Our failure to predict what functional regions mediate interactions with other</w:t>
      </w:r>
      <w:r>
        <w:t xml:space="preserve"> </w:t>
      </w:r>
      <w:r>
        <w:t xml:space="preserve">pathways or to predict the valence of the interactions reflects the fact that</w:t>
      </w:r>
      <w:r>
        <w:t xml:space="preserve"> </w:t>
      </w:r>
      <w:r>
        <w:t xml:space="preserve">we are treating expression profiles as phenotypes, and not as a method to read</w:t>
      </w:r>
      <w:r>
        <w:t xml:space="preserve"> </w:t>
      </w:r>
      <w:r>
        <w:t xml:space="preserve">out the activity of molecular pathways. Expression profiles as phenotypes have</w:t>
      </w:r>
      <w:r>
        <w:t xml:space="preserve"> </w:t>
      </w:r>
      <w:r>
        <w:t xml:space="preserve">advantages, namely that they can be used for genetic analyses, but they also</w:t>
      </w:r>
      <w:r>
        <w:t xml:space="preserve"> </w:t>
      </w:r>
      <w:r>
        <w:t xml:space="preserve">come with disadvantages. In our case, we sequenced animals after development had</w:t>
      </w:r>
      <w:r>
        <w:t xml:space="preserve"> </w:t>
      </w:r>
      <w:r>
        <w:t xml:space="preserve">occurred, so the expression levels we observe are the average expression levels</w:t>
      </w:r>
      <w:r>
        <w:t xml:space="preserve"> </w:t>
      </w:r>
      <w:r>
        <w:t xml:space="preserve">of all tissues after they have finished forming. Moreover, as with any other</w:t>
      </w:r>
      <w:r>
        <w:t xml:space="preserve"> </w:t>
      </w:r>
      <w:r>
        <w:t xml:space="preserve">phenotype, we cannot discriminate between proximal or direct effects on gene</w:t>
      </w:r>
      <w:r>
        <w:t xml:space="preserve"> </w:t>
      </w:r>
      <w:r>
        <w:t xml:space="preserve">expression from second order or ripple effects. As with morphological</w:t>
      </w:r>
      <w:r>
        <w:t xml:space="preserve"> </w:t>
      </w:r>
      <w:r>
        <w:t xml:space="preserve">phenotypes, it may turn out to be the case that expression profiles, like any</w:t>
      </w:r>
      <w:r>
        <w:t xml:space="preserve"> </w:t>
      </w:r>
      <w:r>
        <w:t xml:space="preserve">other phenotype, will often reflect a limited number of phenotypic classes. In</w:t>
      </w:r>
      <w:r>
        <w:t xml:space="preserve"> </w:t>
      </w:r>
      <w:r>
        <w:t xml:space="preserve">some cases, these phenotypic classes may be associated with a molecular pathway</w:t>
      </w:r>
      <w:r>
        <w:t xml:space="preserve"> </w:t>
      </w:r>
      <w:r>
        <w:t xml:space="preserve">by the use of index sets generated from mutants in these pathways. In other</w:t>
      </w:r>
      <w:r>
        <w:t xml:space="preserve"> </w:t>
      </w:r>
      <w:r>
        <w:t xml:space="preserve">cases, they may reflect stresses and insults that the animals are suffering</w:t>
      </w:r>
      <w:r>
        <w:t xml:space="preserve"> </w:t>
      </w:r>
      <w:r>
        <w:t xml:space="preserve">as a result of suboptimal activity. The difference between these two classes</w:t>
      </w:r>
      <w:r>
        <w:t xml:space="preserve"> </w:t>
      </w:r>
      <w:r>
        <w:t xml:space="preserve">matters, since the conclusions that can be drawn from studying each one vary in</w:t>
      </w:r>
      <w:r>
        <w:t xml:space="preserve"> </w:t>
      </w:r>
      <w:r>
        <w:t xml:space="preserve">their scopes; however, it seems reasonable likely that both will prove useful.</w:t>
      </w:r>
    </w:p>
    <w:p>
      <w:pPr>
        <w:pStyle w:val="Heading2"/>
      </w:pPr>
      <w:bookmarkStart w:id="44" w:name="occams-razor"/>
      <w:bookmarkEnd w:id="44"/>
      <w:r>
        <w:t xml:space="preserve">Occam’s razor</w:t>
      </w:r>
    </w:p>
    <w:p>
      <w:pPr>
        <w:pStyle w:val="FirstParagraph"/>
      </w:pPr>
      <w:r>
        <w:t xml:space="preserve">Transcriptomic phenotypes generate large amounts of differential gene expression</w:t>
      </w:r>
      <w:r>
        <w:t xml:space="preserve"> </w:t>
      </w:r>
      <w:r>
        <w:t xml:space="preserve">data, so false positive and false negative rates can lead to spurious phenotypic</w:t>
      </w:r>
      <w:r>
        <w:t xml:space="preserve"> </w:t>
      </w:r>
      <w:r>
        <w:t xml:space="preserve">classes whose putative biological significance is badly misleading. Such</w:t>
      </w:r>
      <w:r>
        <w:t xml:space="preserve"> </w:t>
      </w:r>
      <w:r>
        <w:t xml:space="preserve">artifacts are particularly likely for small phenotypic classes, which should be</w:t>
      </w:r>
      <w:r>
        <w:t xml:space="preserve"> </w:t>
      </w:r>
      <w:r>
        <w:t xml:space="preserve">viewed with skepticism. Notably, errors of interpretation cannot be avoided by</w:t>
      </w:r>
      <w:r>
        <w:t xml:space="preserve"> </w:t>
      </w:r>
      <w:r>
        <w:t xml:space="preserve">setting a more stringent</w:t>
      </w:r>
      <w:r>
        <w:t xml:space="preserve"> </w:t>
      </w:r>
      <m:oMath>
        <m:r>
          <m:t>q</m:t>
        </m:r>
      </m:oMath>
      <w:r>
        <w:t xml:space="preserve">-value cut-off: doing so will decrease the</w:t>
      </w:r>
      <w:r>
        <w:t xml:space="preserve"> </w:t>
      </w:r>
      <w:r>
        <w:t xml:space="preserve">false positive rate, but increase the false negative rate, which will in turn</w:t>
      </w:r>
      <w:r>
        <w:t xml:space="preserve"> </w:t>
      </w:r>
      <w:r>
        <w:t xml:space="preserve">produce smaller phenotypic classes than expected. Our method tries to avoid this</w:t>
      </w:r>
      <w:r>
        <w:t xml:space="preserve"> </w:t>
      </w:r>
      <w:r>
        <w:t xml:space="preserve">pitfall by using total error rate estimates to assess the plausibility of each</w:t>
      </w:r>
      <w:r>
        <w:t xml:space="preserve"> </w:t>
      </w:r>
      <w:r>
        <w:t xml:space="preserve">class. These conclusions are of broad significance to research where highly</w:t>
      </w:r>
      <w:r>
        <w:t xml:space="preserve"> </w:t>
      </w:r>
      <w:r>
        <w:t xml:space="preserve">multiplexed measurements are compared to identify similarities and differences</w:t>
      </w:r>
      <w:r>
        <w:t xml:space="preserve"> </w:t>
      </w:r>
      <w:r>
        <w:t xml:space="preserve">in the genome-wide behavior of a single variable under multiple conditions.</w:t>
      </w:r>
    </w:p>
    <w:p>
      <w:pPr>
        <w:pStyle w:val="BodyText"/>
      </w:pPr>
      <w:r>
        <w:t xml:space="preserve">We have shown that transcriptomes can be used to study allelic series in the</w:t>
      </w:r>
      <w:r>
        <w:t xml:space="preserve"> </w:t>
      </w:r>
      <w:r>
        <w:t xml:space="preserve">context of a large, pleiotropic gene. We identified separable phenotypic classes</w:t>
      </w:r>
      <w:r>
        <w:t xml:space="preserve"> </w:t>
      </w:r>
      <w:r>
        <w:t xml:space="preserve">that would otherwise be obscured by other methods, correlated each class to a</w:t>
      </w:r>
      <w:r>
        <w:t xml:space="preserve"> </w:t>
      </w:r>
      <w:r>
        <w:t xml:space="preserve">functional region, and identified sequence requirements for each region. Given</w:t>
      </w:r>
      <w:r>
        <w:t xml:space="preserve"> </w:t>
      </w:r>
      <w:r>
        <w:t xml:space="preserve">the importance of allelic series for characterizing gene function and their</w:t>
      </w:r>
      <w:r>
        <w:t xml:space="preserve"> </w:t>
      </w:r>
      <w:r>
        <w:t xml:space="preserve">roles in specific genetic pathways, we are optimistic that this method will be a</w:t>
      </w:r>
      <w:r>
        <w:t xml:space="preserve"> </w:t>
      </w:r>
      <w:r>
        <w:t xml:space="preserve">useful addition to the geneticist’s arsenal.</w:t>
      </w:r>
    </w:p>
    <w:p>
      <w:pPr>
        <w:pStyle w:val="Heading1"/>
      </w:pPr>
      <w:bookmarkStart w:id="45" w:name="sec:methods"/>
      <w:bookmarkEnd w:id="45"/>
      <w:r>
        <w:t xml:space="preserve">Methods</w:t>
      </w:r>
    </w:p>
    <w:p>
      <w:pPr>
        <w:pStyle w:val="Heading2"/>
      </w:pPr>
      <w:bookmarkStart w:id="46" w:name="strains-used"/>
      <w:bookmarkEnd w:id="46"/>
      <w:r>
        <w:t xml:space="preserve">Strains used</w:t>
      </w:r>
    </w:p>
    <w:p>
      <w:pPr>
        <w:pStyle w:val="FirstParagraph"/>
      </w:pPr>
      <w:r>
        <w:t xml:space="preserve">Strains used were N2 wild-type (Bristol),</w:t>
      </w:r>
      <w:r>
        <w:t xml:space="preserve"> </w:t>
      </w:r>
      <w:r>
        <w:t xml:space="preserve">PS4087</w:t>
      </w:r>
      <w:r>
        <w:t xml:space="preserve"> </w:t>
      </w:r>
      <w:r>
        <w:rPr>
          <w:i/>
        </w:rPr>
        <w:t xml:space="preserve">dpy-22(sy622)</w:t>
      </w:r>
      <w:r>
        <w:t xml:space="preserve">,</w:t>
      </w:r>
      <w:r>
        <w:t xml:space="preserve"> </w:t>
      </w:r>
      <w:r>
        <w:t xml:space="preserve">PS4187</w:t>
      </w:r>
      <w:r>
        <w:t xml:space="preserve"> </w:t>
      </w:r>
      <w:r>
        <w:rPr>
          <w:i/>
        </w:rPr>
        <w:t xml:space="preserve">dpy-22(bx93)</w:t>
      </w:r>
      <w:r>
        <w:t xml:space="preserve">,</w:t>
      </w:r>
      <w:r>
        <w:t xml:space="preserve"> </w:t>
      </w:r>
      <w:r>
        <w:t xml:space="preserve">and PS4176</w:t>
      </w:r>
      <w:r>
        <w:br w:type="textWrapping"/>
      </w:r>
      <w:r>
        <w:rPr>
          <w:i/>
        </w:rPr>
        <w:t xml:space="preserve">dpy-6(e14) dpy-22(bx93)/ + dpy-22(sy622)</w:t>
      </w:r>
      <w:r>
        <w:t xml:space="preserve">.</w:t>
      </w:r>
      <w:r>
        <w:t xml:space="preserve"> </w:t>
      </w:r>
      <w:r>
        <w:t xml:space="preserve">Lines were grown on standard nematode growth media (NGM) Petri plates seeded</w:t>
      </w:r>
      <w:r>
        <w:t xml:space="preserve"> </w:t>
      </w:r>
      <w:r>
        <w:t xml:space="preserve">with OP50</w:t>
      </w:r>
      <w:r>
        <w:t xml:space="preserve"> </w:t>
      </w:r>
      <w:r>
        <w:rPr>
          <w:i/>
        </w:rPr>
        <w:t xml:space="preserve">E. coli</w:t>
      </w:r>
      <w:r>
        <w:t xml:space="preserve"> </w:t>
      </w:r>
      <w:r>
        <w:t xml:space="preserve">at 20C </w:t>
      </w:r>
      <w:r>
        <w:rPr>
          <w:vertAlign w:val="superscript"/>
        </w:rPr>
        <w:t xml:space="preserve">27</w:t>
      </w:r>
      <w:r>
        <w:t xml:space="preserve">.</w:t>
      </w:r>
    </w:p>
    <w:p>
      <w:pPr>
        <w:pStyle w:val="Heading2"/>
      </w:pPr>
      <w:bookmarkStart w:id="47" w:name="strain-synchronization-harvesting-and-rna-sequencing"/>
      <w:bookmarkEnd w:id="47"/>
      <w:r>
        <w:t xml:space="preserve">Strain synchronization, harvesting and RNA sequencing</w:t>
      </w:r>
    </w:p>
    <w:p>
      <w:pPr>
        <w:pStyle w:val="FirstParagraph"/>
      </w:pPr>
      <w:r>
        <w:t xml:space="preserve">With the exception of strain MT4866, strains were synchronized by</w:t>
      </w:r>
      <w:r>
        <w:t xml:space="preserve"> </w:t>
      </w:r>
      <w:r>
        <w:t xml:space="preserve">bleaching P</w:t>
      </w:r>
      <m:oMath>
        <m:sSub>
          <m:e>
            <m:r>
              <m:t/>
            </m:r>
          </m:e>
          <m:sub>
            <m:r>
              <m:t>0</m:t>
            </m:r>
          </m:sub>
        </m:sSub>
      </m:oMath>
      <w:r>
        <w:t xml:space="preserve">’s into virgin S. basal (no cholesterol or ethanol added) for</w:t>
      </w:r>
      <w:r>
        <w:t xml:space="preserve"> </w:t>
      </w:r>
      <w:r>
        <w:t xml:space="preserve">8–12 hours. Arrested L1 larvae were placed in NGM plates seeded with OP50 at</w:t>
      </w:r>
      <w:r>
        <w:t xml:space="preserve"> </w:t>
      </w:r>
      <w:r>
        <w:t xml:space="preserve">20C and grown to the young adult stage (assessed by vulval morphology</w:t>
      </w:r>
      <w:r>
        <w:t xml:space="preserve"> </w:t>
      </w:r>
      <w:r>
        <w:t xml:space="preserve">and lack of embryos). RNA extraction and sequencing was performed as previously</w:t>
      </w:r>
      <w:r>
        <w:t xml:space="preserve"> </w:t>
      </w:r>
      <w:r>
        <w:t xml:space="preserve">described by Angeles-Albores</w:t>
      </w:r>
      <w:r>
        <w:t xml:space="preserve"> </w:t>
      </w:r>
      <w:r>
        <w:rPr>
          <w:i/>
        </w:rPr>
        <w:t xml:space="preserve">et al</w:t>
      </w:r>
      <w:r>
        <w:t xml:space="preserve"> </w:t>
      </w:r>
      <w:r>
        <w:rPr>
          <w:vertAlign w:val="superscript"/>
        </w:rPr>
        <w:t xml:space="preserve">7,10</w:t>
      </w:r>
      <w:r>
        <w:t xml:space="preserve">. We discovered that MT4866 dies upon L1 starvation for this</w:t>
      </w:r>
      <w:r>
        <w:t xml:space="preserve"> </w:t>
      </w:r>
      <w:r>
        <w:t xml:space="preserve">period of time. As a result, we synchronized this strain by double</w:t>
      </w:r>
      <w:r>
        <w:t xml:space="preserve"> </w:t>
      </w:r>
      <w:r>
        <w:t xml:space="preserve">bleaching </w:t>
      </w:r>
      <w:r>
        <w:rPr>
          <w:b/>
        </w:rPr>
        <w:t xml:space="preserve">???</w:t>
      </w:r>
      <w:r>
        <w:t xml:space="preserve">. Animals were picked if they were young adults, regardless of</w:t>
      </w:r>
      <w:r>
        <w:t xml:space="preserve"> </w:t>
      </w:r>
      <w:r>
        <w:t xml:space="preserve">whether any vulval or morphological phenotypes were present.</w:t>
      </w:r>
    </w:p>
    <w:p>
      <w:pPr>
        <w:pStyle w:val="Heading2"/>
      </w:pPr>
      <w:bookmarkStart w:id="48" w:name="read-pseudo-alignment-and-differential-expression"/>
      <w:bookmarkEnd w:id="48"/>
      <w:r>
        <w:t xml:space="preserve">Read pseudo-alignment and differential expression</w:t>
      </w:r>
    </w:p>
    <w:p>
      <w:pPr>
        <w:pStyle w:val="FirstParagraph"/>
      </w:pPr>
      <w:r>
        <w:t xml:space="preserve">Reads were pseudo-aligned to the</w:t>
      </w:r>
      <w:r>
        <w:t xml:space="preserve"> </w:t>
      </w:r>
      <w:r>
        <w:rPr>
          <w:i/>
        </w:rPr>
        <w:t xml:space="preserve">C. elegans</w:t>
      </w:r>
      <w:r>
        <w:t xml:space="preserve"> </w:t>
      </w:r>
      <w:r>
        <w:t xml:space="preserve">genome (WBcel235) using</w:t>
      </w:r>
      <w:r>
        <w:t xml:space="preserve"> </w:t>
      </w:r>
      <w:r>
        <w:t xml:space="preserve">Kallisto </w:t>
      </w:r>
      <w:r>
        <w:rPr>
          <w:vertAlign w:val="superscript"/>
        </w:rPr>
        <w:t xml:space="preserve">22</w:t>
      </w:r>
      <w:r>
        <w:t xml:space="preserve">, using 200 bootstraps and with the sequence bias</w:t>
      </w:r>
      <w:r>
        <w:t xml:space="preserve"> </w:t>
      </w:r>
      <w:r>
        <w:t xml:space="preserve">(</w:t>
      </w:r>
      <w:r>
        <w:rPr>
          <w:rStyle w:val="VerbatimChar"/>
        </w:rPr>
        <w:t xml:space="preserve">–seqBias</w:t>
      </w:r>
      <w:r>
        <w:t xml:space="preserve">) flag. The fragment size for all libraries was set to 200</w:t>
      </w:r>
      <w:r>
        <w:t xml:space="preserve"> </w:t>
      </w:r>
      <w:r>
        <w:t xml:space="preserve">and the standard deviation to 40. Quality control was performed on a subset of</w:t>
      </w:r>
      <w:r>
        <w:t xml:space="preserve"> </w:t>
      </w:r>
      <w:r>
        <w:t xml:space="preserve">the reads using FastQC, RNAseQC, BowTie and</w:t>
      </w:r>
      <w:r>
        <w:t xml:space="preserve"> </w:t>
      </w:r>
      <w:r>
        <w:t xml:space="preserve">MultiQC </w:t>
      </w:r>
      <w:r>
        <w:rPr>
          <w:vertAlign w:val="superscript"/>
        </w:rPr>
        <w:t xml:space="preserve">28–31</w:t>
      </w:r>
      <w:r>
        <w:t xml:space="preserve">.</w:t>
      </w:r>
    </w:p>
    <w:p>
      <w:pPr>
        <w:pStyle w:val="BodyText"/>
      </w:pPr>
      <w:r>
        <w:t xml:space="preserve">Differential expression analysis was performed using</w:t>
      </w:r>
      <w:r>
        <w:t xml:space="preserve"> </w:t>
      </w:r>
      <w:r>
        <w:t xml:space="preserve">Sleuth </w:t>
      </w:r>
      <w:r>
        <w:rPr>
          <w:vertAlign w:val="superscript"/>
        </w:rPr>
        <w:t xml:space="preserve">23</w:t>
      </w:r>
      <w:r>
        <w:t xml:space="preserve">. We used a general linear model to identify genes</w:t>
      </w:r>
      <w:r>
        <w:t xml:space="preserve"> </w:t>
      </w:r>
      <w:r>
        <w:t xml:space="preserve">that were differentially expressed between wild-type and mutant libraries. To</w:t>
      </w:r>
      <w:r>
        <w:t xml:space="preserve"> </w:t>
      </w:r>
      <w:r>
        <w:t xml:space="preserve">increase our statistical power, we pooled young adult wild-type replicates from</w:t>
      </w:r>
      <w:r>
        <w:t xml:space="preserve"> </w:t>
      </w:r>
      <w:r>
        <w:t xml:space="preserve">other published </w:t>
      </w:r>
      <w:r>
        <w:rPr>
          <w:vertAlign w:val="superscript"/>
        </w:rPr>
        <w:t xml:space="preserve">7,10</w:t>
      </w:r>
      <w:r>
        <w:t xml:space="preserve"> </w:t>
      </w:r>
      <w:r>
        <w:t xml:space="preserve">and unpublished</w:t>
      </w:r>
      <w:r>
        <w:t xml:space="preserve"> </w:t>
      </w:r>
      <w:r>
        <w:t xml:space="preserve">analyses adjusting for batch effects.</w:t>
      </w:r>
    </w:p>
    <w:p>
      <w:pPr>
        <w:pStyle w:val="Heading2"/>
      </w:pPr>
      <w:bookmarkStart w:id="49" w:name="false-hit-analysis"/>
      <w:bookmarkEnd w:id="49"/>
      <w:r>
        <w:t xml:space="preserve">False hit analysis</w:t>
      </w:r>
    </w:p>
    <w:p>
      <w:pPr>
        <w:pStyle w:val="FirstParagraph"/>
      </w:pPr>
      <w:r>
        <w:t xml:space="preserve">To accurately count phenotypes, we developed a false hit algorithm</w:t>
      </w:r>
      <w:r>
        <w:t xml:space="preserve"> </w:t>
      </w:r>
      <w:r>
        <w:t xml:space="preserve">(Algorithm [alg:false]). We implemented this algorithm for three-way</w:t>
      </w:r>
      <w:r>
        <w:t xml:space="preserve"> </w:t>
      </w:r>
      <w:r>
        <w:t xml:space="preserve">comparisons in Python. Although experimentally restricted, a three-way</w:t>
      </w:r>
      <w:r>
        <w:t xml:space="preserve"> </w:t>
      </w:r>
      <w:r>
        <w:t xml:space="preserve">comparison can result in</w:t>
      </w:r>
      <w:r>
        <w:t xml:space="preserve"> </w:t>
      </w:r>
      <m:oMath>
        <m:r>
          <m:t>128</m:t>
        </m:r>
      </m:oMath>
      <w:r>
        <w:t xml:space="preserve"> </w:t>
      </w:r>
      <w:r>
        <w:t xml:space="preserve">possible sets (ignoring</w:t>
      </w:r>
      <w:r>
        <w:t xml:space="preserve"> </w:t>
      </w:r>
      <w:r>
        <w:t xml:space="preserve">size). This large number of models necessitates an algorithmic approach that can</w:t>
      </w:r>
      <w:r>
        <w:t xml:space="preserve"> </w:t>
      </w:r>
      <w:r>
        <w:t xml:space="preserve">at least restrict the possible number of models. Our algorithm uses a noise</w:t>
      </w:r>
      <w:r>
        <w:t xml:space="preserve"> </w:t>
      </w:r>
      <w:r>
        <w:t xml:space="preserve">function that assumes false hit events are non-overlapping (i.e. the same</w:t>
      </w:r>
      <w:r>
        <w:t xml:space="preserve"> </w:t>
      </w:r>
      <w:r>
        <w:t xml:space="preserve">gene cannot be the result of two false positive events in two or more genotypes)</w:t>
      </w:r>
      <w:r>
        <w:t xml:space="preserve"> </w:t>
      </w:r>
      <w:r>
        <w:t xml:space="preserve">to determine the average noise flux between phenotypic classes. These</w:t>
      </w:r>
      <w:r>
        <w:t xml:space="preserve"> </w:t>
      </w:r>
      <w:r>
        <w:t xml:space="preserve">assumptions break down rapidly if false-positive or negative rates exceed 20%.</w:t>
      </w:r>
    </w:p>
    <w:p>
      <w:pPr>
        <w:pStyle w:val="BodyText"/>
      </w:pPr>
      <w:r>
        <w:t xml:space="preserve">To benchmark our algorithm, we generated one thousand Venn diagrams at random.</w:t>
      </w:r>
      <w:r>
        <w:t xml:space="preserve"> </w:t>
      </w:r>
      <w:r>
        <w:t xml:space="preserve">For each Venn diagram, we calculated the average false positive and false</w:t>
      </w:r>
      <w:r>
        <w:t xml:space="preserve"> </w:t>
      </w:r>
      <w:r>
        <w:t xml:space="preserve">negative flux matrices. Then, we added noise to each phenotypic class in the</w:t>
      </w:r>
      <w:r>
        <w:t xml:space="preserve"> </w:t>
      </w:r>
      <w:r>
        <w:t xml:space="preserve">Venn diagram, assuming that fluxes were normally distributed with mean and</w:t>
      </w:r>
      <w:r>
        <w:t xml:space="preserve"> </w:t>
      </w:r>
      <w:r>
        <w:t xml:space="preserve">standard deviation equal to the flux coefficient calculated. We input the noised</w:t>
      </w:r>
      <w:r>
        <w:t xml:space="preserve"> </w:t>
      </w:r>
      <w:r>
        <w:t xml:space="preserve">Venn diagram into our false hit analysis and collected classification</w:t>
      </w:r>
      <w:r>
        <w:t xml:space="preserve"> </w:t>
      </w:r>
      <w:r>
        <w:t xml:space="preserve">statistics. For a given signal-to-noise cutoff,</w:t>
      </w:r>
      <w:r>
        <w:t xml:space="preserve"> </w:t>
      </w:r>
      <m:oMath>
        <m:r>
          <m:t>λ</m:t>
        </m:r>
      </m:oMath>
      <w:r>
        <w:t xml:space="preserve">, classification</w:t>
      </w:r>
      <w:r>
        <w:t xml:space="preserve"> </w:t>
      </w:r>
      <w:r>
        <w:t xml:space="preserve">accuracy varied significantly with changes in the total error rate. In the</w:t>
      </w:r>
      <w:r>
        <w:t xml:space="preserve"> </w:t>
      </w:r>
      <w:r>
        <w:t xml:space="preserve">absence of false negative hits, false hit analysis can accurately identify</w:t>
      </w:r>
      <w:r>
        <w:t xml:space="preserve"> </w:t>
      </w:r>
      <w:r>
        <w:t xml:space="preserve">non-empty genotype-associated phenotypic classes, but identifying</w:t>
      </w:r>
      <w:r>
        <w:t xml:space="preserve"> </w:t>
      </w:r>
      <w:r>
        <w:t xml:space="preserve">genotype-specific classes becomes difficult if the experimental false positive</w:t>
      </w:r>
      <w:r>
        <w:t xml:space="preserve"> </w:t>
      </w:r>
      <w:r>
        <w:t xml:space="preserve">rate is high. On the other hand, even moderate false negative rates (</w:t>
      </w:r>
      <m:oMath>
        <m:r>
          <m:t>&gt;</m:t>
        </m:r>
        <m:r>
          <m:t>10</m:t>
        </m:r>
        <m:r>
          <m:t>%</m:t>
        </m:r>
      </m:oMath>
      <w:r>
        <w:t xml:space="preserve">)</w:t>
      </w:r>
      <w:r>
        <w:t xml:space="preserve"> </w:t>
      </w:r>
      <w:r>
        <w:t xml:space="preserve">rapidly degrade signal from genotype-associated classes. For classes that are</w:t>
      </w:r>
      <w:r>
        <w:t xml:space="preserve"> </w:t>
      </w:r>
      <w:r>
        <w:t xml:space="preserve">associated with three genotypes, an experimental false negative rate of 30% is</w:t>
      </w:r>
      <w:r>
        <w:t xml:space="preserve"> </w:t>
      </w:r>
      <w:r>
        <w:t xml:space="preserve">enough on average to prevents this class from being observed.</w:t>
      </w:r>
    </w:p>
    <w:p>
      <w:pPr>
        <w:pStyle w:val="BodyText"/>
      </w:pPr>
      <w:r>
        <w:t xml:space="preserve">We selected</w:t>
      </w:r>
      <w:r>
        <w:t xml:space="preserve"> </w:t>
      </w:r>
      <m:oMath>
        <m:r>
          <m:t>λ</m:t>
        </m:r>
        <m:r>
          <m:t>=</m:t>
        </m:r>
        <m:r>
          <m:t>3</m:t>
        </m:r>
      </m:oMath>
      <w:r>
        <w:t xml:space="preserve"> </w:t>
      </w:r>
      <w:r>
        <w:t xml:space="preserve">because classification using this threshold was high</w:t>
      </w:r>
      <w:r>
        <w:t xml:space="preserve"> </w:t>
      </w:r>
      <w:r>
        <w:t xml:space="preserve">across a range of false positive and false negative combinations. A challenge to</w:t>
      </w:r>
      <w:r>
        <w:t xml:space="preserve"> </w:t>
      </w:r>
      <w:r>
        <w:t xml:space="preserve">applying this algorithm to our data is the fact that the false negative rate for</w:t>
      </w:r>
      <w:r>
        <w:t xml:space="preserve"> </w:t>
      </w:r>
      <w:r>
        <w:t xml:space="preserve">our experiment is unknown. Although there has been significant progress in</w:t>
      </w:r>
      <w:r>
        <w:t xml:space="preserve"> </w:t>
      </w:r>
      <w:r>
        <w:t xml:space="preserve">controlling and estimating false positive rates, we know of no such attempts for</w:t>
      </w:r>
      <w:r>
        <w:t xml:space="preserve"> </w:t>
      </w:r>
      <w:r>
        <w:t xml:space="preserve">false negative rates. It is unlikely that the false negative rate for our study</w:t>
      </w:r>
      <w:r>
        <w:t xml:space="preserve"> </w:t>
      </w:r>
      <w:r>
        <w:t xml:space="preserve">is lower than the false positive rate, because all genotypes except the controls</w:t>
      </w:r>
      <w:r>
        <w:t xml:space="preserve"> </w:t>
      </w:r>
      <w:r>
        <w:t xml:space="preserve">are likely underpowered. We used false negative rates between 10–20% for false</w:t>
      </w:r>
      <w:r>
        <w:t xml:space="preserve"> </w:t>
      </w:r>
      <w:r>
        <w:t xml:space="preserve">hit analysis. When the false negative rate was set at 15% or higher, the</w:t>
      </w:r>
      <w:r>
        <w:t xml:space="preserve"> </w:t>
      </w:r>
      <w:r>
        <w:t xml:space="preserve">algorithm converged on the same five classes shown above. For false negative</w:t>
      </w:r>
      <w:r>
        <w:t xml:space="preserve"> </w:t>
      </w:r>
      <w:r>
        <w:t xml:space="preserve">rates between 10–15%, the algorithm output the same five classes, but also</w:t>
      </w:r>
      <w:r>
        <w:t xml:space="preserve"> </w:t>
      </w:r>
      <w:r>
        <w:t xml:space="preserve">accepted the (</w:t>
      </w:r>
      <w:r>
        <w:rPr>
          <w:i/>
        </w:rPr>
        <w:t xml:space="preserve">dpy-22(sy622)</w:t>
      </w:r>
      <w:r>
        <w:t xml:space="preserve">,</w:t>
      </w:r>
      <w:r>
        <w:rPr>
          <w:i/>
        </w:rPr>
        <w:t xml:space="preserve">dpy-22(bx93)</w:t>
      </w:r>
      <w:r>
        <w:t xml:space="preserve">)-associated class. We selected the model corresponding</w:t>
      </w:r>
      <w:r>
        <w:t xml:space="preserve"> </w:t>
      </w:r>
      <w:r>
        <w:t xml:space="preserve">to false negative rates of 15–20% because this model had lower</w:t>
      </w:r>
      <w:r>
        <w:t xml:space="preserve"> </w:t>
      </w:r>
      <m:oMath>
        <m:sSup>
          <m:e>
            <m:r>
              <m:t>χ</m:t>
            </m:r>
          </m:e>
          <m:sup>
            <m:r>
              <m:t>2</m:t>
            </m:r>
          </m:sup>
        </m:sSup>
      </m:oMath>
      <w:r>
        <w:t xml:space="preserve"> </w:t>
      </w:r>
      <w:r>
        <w:t xml:space="preserve">values</w:t>
      </w:r>
      <w:r>
        <w:t xml:space="preserve"> </w:t>
      </w:r>
      <w:r>
        <w:t xml:space="preserve">than the model selected with a false negative rate of 10–15% (4,212 versus</w:t>
      </w:r>
      <w:r>
        <w:t xml:space="preserve"> </w:t>
      </w:r>
      <w:r>
        <w:t xml:space="preserve">100,650).</w:t>
      </w:r>
    </w:p>
    <w:p>
      <w:pPr>
        <w:pStyle w:val="BodyText"/>
      </w:pPr>
      <w:r>
        <w:t xml:space="preserve">We asked whether re-classification of some classes into others could improve</w:t>
      </w:r>
      <w:r>
        <w:t xml:space="preserve"> </w:t>
      </w:r>
      <w:r>
        <w:t xml:space="preserve">model fit. We manually re-classified the (</w:t>
      </w:r>
      <w:r>
        <w:rPr>
          <w:i/>
        </w:rPr>
        <w:t xml:space="preserve">dpy-22(sy622)</w:t>
      </w:r>
      <w:r>
        <w:t xml:space="preserve">,</w:t>
      </w:r>
      <w:r>
        <w:rPr>
          <w:i/>
        </w:rPr>
        <w:t xml:space="preserve">dpy-22(bx93)</w:t>
      </w:r>
      <w:r>
        <w:t xml:space="preserve">)-associated and the (</w:t>
      </w:r>
      <w:r>
        <w:rPr>
          <w:i/>
        </w:rPr>
        <w:t xml:space="preserve">dpy-22(bx93)</w:t>
      </w:r>
      <w:r>
        <w:t xml:space="preserve">,</w:t>
      </w:r>
      <w:r>
        <w:t xml:space="preserve"> </w:t>
      </w:r>
      <w:r>
        <w:rPr>
          <w:i/>
        </w:rPr>
        <w:t xml:space="preserve">trans-heterozygote</w:t>
      </w:r>
      <w:r>
        <w:t xml:space="preserve">)-associated classes into the</w:t>
      </w:r>
      <w:r>
        <w:t xml:space="preserve"> </w:t>
      </w:r>
      <w:r>
        <w:rPr>
          <w:i/>
        </w:rPr>
        <w:t xml:space="preserve">bx93</w:t>
      </w:r>
      <w:r>
        <w:t xml:space="preserve">-associated</w:t>
      </w:r>
      <w:r>
        <w:t xml:space="preserve"> </w:t>
      </w:r>
      <w:r>
        <w:t xml:space="preserve">class (which is associated with all genotypes), and we compared</w:t>
      </w:r>
      <w:r>
        <w:t xml:space="preserve"> </w:t>
      </w:r>
      <m:oMath>
        <m:sSup>
          <m:e>
            <m:r>
              <m:t>χ</m:t>
            </m:r>
          </m:e>
          <m:sup>
            <m:r>
              <m:t>2</m:t>
            </m:r>
          </m:sup>
        </m:sSup>
      </m:oMath>
      <w:r>
        <w:t xml:space="preserve"> </w:t>
      </w:r>
      <w:r>
        <w:t xml:space="preserve">statistics between a re-classified reduced model and a reduced model. The</w:t>
      </w:r>
      <w:r>
        <w:t xml:space="preserve"> </w:t>
      </w:r>
      <w:r>
        <w:t xml:space="preserve">re-classified model had a lower</w:t>
      </w:r>
      <w:r>
        <w:t xml:space="preserve"> </w:t>
      </w:r>
      <m:oMath>
        <m:sSup>
          <m:e>
            <m:r>
              <m:t>χ</m:t>
            </m:r>
          </m:e>
          <m:sup>
            <m:r>
              <m:t>2</m:t>
            </m:r>
          </m:sup>
        </m:sSup>
      </m:oMath>
      <w:r>
        <w:t xml:space="preserve"> </w:t>
      </w:r>
      <w:r>
        <w:t xml:space="preserve">(181). Thus, we concluded that the</w:t>
      </w:r>
      <w:r>
        <w:t xml:space="preserve"> </w:t>
      </w:r>
      <w:r>
        <w:t xml:space="preserve">re-classified reduced model is the most likely model to give rise to our data.</w:t>
      </w:r>
    </w:p>
    <w:p>
      <w:pPr>
        <w:pStyle w:val="BodyText"/>
      </w:pPr>
      <w:r>
        <w:t xml:space="preserve">[alg:false]</w:t>
      </w:r>
    </w:p>
    <w:p>
      <w:pPr>
        <w:pStyle w:val="BodyText"/>
      </w:pPr>
      <w:r>
        <w:rPr>
          <w:i/>
        </w:rPr>
        <w:t xml:space="preserve">Return the reduced model</w:t>
      </w:r>
      <w:r>
        <w:t xml:space="preserve"> </w:t>
      </w:r>
      <m:oMath>
        <m:sSub>
          <m:e>
            <m:r>
              <m:rPr>
                <m:sty m:val="b"/>
              </m:rPr>
              <m:t>M</m:t>
            </m:r>
          </m:e>
          <m:sub>
            <m:r>
              <m:t>r</m:t>
            </m:r>
            <m:r>
              <m:t>e</m:t>
            </m:r>
            <m:r>
              <m:t>d</m:t>
            </m:r>
            <m:r>
              <m:t>u</m:t>
            </m:r>
            <m:r>
              <m:t>c</m:t>
            </m:r>
            <m:r>
              <m:t>e</m:t>
            </m:r>
            <m:r>
              <m:t>d</m:t>
            </m:r>
          </m:sub>
        </m:sSub>
        <m:r>
          <m:t>=</m:t>
        </m:r>
        <m:r>
          <m:rPr>
            <m:sty m:val="b"/>
          </m:rPr>
          <m:t>K</m:t>
        </m:r>
      </m:oMath>
    </w:p>
    <w:p>
      <w:pPr>
        <w:pStyle w:val="Heading2"/>
      </w:pPr>
      <w:bookmarkStart w:id="50" w:name="subsec:dominance"/>
      <w:bookmarkEnd w:id="50"/>
      <w:r>
        <w:t xml:space="preserve">Dominance analysis</w:t>
      </w:r>
    </w:p>
    <w:p>
      <w:pPr>
        <w:pStyle w:val="FirstParagraph"/>
      </w:pPr>
      <w:r>
        <w:t xml:space="preserve">We modeled allelic dominance as a weighted average of allelic activity:</w:t>
      </w:r>
    </w:p>
    <w:p>
      <w:pPr>
        <w:pStyle w:val="BodyText"/>
      </w:pPr>
      <m:oMathPara>
        <m:oMathParaPr>
          <m:jc m:val="center"/>
        </m:oMathParaPr>
        <m:oMath>
          <m:sSub>
            <m:e>
              <m:r>
                <m:t>β</m:t>
              </m:r>
            </m:e>
            <m:sub>
              <m:r>
                <m:t>a</m:t>
              </m:r>
              <m:r>
                <m:t>/</m:t>
              </m:r>
              <m:r>
                <m:t>b</m:t>
              </m:r>
              <m:r>
                <m:t>,</m:t>
              </m:r>
              <m:r>
                <m:t>i</m:t>
              </m:r>
              <m:r>
                <m:t>,</m:t>
              </m:r>
              <m:r>
                <m:rPr>
                  <m:sty m:val="p"/>
                </m:rPr>
                <m:t>Pred</m:t>
              </m:r>
            </m:sub>
          </m:sSub>
          <m:r>
            <m:t>(</m:t>
          </m:r>
          <m:sSub>
            <m:e>
              <m:r>
                <m:t>d</m:t>
              </m:r>
            </m:e>
            <m:sub>
              <m:r>
                <m:t>a</m:t>
              </m:r>
            </m:sub>
          </m:sSub>
          <m:r>
            <m:t>)</m:t>
          </m:r>
          <m:r>
            <m:t>=</m:t>
          </m:r>
          <m:sSub>
            <m:e>
              <m:r>
                <m:t>d</m:t>
              </m:r>
            </m:e>
            <m:sub>
              <m:r>
                <m:t>a</m:t>
              </m:r>
            </m:sub>
          </m:sSub>
          <m:r>
            <m:t>⋅</m:t>
          </m:r>
          <m:sSub>
            <m:e>
              <m:r>
                <m:t>β</m:t>
              </m:r>
            </m:e>
            <m:sub>
              <m:r>
                <m:t>a</m:t>
              </m:r>
              <m:r>
                <m:t>/</m:t>
              </m:r>
              <m:r>
                <m:t>a</m:t>
              </m:r>
              <m:r>
                <m:t>,</m:t>
              </m:r>
              <m:r>
                <m:t>i</m:t>
              </m:r>
            </m:sub>
          </m:sSub>
          <m:r>
            <m:t>+</m:t>
          </m:r>
          <m:r>
            <m:t>(</m:t>
          </m:r>
          <m:r>
            <m:t>1</m:t>
          </m:r>
          <m:r>
            <m:t>−</m:t>
          </m:r>
          <m:sSub>
            <m:e>
              <m:r>
                <m:t>d</m:t>
              </m:r>
            </m:e>
            <m:sub>
              <m:r>
                <m:t>a</m:t>
              </m:r>
            </m:sub>
          </m:sSub>
          <m:r>
            <m:t>)</m:t>
          </m:r>
          <m:r>
            <m:t>⋅</m:t>
          </m:r>
          <m:sSub>
            <m:e>
              <m:r>
                <m:t>β</m:t>
              </m:r>
            </m:e>
            <m:sub>
              <m:r>
                <m:t>b</m:t>
              </m:r>
              <m:r>
                <m:t>/</m:t>
              </m:r>
              <m:r>
                <m:t>b</m:t>
              </m:r>
              <m:r>
                <m:t>,</m:t>
              </m:r>
              <m:r>
                <m:t>i</m:t>
              </m:r>
            </m:sub>
          </m:sSub>
          <m:r>
            <m:t>,</m:t>
          </m:r>
        </m:oMath>
      </m:oMathPara>
    </w:p>
    <w:p>
      <w:pPr>
        <w:pStyle w:val="FirstParagraph"/>
      </w:pPr>
      <w:r>
        <w:t xml:space="preserve">where</w:t>
      </w:r>
      <w:r>
        <w:t xml:space="preserve"> </w:t>
      </w:r>
      <m:oMath>
        <m:sSub>
          <m:e>
            <m:r>
              <m:t>β</m:t>
            </m:r>
          </m:e>
          <m:sub>
            <m:r>
              <m:t>k</m:t>
            </m:r>
            <m:r>
              <m:t>/</m:t>
            </m:r>
            <m:r>
              <m:t>k</m:t>
            </m:r>
            <m:r>
              <m:t>,</m:t>
            </m:r>
            <m:r>
              <m:t>i</m:t>
            </m:r>
          </m:sub>
        </m:sSub>
      </m:oMath>
      <w:r>
        <w:t xml:space="preserve"> </w:t>
      </w:r>
      <w:r>
        <w:t xml:space="preserve">refers to the</w:t>
      </w:r>
      <w:r>
        <w:t xml:space="preserve"> </w:t>
      </w:r>
      <m:oMath>
        <m:r>
          <m:t>β</m:t>
        </m:r>
      </m:oMath>
      <w:r>
        <w:t xml:space="preserve"> </w:t>
      </w:r>
      <w:r>
        <w:t xml:space="preserve">value of the</w:t>
      </w:r>
      <w:r>
        <w:t xml:space="preserve"> </w:t>
      </w:r>
      <m:oMath>
        <m:r>
          <m:t>i</m:t>
        </m:r>
      </m:oMath>
      <w:r>
        <w:t xml:space="preserve">th isoform in a</w:t>
      </w:r>
      <w:r>
        <w:t xml:space="preserve"> </w:t>
      </w:r>
      <w:r>
        <w:t xml:space="preserve">genotype</w:t>
      </w:r>
      <w:r>
        <w:t xml:space="preserve"> </w:t>
      </w:r>
      <m:oMath>
        <m:r>
          <m:t>k</m:t>
        </m:r>
        <m:r>
          <m:t>/</m:t>
        </m:r>
        <m:r>
          <m:t>k</m:t>
        </m:r>
      </m:oMath>
      <w:r>
        <w:t xml:space="preserve">, and</w:t>
      </w:r>
      <w:r>
        <w:t xml:space="preserve"> </w:t>
      </w:r>
      <m:oMath>
        <m:sSub>
          <m:e>
            <m:r>
              <m:t>d</m:t>
            </m:r>
          </m:e>
          <m:sub>
            <m:r>
              <m:t>a</m:t>
            </m:r>
          </m:sub>
        </m:sSub>
      </m:oMath>
      <w:r>
        <w:t xml:space="preserve"> </w:t>
      </w:r>
      <w:r>
        <w:t xml:space="preserve">is the dominance coefficient for allele</w:t>
      </w:r>
      <w:r>
        <w:t xml:space="preserve"> </w:t>
      </w:r>
      <m:oMath>
        <m:r>
          <m:t>a</m:t>
        </m:r>
      </m:oMath>
      <w:r>
        <w:t xml:space="preserve">.</w:t>
      </w:r>
    </w:p>
    <w:p>
      <w:pPr>
        <w:pStyle w:val="BodyText"/>
      </w:pPr>
      <w:r>
        <w:t xml:space="preserve">To find the parameters</w:t>
      </w:r>
      <w:r>
        <w:t xml:space="preserve"> </w:t>
      </w:r>
      <m:oMath>
        <m:sSub>
          <m:e>
            <m:r>
              <m:t>d</m:t>
            </m:r>
          </m:e>
          <m:sub>
            <m:r>
              <m:t>a</m:t>
            </m:r>
          </m:sub>
        </m:sSub>
      </m:oMath>
      <w:r>
        <w:t xml:space="preserve"> </w:t>
      </w:r>
      <w:r>
        <w:t xml:space="preserve">that maximized the probability of observing the</w:t>
      </w:r>
      <w:r>
        <w:t xml:space="preserve"> </w:t>
      </w:r>
      <w:r>
        <w:t xml:space="preserve">data, we found the parameter,</w:t>
      </w:r>
      <w:r>
        <w:t xml:space="preserve"> </w:t>
      </w:r>
      <m:oMath>
        <m:sSub>
          <m:e>
            <m:r>
              <m:t>d</m:t>
            </m:r>
          </m:e>
          <m:sub>
            <m:r>
              <m:t>a</m:t>
            </m:r>
          </m:sub>
        </m:sSub>
      </m:oMath>
      <w:r>
        <w:t xml:space="preserve">, that maximized the equation:</w:t>
      </w:r>
    </w:p>
    <w:p>
      <w:pPr>
        <w:pStyle w:val="BodyText"/>
      </w:pPr>
      <m:oMathPara>
        <m:oMathParaPr>
          <m:jc m:val="center"/>
        </m:oMathParaPr>
        <m:oMath>
          <m:r>
            <m:t>P</m:t>
          </m:r>
          <m:r>
            <m:t>(</m:t>
          </m:r>
          <m:sSub>
            <m:e>
              <m:r>
                <m:t>d</m:t>
              </m:r>
            </m:e>
            <m:sub>
              <m:r>
                <m:t>a</m:t>
              </m:r>
            </m:sub>
          </m:sSub>
          <m:r>
            <m:t>|</m:t>
          </m:r>
          <m:r>
            <m:t>D</m:t>
          </m:r>
          <m:r>
            <m:t>,</m:t>
          </m:r>
          <m:r>
            <m:t>H</m:t>
          </m:r>
          <m:r>
            <m:t>,</m:t>
          </m:r>
          <m:r>
            <m:t>I</m:t>
          </m:r>
          <m:r>
            <m:t>)</m:t>
          </m:r>
          <m:r>
            <m:t>∝</m:t>
          </m:r>
          <m:nary>
            <m:naryPr>
              <m:chr m:val="∏"/>
              <m:limLoc m:val="undOvr"/>
              <m:subHide m:val="0"/>
              <m:supHide m:val="1"/>
            </m:naryPr>
            <m:sub>
              <m:r>
                <m:t>i</m:t>
              </m:r>
              <m:r>
                <m:t>∈</m:t>
              </m:r>
              <m:r>
                <m:t>S</m:t>
              </m:r>
            </m:sub>
            <m:sup/>
            <m:e>
              <m:r>
                <m:rPr>
                  <m:sty m:val="p"/>
                </m:rPr>
                <m:t>exp</m:t>
              </m:r>
            </m:e>
          </m:nary>
          <m:r>
            <m:t>−</m:t>
          </m:r>
          <m:f>
            <m:fPr>
              <m:type m:val="bar"/>
            </m:fPr>
            <m:num>
              <m:sSup>
                <m:e>
                  <m:r>
                    <m:t>(</m:t>
                  </m:r>
                  <m:sSub>
                    <m:e>
                      <m:r>
                        <m:t>β</m:t>
                      </m:r>
                    </m:e>
                    <m:sub>
                      <m:r>
                        <m:t>a</m:t>
                      </m:r>
                      <m:r>
                        <m:t>/</m:t>
                      </m:r>
                      <m:r>
                        <m:t>b</m:t>
                      </m:r>
                      <m:r>
                        <m:t>,</m:t>
                      </m:r>
                      <m:r>
                        <m:t>i</m:t>
                      </m:r>
                      <m:r>
                        <m:t>,</m:t>
                      </m:r>
                      <m:r>
                        <m:rPr>
                          <m:sty m:val="p"/>
                        </m:rPr>
                        <m:t>Obs</m:t>
                      </m:r>
                    </m:sub>
                  </m:sSub>
                  <m:r>
                    <m:t>−</m:t>
                  </m:r>
                  <m:sSub>
                    <m:e>
                      <m:r>
                        <m:t>β</m:t>
                      </m:r>
                    </m:e>
                    <m:sub>
                      <m:r>
                        <m:t>a</m:t>
                      </m:r>
                      <m:r>
                        <m:t>/</m:t>
                      </m:r>
                      <m:r>
                        <m:t>b</m:t>
                      </m:r>
                      <m:r>
                        <m:t>,</m:t>
                      </m:r>
                      <m:r>
                        <m:t>i</m:t>
                      </m:r>
                      <m:r>
                        <m:t>,</m:t>
                      </m:r>
                      <m:r>
                        <m:rPr>
                          <m:sty m:val="p"/>
                        </m:rPr>
                        <m:t>Pred</m:t>
                      </m:r>
                    </m:sub>
                  </m:sSub>
                  <m:r>
                    <m:t>(</m:t>
                  </m:r>
                  <m:sSub>
                    <m:e>
                      <m:r>
                        <m:t>d</m:t>
                      </m:r>
                    </m:e>
                    <m:sub>
                      <m:r>
                        <m:t>a</m:t>
                      </m:r>
                    </m:sub>
                  </m:sSub>
                  <m:r>
                    <m:t>)</m:t>
                  </m:r>
                  <m:r>
                    <m:t>)</m:t>
                  </m:r>
                </m:e>
                <m:sup>
                  <m:r>
                    <m:t>2</m:t>
                  </m:r>
                </m:sup>
              </m:sSup>
            </m:num>
            <m:den>
              <m:r>
                <m:t>2</m:t>
              </m:r>
              <m:sSubSup>
                <m:e>
                  <m:r>
                    <m:t>σ</m:t>
                  </m:r>
                </m:e>
                <m:sub>
                  <m:r>
                    <m:t>i</m:t>
                  </m:r>
                </m:sub>
                <m:sup>
                  <m:r>
                    <m:t>2</m:t>
                  </m:r>
                </m:sup>
              </m:sSubSup>
            </m:den>
          </m:f>
        </m:oMath>
      </m:oMathPara>
    </w:p>
    <w:p>
      <w:pPr>
        <w:pStyle w:val="FirstParagraph"/>
      </w:pPr>
      <w:r>
        <w:t xml:space="preserve">where</w:t>
      </w:r>
      <w:r>
        <w:t xml:space="preserve"> </w:t>
      </w:r>
      <m:oMath>
        <m:sSub>
          <m:e>
            <m:r>
              <m:t>β</m:t>
            </m:r>
          </m:e>
          <m:sub>
            <m:r>
              <m:t>a</m:t>
            </m:r>
            <m:r>
              <m:t>/</m:t>
            </m:r>
            <m:r>
              <m:t>b</m:t>
            </m:r>
            <m:r>
              <m:t>,</m:t>
            </m:r>
            <m:r>
              <m:t>i</m:t>
            </m:r>
            <m:r>
              <m:t>,</m:t>
            </m:r>
            <m:r>
              <m:rPr>
                <m:sty m:val="p"/>
              </m:rPr>
              <m:t>Obs</m:t>
            </m:r>
          </m:sub>
        </m:sSub>
      </m:oMath>
      <w:r>
        <w:t xml:space="preserve"> </w:t>
      </w:r>
      <w:r>
        <w:t xml:space="preserve">was the coefficient associated with the</w:t>
      </w:r>
      <w:r>
        <w:t xml:space="preserve"> </w:t>
      </w:r>
      <m:oMath>
        <m:r>
          <m:t>i</m:t>
        </m:r>
      </m:oMath>
      <w:r>
        <w:t xml:space="preserve">th</w:t>
      </w:r>
      <w:r>
        <w:t xml:space="preserve"> </w:t>
      </w:r>
      <w:r>
        <w:t xml:space="preserve">isoform in the</w:t>
      </w:r>
      <w:r>
        <w:t xml:space="preserve"> </w:t>
      </w:r>
      <w:r>
        <w:rPr>
          <w:i/>
        </w:rPr>
        <w:t xml:space="preserve">trans</w:t>
      </w:r>
      <w:r>
        <w:t xml:space="preserve">-het</w:t>
      </w:r>
      <w:r>
        <w:t xml:space="preserve"> </w:t>
      </w:r>
      <m:oMath>
        <m:r>
          <m:t>a</m:t>
        </m:r>
        <m:r>
          <m:t>/</m:t>
        </m:r>
        <m:r>
          <m:t>b</m:t>
        </m:r>
      </m:oMath>
      <w:r>
        <w:t xml:space="preserve"> </w:t>
      </w:r>
      <w:r>
        <w:t xml:space="preserve">and</w:t>
      </w:r>
      <w:r>
        <w:t xml:space="preserve"> </w:t>
      </w:r>
      <m:oMath>
        <m:sSub>
          <m:e>
            <m:r>
              <m:t>σ</m:t>
            </m:r>
          </m:e>
          <m:sub>
            <m:r>
              <m:t>i</m:t>
            </m:r>
          </m:sub>
        </m:sSub>
      </m:oMath>
      <w:r>
        <w:t xml:space="preserve"> </w:t>
      </w:r>
      <w:r>
        <w:t xml:space="preserve">was the standard error of</w:t>
      </w:r>
      <w:r>
        <w:t xml:space="preserve"> </w:t>
      </w:r>
      <w:r>
        <w:t xml:space="preserve">the</w:t>
      </w:r>
      <w:r>
        <w:t xml:space="preserve"> </w:t>
      </w:r>
      <m:oMath>
        <m:r>
          <m:t>i</m:t>
        </m:r>
      </m:oMath>
      <w:r>
        <w:t xml:space="preserve">th isoform in the</w:t>
      </w:r>
      <w:r>
        <w:t xml:space="preserve"> </w:t>
      </w:r>
      <w:r>
        <w:rPr>
          <w:i/>
        </w:rPr>
        <w:t xml:space="preserve">trans</w:t>
      </w:r>
      <w:r>
        <w:t xml:space="preserve">-heterozygote samples as output by</w:t>
      </w:r>
      <w:r>
        <w:t xml:space="preserve"> </w:t>
      </w:r>
      <w:r>
        <w:t xml:space="preserve">Kallisto.</w:t>
      </w:r>
      <w:r>
        <w:t xml:space="preserve"> </w:t>
      </w:r>
      <m:oMath>
        <m:r>
          <m:t>S</m:t>
        </m:r>
      </m:oMath>
      <w:r>
        <w:t xml:space="preserve"> </w:t>
      </w:r>
      <w:r>
        <w:t xml:space="preserve">is the set of isoforms that participate in the regression (see</w:t>
      </w:r>
      <w:r>
        <w:t xml:space="preserve"> </w:t>
      </w:r>
      <w:r>
        <w:t xml:space="preserve">main text). This equation describes a linear regression which was solved</w:t>
      </w:r>
      <w:r>
        <w:t xml:space="preserve"> </w:t>
      </w:r>
      <w:r>
        <w:t xml:space="preserve">numerically.</w:t>
      </w:r>
    </w:p>
    <w:p>
      <w:pPr>
        <w:pStyle w:val="Heading2"/>
      </w:pPr>
      <w:bookmarkStart w:id="51" w:name="code"/>
      <w:bookmarkEnd w:id="51"/>
      <w:r>
        <w:t xml:space="preserve">Code</w:t>
      </w:r>
    </w:p>
    <w:p>
      <w:pPr>
        <w:pStyle w:val="FirstParagraph"/>
      </w:pPr>
      <w:r>
        <w:t xml:space="preserve">Code was written in Jupyter notebooks </w:t>
      </w:r>
      <w:r>
        <w:rPr>
          <w:vertAlign w:val="superscript"/>
        </w:rPr>
        <w:t xml:space="preserve">32</w:t>
      </w:r>
      <w:r>
        <w:t xml:space="preserve"> </w:t>
      </w:r>
      <w:r>
        <w:t xml:space="preserve">using the Python</w:t>
      </w:r>
      <w:r>
        <w:t xml:space="preserve"> </w:t>
      </w:r>
      <w:r>
        <w:t xml:space="preserve">programming language. The Numpy, pandas and scipy libraries were used for</w:t>
      </w:r>
      <w:r>
        <w:t xml:space="preserve"> </w:t>
      </w:r>
      <w:r>
        <w:t xml:space="preserve">computation </w:t>
      </w:r>
      <w:r>
        <w:rPr>
          <w:vertAlign w:val="superscript"/>
        </w:rPr>
        <w:t xml:space="preserve">33–35</w:t>
      </w:r>
      <w:r>
        <w:t xml:space="preserve"> </w:t>
      </w:r>
      <w:r>
        <w:t xml:space="preserve">and the matplotlib</w:t>
      </w:r>
      <w:r>
        <w:t xml:space="preserve"> </w:t>
      </w:r>
      <w:r>
        <w:t xml:space="preserve">and seaborn libraries were used for data visualization </w:t>
      </w:r>
      <w:r>
        <w:rPr>
          <w:vertAlign w:val="superscript"/>
        </w:rPr>
        <w:t xml:space="preserve">36,37</w:t>
      </w:r>
      <w:r>
        <w:t xml:space="preserve">.</w:t>
      </w:r>
      <w:r>
        <w:t xml:space="preserve"> </w:t>
      </w:r>
      <w:r>
        <w:t xml:space="preserve">Enrichment analyses were performed using the WormBase Enrichment</w:t>
      </w:r>
      <w:r>
        <w:t xml:space="preserve"> </w:t>
      </w:r>
      <w:r>
        <w:t xml:space="preserve">Suite </w:t>
      </w:r>
      <w:r>
        <w:rPr>
          <w:vertAlign w:val="superscript"/>
        </w:rPr>
        <w:t xml:space="preserve">24</w:t>
      </w:r>
      <w:r>
        <w:t xml:space="preserve">. For all enrichment analyses, a</w:t>
      </w:r>
      <w:r>
        <w:t xml:space="preserve"> </w:t>
      </w:r>
      <m:oMath>
        <m:r>
          <m:t>q</m:t>
        </m:r>
      </m:oMath>
      <w:r>
        <w:t xml:space="preserve">-value of</w:t>
      </w:r>
      <w:r>
        <w:t xml:space="preserve"> </w:t>
      </w:r>
      <w:r>
        <w:t xml:space="preserve">less than</w:t>
      </w:r>
      <w:r>
        <w:t xml:space="preserve"> </w:t>
      </w:r>
      <m:oMath>
        <m:sSup>
          <m:e>
            <m:r>
              <m:t>10</m:t>
            </m:r>
          </m:e>
          <m:sup>
            <m:r>
              <m:t>−</m:t>
            </m:r>
            <m:r>
              <m:t>3</m:t>
            </m:r>
          </m:sup>
        </m:sSup>
      </m:oMath>
      <w:r>
        <w:t xml:space="preserve"> </w:t>
      </w:r>
      <w:r>
        <w:t xml:space="preserve">was considered statistically significant. For gene ontology</w:t>
      </w:r>
      <w:r>
        <w:t xml:space="preserve"> </w:t>
      </w:r>
      <w:r>
        <w:t xml:space="preserve">enrichment analysis, terms were considered statistically significant only if</w:t>
      </w:r>
      <w:r>
        <w:t xml:space="preserve"> </w:t>
      </w:r>
      <w:r>
        <w:t xml:space="preserve">they also showed an enrichment fold-change greater than 2.</w:t>
      </w:r>
    </w:p>
    <w:p>
      <w:pPr>
        <w:pStyle w:val="Heading2"/>
      </w:pPr>
      <w:bookmarkStart w:id="52" w:name="data-availability"/>
      <w:bookmarkEnd w:id="52"/>
      <w:r>
        <w:t xml:space="preserve">Data Availability</w:t>
      </w:r>
    </w:p>
    <w:p>
      <w:pPr>
        <w:pStyle w:val="FirstParagraph"/>
      </w:pPr>
      <w:r>
        <w:t xml:space="preserve">Raw and processed reads were deposited in the Gene Expression Omnibus. Scripts</w:t>
      </w:r>
      <w:r>
        <w:t xml:space="preserve"> </w:t>
      </w:r>
      <w:r>
        <w:t xml:space="preserve">for the entire analysis can be found with version control in our Github</w:t>
      </w:r>
      <w:r>
        <w:t xml:space="preserve"> </w:t>
      </w:r>
      <w:r>
        <w:t xml:space="preserve">repository,</w:t>
      </w:r>
      <w:r>
        <w:t xml:space="preserve"> </w:t>
      </w:r>
      <w:hyperlink r:id="rId53">
        <w:r>
          <w:rPr>
            <w:rStyle w:val="Hyperlink"/>
          </w:rPr>
          <w:t xml:space="preserve">https://github.com/WormLabCaltech/med-cafe</w:t>
        </w:r>
      </w:hyperlink>
      <w:r>
        <w:t xml:space="preserve">. A user-friendly,</w:t>
      </w:r>
      <w:r>
        <w:t xml:space="preserve"> </w:t>
      </w:r>
      <w:r>
        <w:t xml:space="preserve">commented website containing the complete analyses can be found at</w:t>
      </w:r>
      <w:r>
        <w:t xml:space="preserve"> </w:t>
      </w:r>
      <w:hyperlink r:id="rId54">
        <w:r>
          <w:rPr>
            <w:rStyle w:val="Hyperlink"/>
          </w:rPr>
          <w:t xml:space="preserve">https://wormlabcaltech.github.io/med-cafe/</w:t>
        </w:r>
      </w:hyperlink>
      <w:r>
        <w:t xml:space="preserve">. Raw reads and quantified</w:t>
      </w:r>
      <w:r>
        <w:t xml:space="preserve"> </w:t>
      </w:r>
      <w:r>
        <w:t xml:space="preserve">abundances for each sample were deposited at the NCBI Gene Expression Omnibus</w:t>
      </w:r>
      <w:r>
        <w:t xml:space="preserve"> </w:t>
      </w:r>
      <w:r>
        <w:t xml:space="preserve">(GEO) </w:t>
      </w:r>
      <w:r>
        <w:rPr>
          <w:vertAlign w:val="superscript"/>
        </w:rPr>
        <w:t xml:space="preserve">38</w:t>
      </w:r>
      <w:r>
        <w:t xml:space="preserve"> </w:t>
      </w:r>
      <w:r>
        <w:t xml:space="preserve">under the accession code GSE107523</w:t>
      </w:r>
      <w:r>
        <w:t xml:space="preserve"> </w:t>
      </w:r>
      <w:r>
        <w:t xml:space="preserve">(</w:t>
      </w:r>
      <w:hyperlink r:id="rId55">
        <w:r>
          <w:rPr>
            <w:rStyle w:val="Hyperlink"/>
          </w:rPr>
          <w:t xml:space="preserve">https://www.ncbi.nlm.nih.gov/geo/query/acc.cgi?acc=GSE107523</w:t>
        </w:r>
      </w:hyperlink>
      <w:r>
        <w:t xml:space="preserve">).</w:t>
      </w:r>
    </w:p>
    <w:p>
      <w:pPr>
        <w:pStyle w:val="Heading1"/>
      </w:pPr>
      <w:bookmarkStart w:id="56" w:name="acknowledgements"/>
      <w:bookmarkEnd w:id="56"/>
      <w:r>
        <w:t xml:space="preserve">Acknowledgements</w:t>
      </w:r>
    </w:p>
    <w:p>
      <w:pPr>
        <w:pStyle w:val="FirstParagraph"/>
      </w:pPr>
      <w:r>
        <w:t xml:space="preserve">This work was supported by HHMI with whom PWS was an investigator, by the</w:t>
      </w:r>
      <w:r>
        <w:t xml:space="preserve"> </w:t>
      </w:r>
      <w:r>
        <w:t xml:space="preserve">Millard and Muriel Jacobs Genetics and Genomics Laboratory at California</w:t>
      </w:r>
      <w:r>
        <w:t xml:space="preserve"> </w:t>
      </w:r>
      <w:r>
        <w:t xml:space="preserve">Institute of Technology, and by the NIH grant U41 HG002223. This article</w:t>
      </w:r>
      <w:r>
        <w:t xml:space="preserve"> </w:t>
      </w:r>
      <w:r>
        <w:t xml:space="preserve">would not be possible without help from Dr. Igor Antoshechkin and Dr. Vijaya</w:t>
      </w:r>
      <w:r>
        <w:t xml:space="preserve"> </w:t>
      </w:r>
      <w:r>
        <w:t xml:space="preserve">Kumar who performed the library preparation and sequencing.</w:t>
      </w:r>
      <w:r>
        <w:t xml:space="preserve"> </w:t>
      </w:r>
      <w:r>
        <w:t xml:space="preserve">Han Wang, Hillel Schwartz, Erich Schwarz, Porfirio Quintero and</w:t>
      </w:r>
      <w:r>
        <w:t xml:space="preserve"> </w:t>
      </w:r>
      <w:r>
        <w:t xml:space="preserve">Carmie Puckett Robinson provided valuable input throughout the project.</w:t>
      </w:r>
    </w:p>
    <w:p>
      <w:pPr>
        <w:pStyle w:val="Bibliography"/>
      </w:pPr>
      <w:r>
        <w:t xml:space="preserve">1. Aroian, R. V. &amp; Sternberg, P. W. Multiple functions of let-23, a</w:t>
      </w:r>
      <w:r>
        <w:t xml:space="preserve"> </w:t>
      </w:r>
      <w:r>
        <w:rPr>
          <w:i/>
        </w:rPr>
        <w:t xml:space="preserve">Caenorhabditis elegans</w:t>
      </w:r>
      <w:r>
        <w:t xml:space="preserve"> </w:t>
      </w:r>
      <w:r>
        <w:t xml:space="preserve">receptor tyrosine kinase gene required for vulval induction.</w:t>
      </w:r>
      <w:r>
        <w:t xml:space="preserve"> </w:t>
      </w:r>
      <w:r>
        <w:rPr>
          <w:i/>
        </w:rPr>
        <w:t xml:space="preserve">Genetics</w:t>
      </w:r>
      <w:r>
        <w:t xml:space="preserve"> </w:t>
      </w:r>
      <w:r>
        <w:rPr>
          <w:b/>
        </w:rPr>
        <w:t xml:space="preserve">128,</w:t>
      </w:r>
      <w:r>
        <w:t xml:space="preserve"> </w:t>
      </w:r>
      <w:r>
        <w:t xml:space="preserve">251–67 (1991).</w:t>
      </w:r>
    </w:p>
    <w:p>
      <w:pPr>
        <w:pStyle w:val="Bibliography"/>
      </w:pPr>
      <w:r>
        <w:t xml:space="preserve">2. Ferguson, E. &amp; Horvitz, H. R. Identification and characterization of 22 genes that affect the vulval cell lineages of</w:t>
      </w:r>
      <w:r>
        <w:t xml:space="preserve"> </w:t>
      </w:r>
      <w:r>
        <w:rPr>
          <w:i/>
        </w:rPr>
        <w:t xml:space="preserve">Caenorhabditis elegans</w:t>
      </w:r>
      <w:r>
        <w:t xml:space="preserve">.</w:t>
      </w:r>
      <w:r>
        <w:t xml:space="preserve"> </w:t>
      </w:r>
      <w:r>
        <w:rPr>
          <w:i/>
        </w:rPr>
        <w:t xml:space="preserve">Genetics</w:t>
      </w:r>
      <w:r>
        <w:t xml:space="preserve"> </w:t>
      </w:r>
      <w:r>
        <w:rPr>
          <w:b/>
        </w:rPr>
        <w:t xml:space="preserve">110,</w:t>
      </w:r>
      <w:r>
        <w:t xml:space="preserve"> </w:t>
      </w:r>
      <w:r>
        <w:t xml:space="preserve">17–72 (1985).</w:t>
      </w:r>
    </w:p>
    <w:p>
      <w:pPr>
        <w:pStyle w:val="Bibliography"/>
      </w:pPr>
      <w:r>
        <w:t xml:space="preserve">3. Greenwald, I. S., Sternberg, P. W. &amp; Robert Horvitz, H. The lin-12 locus specifies cell fates in</w:t>
      </w:r>
      <w:r>
        <w:t xml:space="preserve"> </w:t>
      </w:r>
      <w:r>
        <w:rPr>
          <w:i/>
        </w:rPr>
        <w:t xml:space="preserve">Caenorhabditis elegans</w:t>
      </w:r>
      <w:r>
        <w:t xml:space="preserve">.</w:t>
      </w:r>
      <w:r>
        <w:t xml:space="preserve"> </w:t>
      </w:r>
      <w:r>
        <w:rPr>
          <w:i/>
        </w:rPr>
        <w:t xml:space="preserve">Cell</w:t>
      </w:r>
      <w:r>
        <w:t xml:space="preserve"> </w:t>
      </w:r>
      <w:r>
        <w:rPr>
          <w:b/>
        </w:rPr>
        <w:t xml:space="preserve">34,</w:t>
      </w:r>
      <w:r>
        <w:t xml:space="preserve"> </w:t>
      </w:r>
      <w:r>
        <w:t xml:space="preserve">435–444 (1983).</w:t>
      </w:r>
    </w:p>
    <w:p>
      <w:pPr>
        <w:pStyle w:val="Bibliography"/>
      </w:pPr>
      <w:r>
        <w:t xml:space="preserve">4. Mortazavi, A., Williams, B. A., McCue, K., Schaeffer, L. &amp; Wold, B. Mapping and quantifying mammalian transcriptomes by RNA-Seq.</w:t>
      </w:r>
      <w:r>
        <w:t xml:space="preserve"> </w:t>
      </w:r>
      <w:r>
        <w:rPr>
          <w:i/>
        </w:rPr>
        <w:t xml:space="preserve">Nature Methods</w:t>
      </w:r>
      <w:r>
        <w:t xml:space="preserve"> </w:t>
      </w:r>
      <w:r>
        <w:rPr>
          <w:b/>
        </w:rPr>
        <w:t xml:space="preserve">5,</w:t>
      </w:r>
      <w:r>
        <w:t xml:space="preserve"> </w:t>
      </w:r>
      <w:r>
        <w:t xml:space="preserve">621–628 (2008).</w:t>
      </w:r>
    </w:p>
    <w:p>
      <w:pPr>
        <w:pStyle w:val="Bibliography"/>
      </w:pPr>
      <w:r>
        <w:t xml:space="preserve">5. Tang, F.</w:t>
      </w:r>
      <w:r>
        <w:t xml:space="preserve"> </w:t>
      </w:r>
      <w:r>
        <w:rPr>
          <w:i/>
        </w:rPr>
        <w:t xml:space="preserve">et al.</w:t>
      </w:r>
      <w:r>
        <w:t xml:space="preserve"> </w:t>
      </w:r>
      <w:r>
        <w:t xml:space="preserve">mRNA-Seq whole-transcriptome analysis of a single cell.</w:t>
      </w:r>
      <w:r>
        <w:t xml:space="preserve"> </w:t>
      </w:r>
      <w:r>
        <w:rPr>
          <w:i/>
        </w:rPr>
        <w:t xml:space="preserve">Nature Methods</w:t>
      </w:r>
      <w:r>
        <w:t xml:space="preserve"> </w:t>
      </w:r>
      <w:r>
        <w:rPr>
          <w:b/>
        </w:rPr>
        <w:t xml:space="preserve">6,</w:t>
      </w:r>
      <w:r>
        <w:t xml:space="preserve"> </w:t>
      </w:r>
      <w:r>
        <w:t xml:space="preserve">377–382 (2009).</w:t>
      </w:r>
    </w:p>
    <w:p>
      <w:pPr>
        <w:pStyle w:val="Bibliography"/>
      </w:pPr>
      <w:r>
        <w:t xml:space="preserve">6. Schwarz, E. M., Kato, M. &amp; Sternberg, P. W. Functional transcriptomics of a migrating cell in</w:t>
      </w:r>
      <w:r>
        <w:t xml:space="preserve"> </w:t>
      </w:r>
      <w:r>
        <w:rPr>
          <w:i/>
        </w:rPr>
        <w:t xml:space="preserve">Caenorhabditis elegans</w:t>
      </w:r>
      <w:r>
        <w:t xml:space="preserve">.</w:t>
      </w:r>
      <w:r>
        <w:t xml:space="preserve"> </w:t>
      </w:r>
      <w:r>
        <w:rPr>
          <w:i/>
        </w:rPr>
        <w:t xml:space="preserve">Proceedings of the National Academy of Sciences of the United States of America</w:t>
      </w:r>
      <w:r>
        <w:t xml:space="preserve"> </w:t>
      </w:r>
      <w:r>
        <w:rPr>
          <w:b/>
        </w:rPr>
        <w:t xml:space="preserve">109,</w:t>
      </w:r>
      <w:r>
        <w:t xml:space="preserve"> </w:t>
      </w:r>
      <w:r>
        <w:t xml:space="preserve">16246–51 (2012).</w:t>
      </w:r>
    </w:p>
    <w:p>
      <w:pPr>
        <w:pStyle w:val="Bibliography"/>
      </w:pPr>
      <w:r>
        <w:t xml:space="preserve">7. Angeles-Albores, D.</w:t>
      </w:r>
      <w:r>
        <w:t xml:space="preserve"> </w:t>
      </w:r>
      <w:r>
        <w:rPr>
          <w:i/>
        </w:rPr>
        <w:t xml:space="preserve">et al.</w:t>
      </w:r>
      <w:r>
        <w:t xml:space="preserve"> </w:t>
      </w:r>
      <w:r>
        <w:t xml:space="preserve">The</w:t>
      </w:r>
      <w:r>
        <w:t xml:space="preserve"> </w:t>
      </w:r>
      <w:r>
        <w:rPr>
          <w:i/>
        </w:rPr>
        <w:t xml:space="preserve">Caenorhabditis elegans</w:t>
      </w:r>
      <w:r>
        <w:t xml:space="preserve"> </w:t>
      </w:r>
      <w:r>
        <w:t xml:space="preserve">Female State: Decoupling the Transcriptomic Effects of Aging and Sperm-Status.</w:t>
      </w:r>
      <w:r>
        <w:t xml:space="preserve"> </w:t>
      </w:r>
      <w:r>
        <w:rPr>
          <w:i/>
        </w:rPr>
        <w:t xml:space="preserve">G3: Genes, Genomes, Genetics</w:t>
      </w:r>
      <w:r>
        <w:t xml:space="preserve"> </w:t>
      </w:r>
      <w:r>
        <w:t xml:space="preserve">(2017).</w:t>
      </w:r>
    </w:p>
    <w:p>
      <w:pPr>
        <w:pStyle w:val="Bibliography"/>
      </w:pPr>
      <w:r>
        <w:t xml:space="preserve">8. Villani, A.-C.</w:t>
      </w:r>
      <w:r>
        <w:t xml:space="preserve"> </w:t>
      </w:r>
      <w:r>
        <w:rPr>
          <w:i/>
        </w:rPr>
        <w:t xml:space="preserve">et al.</w:t>
      </w:r>
      <w:r>
        <w:t xml:space="preserve"> </w:t>
      </w:r>
      <w:r>
        <w:t xml:space="preserve">Single-cell RNA-seq reveals new types of human blood dendritic cells, monocytes, and progenitors.</w:t>
      </w:r>
      <w:r>
        <w:t xml:space="preserve"> </w:t>
      </w:r>
      <w:r>
        <w:rPr>
          <w:i/>
        </w:rPr>
        <w:t xml:space="preserve">Science</w:t>
      </w:r>
      <w:r>
        <w:t xml:space="preserve"> </w:t>
      </w:r>
      <w:r>
        <w:rPr>
          <w:b/>
        </w:rPr>
        <w:t xml:space="preserve">356,</w:t>
      </w:r>
      <w:r>
        <w:t xml:space="preserve"> </w:t>
      </w:r>
      <w:r>
        <w:t xml:space="preserve">(2017).</w:t>
      </w:r>
    </w:p>
    <w:p>
      <w:pPr>
        <w:pStyle w:val="Bibliography"/>
      </w:pPr>
      <w:r>
        <w:t xml:space="preserve">9. Dixit, A.</w:t>
      </w:r>
      <w:r>
        <w:t xml:space="preserve"> </w:t>
      </w:r>
      <w:r>
        <w:rPr>
          <w:i/>
        </w:rPr>
        <w:t xml:space="preserve">et al.</w:t>
      </w:r>
      <w:r>
        <w:t xml:space="preserve"> </w:t>
      </w:r>
      <w:r>
        <w:t xml:space="preserve">Perturb-Seq: Dissecting Molecular Circuits with Scalable Single-Cell RNA Profiling of Pooled Genetic Screens.</w:t>
      </w:r>
      <w:r>
        <w:t xml:space="preserve"> </w:t>
      </w:r>
      <w:r>
        <w:rPr>
          <w:i/>
        </w:rPr>
        <w:t xml:space="preserve">Cell</w:t>
      </w:r>
      <w:r>
        <w:t xml:space="preserve"> </w:t>
      </w:r>
      <w:r>
        <w:rPr>
          <w:b/>
        </w:rPr>
        <w:t xml:space="preserve">167,</w:t>
      </w:r>
      <w:r>
        <w:t xml:space="preserve"> </w:t>
      </w:r>
      <w:r>
        <w:t xml:space="preserve">1853–1866.e17 (2016).</w:t>
      </w:r>
    </w:p>
    <w:p>
      <w:pPr>
        <w:pStyle w:val="Bibliography"/>
      </w:pPr>
      <w:r>
        <w:t xml:space="preserve">10. Angeles Albores, D., Puckett Robinson, C., Williams, B. A., Wold, B. J. &amp; Sternberg, P. W. Reconstructing a metazoan genetic pathway with transcriptome-wide epistasis measurements.</w:t>
      </w:r>
      <w:r>
        <w:t xml:space="preserve"> </w:t>
      </w:r>
      <w:r>
        <w:rPr>
          <w:i/>
        </w:rPr>
        <w:t xml:space="preserve">bioRxiv</w:t>
      </w:r>
      <w:r>
        <w:t xml:space="preserve"> </w:t>
      </w:r>
      <w:r>
        <w:t xml:space="preserve">(2017). doi:</w:t>
      </w:r>
      <w:hyperlink r:id="rId57">
        <w:r>
          <w:rPr>
            <w:rStyle w:val="Hyperlink"/>
          </w:rPr>
          <w:t xml:space="preserve">10.1101/112920</w:t>
        </w:r>
      </w:hyperlink>
    </w:p>
    <w:p>
      <w:pPr>
        <w:pStyle w:val="Bibliography"/>
      </w:pPr>
      <w:r>
        <w:t xml:space="preserve">11. Zhang, H. &amp; Emmons, S. W. A</w:t>
      </w:r>
      <w:r>
        <w:t xml:space="preserve"> </w:t>
      </w:r>
      <w:r>
        <w:rPr>
          <w:i/>
        </w:rPr>
        <w:t xml:space="preserve">C. elegans</w:t>
      </w:r>
      <w:r>
        <w:t xml:space="preserve"> </w:t>
      </w:r>
      <w:r>
        <w:t xml:space="preserve">mediator protein confers regulatory selectivity on lineage-specific expression of a transcription factor gene.</w:t>
      </w:r>
      <w:r>
        <w:t xml:space="preserve"> </w:t>
      </w:r>
      <w:r>
        <w:rPr>
          <w:i/>
        </w:rPr>
        <w:t xml:space="preserve">Genes and Development</w:t>
      </w:r>
      <w:r>
        <w:t xml:space="preserve"> </w:t>
      </w:r>
      <w:r>
        <w:rPr>
          <w:b/>
        </w:rPr>
        <w:t xml:space="preserve">14,</w:t>
      </w:r>
      <w:r>
        <w:t xml:space="preserve"> </w:t>
      </w:r>
      <w:r>
        <w:t xml:space="preserve">2161–2172 (2000).</w:t>
      </w:r>
    </w:p>
    <w:p>
      <w:pPr>
        <w:pStyle w:val="Bibliography"/>
      </w:pPr>
      <w:r>
        <w:t xml:space="preserve">12. Moghal, N.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13. Jeronimo, C. &amp; Robert, F. The Mediator Complex: At the Nexus of RNA Polymerase II Transcription.</w:t>
      </w:r>
      <w:r>
        <w:t xml:space="preserve"> </w:t>
      </w:r>
      <w:r>
        <w:rPr>
          <w:b/>
        </w:rPr>
        <w:t xml:space="preserve">27,</w:t>
      </w:r>
      <w:r>
        <w:t xml:space="preserve"> </w:t>
      </w:r>
      <w:r>
        <w:t xml:space="preserve">765–783 (2017).</w:t>
      </w:r>
    </w:p>
    <w:p>
      <w:pPr>
        <w:pStyle w:val="Bibliography"/>
      </w:pPr>
      <w:r>
        <w:t xml:space="preserve">14. Allen, B. L. &amp; Taatjes, D. J. The Mediator complex: a central integrator of transcription.</w:t>
      </w:r>
      <w:r>
        <w:t xml:space="preserve"> </w:t>
      </w:r>
      <w:r>
        <w:rPr>
          <w:i/>
        </w:rPr>
        <w:t xml:space="preserve">Nature reviews. Molecular cell biology</w:t>
      </w:r>
      <w:r>
        <w:t xml:space="preserve"> </w:t>
      </w:r>
      <w:r>
        <w:rPr>
          <w:b/>
        </w:rPr>
        <w:t xml:space="preserve">16,</w:t>
      </w:r>
      <w:r>
        <w:t xml:space="preserve"> </w:t>
      </w:r>
      <w:r>
        <w:t xml:space="preserve">155–166 (2015).</w:t>
      </w:r>
    </w:p>
    <w:p>
      <w:pPr>
        <w:pStyle w:val="Bibliography"/>
      </w:pPr>
      <w:r>
        <w:t xml:space="preserve">15. Takagi, Y. &amp; Kornberg, R. D. Mediator as a general transcription factor.</w:t>
      </w:r>
      <w:r>
        <w:t xml:space="preserve"> </w:t>
      </w:r>
      <w:r>
        <w:rPr>
          <w:i/>
        </w:rPr>
        <w:t xml:space="preserve">The Journal of biological chemistry</w:t>
      </w:r>
      <w:r>
        <w:t xml:space="preserve"> </w:t>
      </w:r>
      <w:r>
        <w:rPr>
          <w:b/>
        </w:rPr>
        <w:t xml:space="preserve">281,</w:t>
      </w:r>
      <w:r>
        <w:t xml:space="preserve"> </w:t>
      </w:r>
      <w:r>
        <w:t xml:space="preserve">80–9 (2006).</w:t>
      </w:r>
    </w:p>
    <w:p>
      <w:pPr>
        <w:pStyle w:val="Bibliography"/>
      </w:pPr>
      <w:r>
        <w:t xml:space="preserve">16. Knuesel, M. T., Meyer, K. D., Bernecky, C. &amp; Taatjes, D. J. The human CDK8 subcomplex is a molecular switch that controls Mediator coactivator function.</w:t>
      </w:r>
      <w:r>
        <w:t xml:space="preserve"> </w:t>
      </w:r>
      <w:r>
        <w:rPr>
          <w:i/>
        </w:rPr>
        <w:t xml:space="preserve">Genes &amp; development</w:t>
      </w:r>
      <w:r>
        <w:t xml:space="preserve"> </w:t>
      </w:r>
      <w:r>
        <w:rPr>
          <w:b/>
        </w:rPr>
        <w:t xml:space="preserve">23,</w:t>
      </w:r>
      <w:r>
        <w:t xml:space="preserve"> </w:t>
      </w:r>
      <w:r>
        <w:t xml:space="preserve">439–51 (2009).</w:t>
      </w:r>
    </w:p>
    <w:p>
      <w:pPr>
        <w:pStyle w:val="Bibliography"/>
      </w:pPr>
      <w:r>
        <w:t xml:space="preserve">17. Elmlund, H.</w:t>
      </w:r>
      <w:r>
        <w:t xml:space="preserve"> </w:t>
      </w:r>
      <w:r>
        <w:rPr>
          <w:i/>
        </w:rPr>
        <w:t xml:space="preserve">et al.</w:t>
      </w:r>
      <w:r>
        <w:t xml:space="preserve"> </w:t>
      </w:r>
      <w:r>
        <w:t xml:space="preserve">The cyclin-dependent kinase 8 module sterically blocks Mediator interactions with RNA polymerase II.</w:t>
      </w:r>
      <w:r>
        <w:t xml:space="preserve"> </w:t>
      </w:r>
      <w:r>
        <w:rPr>
          <w:i/>
        </w:rPr>
        <w:t xml:space="preserve">Proceedings of the National Academy of Sciences of the United States of America</w:t>
      </w:r>
      <w:r>
        <w:t xml:space="preserve"> </w:t>
      </w:r>
      <w:r>
        <w:rPr>
          <w:b/>
        </w:rPr>
        <w:t xml:space="preserve">103,</w:t>
      </w:r>
      <w:r>
        <w:t xml:space="preserve"> </w:t>
      </w:r>
      <w:r>
        <w:t xml:space="preserve">15788–93 (2006).</w:t>
      </w:r>
    </w:p>
    <w:p>
      <w:pPr>
        <w:pStyle w:val="Bibliography"/>
      </w:pPr>
      <w:r>
        <w:t xml:space="preserve">18. Moghal, N. &amp; Sternberg, P. W.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19. Graham, J. M. &amp; Schwartz, C. E. MED12 related disorders.</w:t>
      </w:r>
      <w:r>
        <w:t xml:space="preserve"> </w:t>
      </w:r>
      <w:r>
        <w:rPr>
          <w:i/>
        </w:rPr>
        <w:t xml:space="preserve">American Journal of Medical Genetics, Part A</w:t>
      </w:r>
      <w:r>
        <w:t xml:space="preserve"> </w:t>
      </w:r>
      <w:r>
        <w:rPr>
          <w:b/>
        </w:rPr>
        <w:t xml:space="preserve">161,</w:t>
      </w:r>
      <w:r>
        <w:t xml:space="preserve"> </w:t>
      </w:r>
      <w:r>
        <w:t xml:space="preserve">2734–2740 (2013).</w:t>
      </w:r>
    </w:p>
    <w:p>
      <w:pPr>
        <w:pStyle w:val="Bibliography"/>
      </w:pPr>
      <w:r>
        <w:t xml:space="preserve">20. Kim, S., Xu, X., Hecht, A. &amp; Boyer, T. G. Mediator is a transducer of Wnt/</w:t>
      </w:r>
      <m:oMath>
        <m:r>
          <m:t>β</m:t>
        </m:r>
      </m:oMath>
      <w:r>
        <w:t xml:space="preserve">-catenin signaling.</w:t>
      </w:r>
      <w:r>
        <w:t xml:space="preserve"> </w:t>
      </w:r>
      <w:r>
        <w:rPr>
          <w:i/>
        </w:rPr>
        <w:t xml:space="preserve">Journal of Biological Chemistry</w:t>
      </w:r>
      <w:r>
        <w:t xml:space="preserve"> </w:t>
      </w:r>
      <w:r>
        <w:rPr>
          <w:b/>
        </w:rPr>
        <w:t xml:space="preserve">281,</w:t>
      </w:r>
      <w:r>
        <w:t xml:space="preserve"> </w:t>
      </w:r>
      <w:r>
        <w:t xml:space="preserve">14066–14075 (2006).</w:t>
      </w:r>
    </w:p>
    <w:p>
      <w:pPr>
        <w:pStyle w:val="Bibliography"/>
      </w:pPr>
      <w:r>
        <w:t xml:space="preserve">21. Yamamoto, T. &amp; Shimojima, K. A novel MED12 mutation associated with non-specific X-linked intellectual disability.</w:t>
      </w:r>
      <w:r>
        <w:t xml:space="preserve"> </w:t>
      </w:r>
      <w:r>
        <w:rPr>
          <w:i/>
        </w:rPr>
        <w:t xml:space="preserve">Human Genome Variation</w:t>
      </w:r>
      <w:r>
        <w:t xml:space="preserve"> </w:t>
      </w:r>
      <w:r>
        <w:rPr>
          <w:b/>
        </w:rPr>
        <w:t xml:space="preserve">2,</w:t>
      </w:r>
      <w:r>
        <w:t xml:space="preserve"> </w:t>
      </w:r>
      <w:r>
        <w:t xml:space="preserve">15018 (2015).</w:t>
      </w:r>
    </w:p>
    <w:p>
      <w:pPr>
        <w:pStyle w:val="Bibliography"/>
      </w:pPr>
      <w:r>
        <w:t xml:space="preserve">22. Bray, N. L., Pimentel, H. J., Melsted, P. &amp; Pachter, L. Near-optimal probabilistic RNA-seq quantification.</w:t>
      </w:r>
      <w:r>
        <w:t xml:space="preserve"> </w:t>
      </w:r>
      <w:r>
        <w:rPr>
          <w:i/>
        </w:rPr>
        <w:t xml:space="preserve">Nature biotechnology</w:t>
      </w:r>
      <w:r>
        <w:t xml:space="preserve"> </w:t>
      </w:r>
      <w:r>
        <w:rPr>
          <w:b/>
        </w:rPr>
        <w:t xml:space="preserve">34,</w:t>
      </w:r>
      <w:r>
        <w:t xml:space="preserve"> </w:t>
      </w:r>
      <w:r>
        <w:t xml:space="preserve">525–7 (2016).</w:t>
      </w:r>
    </w:p>
    <w:p>
      <w:pPr>
        <w:pStyle w:val="Bibliography"/>
      </w:pPr>
      <w:r>
        <w:t xml:space="preserve">23. Pimentel, H., Bray, N. L., Puente, S., Melsted, P. &amp; Pachter, L. Differential analysis of RNA-seq incorporating quantification uncertainty.</w:t>
      </w:r>
      <w:r>
        <w:t xml:space="preserve"> </w:t>
      </w:r>
      <w:r>
        <w:rPr>
          <w:i/>
        </w:rPr>
        <w:t xml:space="preserve">brief communications nature methods</w:t>
      </w:r>
      <w:r>
        <w:t xml:space="preserve"> </w:t>
      </w:r>
      <w:r>
        <w:rPr>
          <w:b/>
        </w:rPr>
        <w:t xml:space="preserve">14,</w:t>
      </w:r>
      <w:r>
        <w:t xml:space="preserve"> </w:t>
      </w:r>
      <w:r>
        <w:t xml:space="preserve">(2017).</w:t>
      </w:r>
    </w:p>
    <w:p>
      <w:pPr>
        <w:pStyle w:val="Bibliography"/>
      </w:pPr>
      <w:r>
        <w:t xml:space="preserve">24. Angeles-Albores, D., N. Lee, R. Y., Chan, J. &amp; Sternberg, P. W. Tissue enrichment analysis for</w:t>
      </w:r>
      <w:r>
        <w:t xml:space="preserve"> </w:t>
      </w:r>
      <w:r>
        <w:rPr>
          <w:i/>
        </w:rPr>
        <w:t xml:space="preserve">C. elegans</w:t>
      </w:r>
      <w:r>
        <w:t xml:space="preserve"> </w:t>
      </w:r>
      <w:r>
        <w:t xml:space="preserve">genomics.</w:t>
      </w:r>
      <w:r>
        <w:t xml:space="preserve"> </w:t>
      </w:r>
      <w:r>
        <w:rPr>
          <w:i/>
        </w:rPr>
        <w:t xml:space="preserve">BMC Bioinformatics</w:t>
      </w:r>
      <w:r>
        <w:t xml:space="preserve"> </w:t>
      </w:r>
      <w:r>
        <w:rPr>
          <w:b/>
        </w:rPr>
        <w:t xml:space="preserve">17,</w:t>
      </w:r>
      <w:r>
        <w:t xml:space="preserve"> </w:t>
      </w:r>
      <w:r>
        <w:t xml:space="preserve">366 (2016).</w:t>
      </w:r>
    </w:p>
    <w:p>
      <w:pPr>
        <w:pStyle w:val="Bibliography"/>
      </w:pPr>
      <w:r>
        <w:t xml:space="preserve">25. Yook, K. Complementation.</w:t>
      </w:r>
      <w:r>
        <w:t xml:space="preserve"> </w:t>
      </w:r>
      <w:r>
        <w:rPr>
          <w:i/>
        </w:rPr>
        <w:t xml:space="preserve">WormBook</w:t>
      </w:r>
      <w:r>
        <w:t xml:space="preserve"> </w:t>
      </w:r>
      <w:r>
        <w:t xml:space="preserve">(2005). doi:</w:t>
      </w:r>
      <w:hyperlink r:id="rId58">
        <w:r>
          <w:rPr>
            <w:rStyle w:val="Hyperlink"/>
          </w:rPr>
          <w:t xml:space="preserve">10.1895/wormbook.1.24.1</w:t>
        </w:r>
      </w:hyperlink>
    </w:p>
    <w:p>
      <w:pPr>
        <w:pStyle w:val="Bibliography"/>
      </w:pPr>
      <w:r>
        <w:t xml:space="preserve">26. Cao, J.</w:t>
      </w:r>
      <w:r>
        <w:t xml:space="preserve"> </w:t>
      </w:r>
      <w:r>
        <w:rPr>
          <w:i/>
        </w:rPr>
        <w:t xml:space="preserve">et al.</w:t>
      </w:r>
      <w:r>
        <w:t xml:space="preserve"> </w:t>
      </w:r>
      <w:r>
        <w:t xml:space="preserve">Comprehensive single-cell transcriptional profiling of a multicellular organism.</w:t>
      </w:r>
      <w:r>
        <w:t xml:space="preserve"> </w:t>
      </w:r>
      <w:r>
        <w:rPr>
          <w:i/>
        </w:rPr>
        <w:t xml:space="preserve">Science (New York, N.Y.)</w:t>
      </w:r>
      <w:r>
        <w:t xml:space="preserve"> </w:t>
      </w:r>
      <w:r>
        <w:rPr>
          <w:b/>
        </w:rPr>
        <w:t xml:space="preserve">357,</w:t>
      </w:r>
      <w:r>
        <w:t xml:space="preserve"> </w:t>
      </w:r>
      <w:r>
        <w:t xml:space="preserve">661–667 (2017).</w:t>
      </w:r>
    </w:p>
    <w:p>
      <w:pPr>
        <w:pStyle w:val="Bibliography"/>
      </w:pPr>
      <w:r>
        <w:t xml:space="preserve">27. Brenner, S. The Genetics of</w:t>
      </w:r>
      <w:r>
        <w:t xml:space="preserve"> </w:t>
      </w:r>
      <w:r>
        <w:rPr>
          <w:i/>
        </w:rPr>
        <w:t xml:space="preserve">Caenorhabditis elegans</w:t>
      </w:r>
      <w:r>
        <w:t xml:space="preserve">.</w:t>
      </w:r>
      <w:r>
        <w:t xml:space="preserve"> </w:t>
      </w:r>
      <w:r>
        <w:rPr>
          <w:i/>
        </w:rPr>
        <w:t xml:space="preserve">Genetics</w:t>
      </w:r>
      <w:r>
        <w:t xml:space="preserve"> </w:t>
      </w:r>
      <w:r>
        <w:rPr>
          <w:b/>
        </w:rPr>
        <w:t xml:space="preserve">77,</w:t>
      </w:r>
      <w:r>
        <w:t xml:space="preserve"> </w:t>
      </w:r>
      <w:r>
        <w:t xml:space="preserve">71–94 (1974).</w:t>
      </w:r>
    </w:p>
    <w:p>
      <w:pPr>
        <w:pStyle w:val="Bibliography"/>
      </w:pPr>
      <w:r>
        <w:t xml:space="preserve">28. Andrews, S. FastQC: A quality control tool for high throughput sequence data. 1 (2010). doi:</w:t>
      </w:r>
      <w:hyperlink r:id="rId59">
        <w:r>
          <w:rPr>
            <w:rStyle w:val="Hyperlink"/>
          </w:rPr>
          <w:t xml:space="preserve">citeulike-article-id:11583827</w:t>
        </w:r>
      </w:hyperlink>
    </w:p>
    <w:p>
      <w:pPr>
        <w:pStyle w:val="Bibliography"/>
      </w:pPr>
      <w:r>
        <w:t xml:space="preserve">29. Deluca, D. S.</w:t>
      </w:r>
      <w:r>
        <w:t xml:space="preserve"> </w:t>
      </w:r>
      <w:r>
        <w:rPr>
          <w:i/>
        </w:rPr>
        <w:t xml:space="preserve">et al.</w:t>
      </w:r>
      <w:r>
        <w:t xml:space="preserve"> </w:t>
      </w:r>
      <w:r>
        <w:t xml:space="preserve">RNA-SeQC: RNA-seq metrics for quality control and process optimization.</w:t>
      </w:r>
      <w:r>
        <w:t xml:space="preserve"> </w:t>
      </w:r>
      <w:r>
        <w:rPr>
          <w:i/>
        </w:rPr>
        <w:t xml:space="preserve">Bioinformatics</w:t>
      </w:r>
      <w:r>
        <w:t xml:space="preserve"> </w:t>
      </w:r>
      <w:r>
        <w:rPr>
          <w:b/>
        </w:rPr>
        <w:t xml:space="preserve">28,</w:t>
      </w:r>
      <w:r>
        <w:t xml:space="preserve"> </w:t>
      </w:r>
      <w:r>
        <w:t xml:space="preserve">1530–1532 (2012).</w:t>
      </w:r>
    </w:p>
    <w:p>
      <w:pPr>
        <w:pStyle w:val="Bibliography"/>
      </w:pPr>
      <w:r>
        <w:t xml:space="preserve">30. Langmead, B., Trapnell, C., Pop, M. &amp; Salzberg, S. L. Bowtie: An ultrafast memory-efficient short read aligner.</w:t>
      </w:r>
      <w:r>
        <w:t xml:space="preserve"> </w:t>
      </w:r>
      <w:r>
        <w:rPr>
          <w:i/>
        </w:rPr>
        <w:t xml:space="preserve">Genome biology</w:t>
      </w:r>
      <w:r>
        <w:t xml:space="preserve"> </w:t>
      </w:r>
      <w:r>
        <w:t xml:space="preserve">R25 (2009). doi:</w:t>
      </w:r>
      <w:hyperlink r:id="rId60">
        <w:r>
          <w:rPr>
            <w:rStyle w:val="Hyperlink"/>
          </w:rPr>
          <w:t xml:space="preserve">10.1186/gb-2009-10-3-r25</w:t>
        </w:r>
      </w:hyperlink>
    </w:p>
    <w:p>
      <w:pPr>
        <w:pStyle w:val="Bibliography"/>
      </w:pPr>
      <w:r>
        <w:t xml:space="preserve">31. Ewels, P., Magnusson, M., Lundin, S. &amp; Käller, M. MultiQC: Summarize analysis results for multiple tools and samples in a single report.</w:t>
      </w:r>
      <w:r>
        <w:t xml:space="preserve"> </w:t>
      </w:r>
      <w:r>
        <w:rPr>
          <w:i/>
        </w:rPr>
        <w:t xml:space="preserve">Bioinformatics</w:t>
      </w:r>
      <w:r>
        <w:t xml:space="preserve"> </w:t>
      </w:r>
      <w:r>
        <w:rPr>
          <w:b/>
        </w:rPr>
        <w:t xml:space="preserve">32,</w:t>
      </w:r>
      <w:r>
        <w:t xml:space="preserve"> </w:t>
      </w:r>
      <w:r>
        <w:t xml:space="preserve">3047–3048 (2016).</w:t>
      </w:r>
    </w:p>
    <w:p>
      <w:pPr>
        <w:pStyle w:val="Bibliography"/>
      </w:pPr>
      <w:r>
        <w:t xml:space="preserve">32. Pérez, F. &amp; Granger, B. IPython: A System for Interactive Scientific Computing Python: An Open and General- Purpose Environment.</w:t>
      </w:r>
      <w:r>
        <w:t xml:space="preserve"> </w:t>
      </w:r>
      <w:r>
        <w:rPr>
          <w:i/>
        </w:rPr>
        <w:t xml:space="preserve">Computing in Science and Engineering</w:t>
      </w:r>
      <w:r>
        <w:t xml:space="preserve"> </w:t>
      </w:r>
      <w:r>
        <w:rPr>
          <w:b/>
        </w:rPr>
        <w:t xml:space="preserve">9,</w:t>
      </w:r>
      <w:r>
        <w:t xml:space="preserve"> </w:t>
      </w:r>
      <w:r>
        <w:t xml:space="preserve">21–29 (2007).</w:t>
      </w:r>
    </w:p>
    <w:p>
      <w:pPr>
        <w:pStyle w:val="Bibliography"/>
      </w:pPr>
      <w:r>
        <w:t xml:space="preserve">33. Van Der Walt, S., Colbert, S. C. &amp; Varoquaux, G. The NumPy array: A structure for efficient numerical computation.</w:t>
      </w:r>
      <w:r>
        <w:t xml:space="preserve"> </w:t>
      </w:r>
      <w:r>
        <w:rPr>
          <w:i/>
        </w:rPr>
        <w:t xml:space="preserve">Computing in Science and Engineering</w:t>
      </w:r>
      <w:r>
        <w:t xml:space="preserve"> </w:t>
      </w:r>
      <w:r>
        <w:rPr>
          <w:b/>
        </w:rPr>
        <w:t xml:space="preserve">13,</w:t>
      </w:r>
      <w:r>
        <w:t xml:space="preserve"> </w:t>
      </w:r>
      <w:r>
        <w:t xml:space="preserve">22–30 (2011).</w:t>
      </w:r>
    </w:p>
    <w:p>
      <w:pPr>
        <w:pStyle w:val="Bibliography"/>
      </w:pPr>
      <w:r>
        <w:t xml:space="preserve">34. McKinney, W. pandas: a Foundational Python Library for Data Analysis and Statistics.</w:t>
      </w:r>
      <w:r>
        <w:t xml:space="preserve"> </w:t>
      </w:r>
      <w:r>
        <w:rPr>
          <w:i/>
        </w:rPr>
        <w:t xml:space="preserve">Python for High Performance and Scientific Computing</w:t>
      </w:r>
      <w:r>
        <w:t xml:space="preserve"> </w:t>
      </w:r>
      <w:r>
        <w:t xml:space="preserve">1–9 (2011).</w:t>
      </w:r>
    </w:p>
    <w:p>
      <w:pPr>
        <w:pStyle w:val="Bibliography"/>
      </w:pPr>
      <w:r>
        <w:t xml:space="preserve">35. Oliphant, T. E. SciPy: Open source scientific tools for Python.</w:t>
      </w:r>
      <w:r>
        <w:t xml:space="preserve"> </w:t>
      </w:r>
      <w:r>
        <w:rPr>
          <w:i/>
        </w:rPr>
        <w:t xml:space="preserve">Computing in Science and Engineering</w:t>
      </w:r>
      <w:r>
        <w:t xml:space="preserve"> </w:t>
      </w:r>
      <w:r>
        <w:rPr>
          <w:b/>
        </w:rPr>
        <w:t xml:space="preserve">9,</w:t>
      </w:r>
      <w:r>
        <w:t xml:space="preserve"> </w:t>
      </w:r>
      <w:r>
        <w:t xml:space="preserve">10–20 (2007).</w:t>
      </w:r>
    </w:p>
    <w:p>
      <w:pPr>
        <w:pStyle w:val="Bibliography"/>
      </w:pPr>
      <w:r>
        <w:t xml:space="preserve">36. Hunter, J. D. Matplotlib: A 2D graphics environment.</w:t>
      </w:r>
      <w:r>
        <w:t xml:space="preserve"> </w:t>
      </w:r>
      <w:r>
        <w:rPr>
          <w:i/>
        </w:rPr>
        <w:t xml:space="preserve">Computing in Science and Engineering</w:t>
      </w:r>
      <w:r>
        <w:t xml:space="preserve"> </w:t>
      </w:r>
      <w:r>
        <w:rPr>
          <w:b/>
        </w:rPr>
        <w:t xml:space="preserve">9,</w:t>
      </w:r>
      <w:r>
        <w:t xml:space="preserve"> </w:t>
      </w:r>
      <w:r>
        <w:t xml:space="preserve">99–104 (2007).</w:t>
      </w:r>
    </w:p>
    <w:p>
      <w:pPr>
        <w:pStyle w:val="Bibliography"/>
      </w:pPr>
      <w:r>
        <w:t xml:space="preserve">37. Waskom, M.</w:t>
      </w:r>
      <w:r>
        <w:t xml:space="preserve"> </w:t>
      </w:r>
      <w:r>
        <w:rPr>
          <w:i/>
        </w:rPr>
        <w:t xml:space="preserve">et al.</w:t>
      </w:r>
      <w:r>
        <w:t xml:space="preserve"> </w:t>
      </w:r>
      <w:r>
        <w:t xml:space="preserve">seaborn: v0.7.0 (January 2016). (2016). doi:</w:t>
      </w:r>
      <w:hyperlink r:id="rId61">
        <w:r>
          <w:rPr>
            <w:rStyle w:val="Hyperlink"/>
          </w:rPr>
          <w:t xml:space="preserve">10.5281/zenodo.45133</w:t>
        </w:r>
      </w:hyperlink>
    </w:p>
    <w:p>
      <w:pPr>
        <w:pStyle w:val="Bibliography"/>
      </w:pPr>
      <w:r>
        <w:t xml:space="preserve">38. Edgar, R., Domrachev, M. &amp; Lash, A. E. Gene Expression Omnibus: NCBI gene expression and hybridization array data repository.</w:t>
      </w:r>
      <w:r>
        <w:t xml:space="preserve"> </w:t>
      </w:r>
      <w:r>
        <w:rPr>
          <w:i/>
        </w:rPr>
        <w:t xml:space="preserve">Nucleic acids research</w:t>
      </w:r>
      <w:r>
        <w:t xml:space="preserve"> </w:t>
      </w:r>
      <w:r>
        <w:rPr>
          <w:b/>
        </w:rPr>
        <w:t xml:space="preserve">30,</w:t>
      </w:r>
      <w:r>
        <w:t xml:space="preserve"> </w:t>
      </w:r>
      <w:r>
        <w:t xml:space="preserve">207–10 (2002).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We chose the term volume by</w:t>
      </w:r>
      <w:r>
        <w:t xml:space="preserve"> </w:t>
      </w:r>
      <w:r>
        <w:t xml:space="preserve">analogy with a radio. Each allele can affect a different number of phenotypes</w:t>
      </w:r>
      <w:r>
        <w:t xml:space="preserve"> </w:t>
      </w:r>
      <w:r>
        <w:t xml:space="preserve">(channels) with a different perturbation magnitude per channel (volume)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f248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35" Target="media/rId35.pdf" /><Relationship Type="http://schemas.openxmlformats.org/officeDocument/2006/relationships/image" Id="rId31" Target="media/rId31.pdf" /><Relationship Type="http://schemas.openxmlformats.org/officeDocument/2006/relationships/image" Id="rId42" Target="media/rId42.pdf" /><Relationship Type="http://schemas.openxmlformats.org/officeDocument/2006/relationships/image" Id="rId27" Target="media/rId27.pdf" /><Relationship Type="http://schemas.openxmlformats.org/officeDocument/2006/relationships/image" Id="rId39" Target="media/rId39.pdf" /><Relationship Type="http://schemas.openxmlformats.org/officeDocument/2006/relationships/hyperlink" Id="rId57" Target="https://doi.org/10.1101/112920" TargetMode="External" /><Relationship Type="http://schemas.openxmlformats.org/officeDocument/2006/relationships/hyperlink" Id="rId60" Target="https://doi.org/10.1186/gb-2009-10-3-r25" TargetMode="External" /><Relationship Type="http://schemas.openxmlformats.org/officeDocument/2006/relationships/hyperlink" Id="rId58" Target="https://doi.org/10.1895/wormbook.1.24.1" TargetMode="External" /><Relationship Type="http://schemas.openxmlformats.org/officeDocument/2006/relationships/hyperlink" Id="rId61" Target="https://doi.org/10.5281/zenodo.45133" TargetMode="External" /><Relationship Type="http://schemas.openxmlformats.org/officeDocument/2006/relationships/hyperlink" Id="rId59" Target="https://doi.org/citeulike-article-id:11583827" TargetMode="External" /><Relationship Type="http://schemas.openxmlformats.org/officeDocument/2006/relationships/hyperlink" Id="rId53" Target="https://github.com/WormLabCaltech/med-cafe" TargetMode="External" /><Relationship Type="http://schemas.openxmlformats.org/officeDocument/2006/relationships/hyperlink" Id="rId54" Target="https://wormlabcaltech.github.io/med-cafe/" TargetMode="External" /><Relationship Type="http://schemas.openxmlformats.org/officeDocument/2006/relationships/hyperlink" Id="rId26" Target="https://wormlabcaltech.github.io/med-cafe/analysis" TargetMode="External" /><Relationship Type="http://schemas.openxmlformats.org/officeDocument/2006/relationships/hyperlink" Id="rId25" Target="https://wormlabcaltech.github.io/med-cafe/notebook/basic.html" TargetMode="External" /><Relationship Type="http://schemas.openxmlformats.org/officeDocument/2006/relationships/hyperlink" Id="rId32" Target="https://wormlabcaltech.github.io/med-cafe/notebook/phenotypic_classes.html" TargetMode="External" /><Relationship Type="http://schemas.openxmlformats.org/officeDocument/2006/relationships/hyperlink" Id="rId55" Target="https://www.ncbi.nlm.nih.gov/geo/query/acc.cgi?acc=GSE107523"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101/112920" TargetMode="External" /><Relationship Type="http://schemas.openxmlformats.org/officeDocument/2006/relationships/hyperlink" Id="rId60" Target="https://doi.org/10.1186/gb-2009-10-3-r25" TargetMode="External" /><Relationship Type="http://schemas.openxmlformats.org/officeDocument/2006/relationships/hyperlink" Id="rId58" Target="https://doi.org/10.1895/wormbook.1.24.1" TargetMode="External" /><Relationship Type="http://schemas.openxmlformats.org/officeDocument/2006/relationships/hyperlink" Id="rId61" Target="https://doi.org/10.5281/zenodo.45133" TargetMode="External" /><Relationship Type="http://schemas.openxmlformats.org/officeDocument/2006/relationships/hyperlink" Id="rId59" Target="https://doi.org/citeulike-article-id:11583827" TargetMode="External" /><Relationship Type="http://schemas.openxmlformats.org/officeDocument/2006/relationships/hyperlink" Id="rId53" Target="https://github.com/WormLabCaltech/med-cafe" TargetMode="External" /><Relationship Type="http://schemas.openxmlformats.org/officeDocument/2006/relationships/hyperlink" Id="rId54" Target="https://wormlabcaltech.github.io/med-cafe/" TargetMode="External" /><Relationship Type="http://schemas.openxmlformats.org/officeDocument/2006/relationships/hyperlink" Id="rId26" Target="https://wormlabcaltech.github.io/med-cafe/analysis" TargetMode="External" /><Relationship Type="http://schemas.openxmlformats.org/officeDocument/2006/relationships/hyperlink" Id="rId25" Target="https://wormlabcaltech.github.io/med-cafe/notebook/basic.html" TargetMode="External" /><Relationship Type="http://schemas.openxmlformats.org/officeDocument/2006/relationships/hyperlink" Id="rId32" Target="https://wormlabcaltech.github.io/med-cafe/notebook/phenotypic_classes.html" TargetMode="External" /><Relationship Type="http://schemas.openxmlformats.org/officeDocument/2006/relationships/hyperlink" Id="rId55" Target="https://www.ncbi.nlm.nih.gov/geo/query/acc.cgi?acc=GSE1075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allelic series with transcriptomic phenotypes</dc:title>
  <dc:creator>David Angeles-Albores; Paul W. Sternberg</dc:creator>
  <dcterms:created xsi:type="dcterms:W3CDTF">2018-04-12T18:08:00Z</dcterms:created>
  <dcterms:modified xsi:type="dcterms:W3CDTF">2018-04-12T18:08:00Z</dcterms:modified>
</cp:coreProperties>
</file>