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26.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study</w:t>
      </w:r>
      <w:r>
        <w:t xml:space="preserve"> </w:t>
      </w:r>
      <w:r>
        <w:t xml:space="preserve">of</w:t>
      </w:r>
      <w:r>
        <w:t xml:space="preserve"> </w:t>
      </w:r>
      <w:r>
        <w:t xml:space="preserve">allelic</w:t>
      </w:r>
      <w:r>
        <w:t xml:space="preserve"> </w:t>
      </w:r>
      <w:r>
        <w:t xml:space="preserve">series</w:t>
      </w:r>
      <w:r>
        <w:t xml:space="preserve"> </w:t>
      </w:r>
      <w:r>
        <w:t xml:space="preserve">using</w:t>
      </w:r>
      <w:r>
        <w:t xml:space="preserve"> </w:t>
      </w:r>
      <w:r>
        <w:t xml:space="preserve">transcriptomic</w:t>
      </w:r>
      <w:r>
        <w:t xml:space="preserve"> </w:t>
      </w:r>
      <w:r>
        <w:t xml:space="preserve">phenotypes</w:t>
      </w:r>
    </w:p>
    <w:p>
      <w:pPr>
        <w:pStyle w:val="Author"/>
      </w:pPr>
      <w:r>
        <w:t xml:space="preserve">David</w:t>
      </w:r>
      <w:r>
        <w:t xml:space="preserve"> </w:t>
      </w:r>
      <w:r>
        <w:t xml:space="preserve">Angeles-Albores</w:t>
      </w:r>
    </w:p>
    <w:p>
      <w:pPr>
        <w:pStyle w:val="Author"/>
      </w:pPr>
      <w:r>
        <w:t xml:space="preserve">Paul</w:t>
      </w:r>
      <w:r>
        <w:t xml:space="preserve"> </w:t>
      </w:r>
      <w:r>
        <w:t xml:space="preserve">W.</w:t>
      </w:r>
      <w:r>
        <w:t xml:space="preserve"> </w:t>
      </w:r>
      <w:r>
        <w:t xml:space="preserve">Sternberg</w:t>
      </w:r>
    </w:p>
    <w:p>
      <w:pPr>
        <w:pStyle w:val="Heading1"/>
      </w:pPr>
      <w:bookmarkStart w:id="21" w:name="introduction"/>
      <w:bookmarkEnd w:id="21"/>
      <w:r>
        <w:t xml:space="preserve">Introduction</w:t>
      </w:r>
    </w:p>
    <w:p>
      <w:pPr>
        <w:pStyle w:val="FirstParagraph"/>
      </w:pPr>
      <w:r>
        <w:t xml:space="preserve">Mutations of a gene can yield a series of alleles with different phenotypes that</w:t>
      </w:r>
      <w:r>
        <w:t xml:space="preserve"> </w:t>
      </w:r>
      <w:r>
        <w:t xml:space="preserve">reveal multiple functions encoded by that gene, regardless of the alleles’</w:t>
      </w:r>
      <w:r>
        <w:t xml:space="preserve"> </w:t>
      </w:r>
      <w:r>
        <w:t xml:space="preserve">molecular nature. Homozygous alleles can be ordered by their phenotypic</w:t>
      </w:r>
      <w:r>
        <w:t xml:space="preserve"> </w:t>
      </w:r>
      <w:r>
        <w:t xml:space="preserve">severity; then, phenotypes of</w:t>
      </w:r>
      <w:r>
        <w:t xml:space="preserve"> </w:t>
      </w:r>
      <w:r>
        <w:rPr>
          <w:i/>
        </w:rPr>
        <w:t xml:space="preserve">trans</w:t>
      </w:r>
      <w:r>
        <w:t xml:space="preserve">-heterozygotes carrying two alleles</w:t>
      </w:r>
      <w:r>
        <w:t xml:space="preserve"> </w:t>
      </w:r>
      <w:r>
        <w:t xml:space="preserve">can reveal which alleles are dominant for each phenotype. Together, the severity</w:t>
      </w:r>
      <w:r>
        <w:t xml:space="preserve"> </w:t>
      </w:r>
      <w:r>
        <w:t xml:space="preserve">and dominance hierarchies show intragenic functional units. In</w:t>
      </w:r>
      <w:r>
        <w:t xml:space="preserve"> </w:t>
      </w:r>
      <w:r>
        <w:rPr>
          <w:i/>
        </w:rPr>
        <w:t xml:space="preserve">Caenorhabditis elegans</w:t>
      </w:r>
      <w:r>
        <w:t xml:space="preserve">, these series have helped characterize genes such</w:t>
      </w:r>
      <w:r>
        <w:t xml:space="preserve"> </w:t>
      </w:r>
      <w:r>
        <w:t xml:space="preserve">as</w:t>
      </w:r>
      <w:r>
        <w:t xml:space="preserve"> </w:t>
      </w:r>
      <w:r>
        <w:rPr>
          <w:i/>
        </w:rPr>
        <w:t xml:space="preserve">let-23/EGFR</w:t>
      </w:r>
      <w:r>
        <w:t xml:space="preserve">,</w:t>
      </w:r>
      <w:r>
        <w:t xml:space="preserve"> </w:t>
      </w:r>
      <w:r>
        <w:rPr>
          <w:i/>
        </w:rPr>
        <w:t xml:space="preserve">lin-3/EGF</w:t>
      </w:r>
      <w:r>
        <w:t xml:space="preserve"> </w:t>
      </w:r>
      <w:r>
        <w:t xml:space="preserve">and</w:t>
      </w:r>
      <w:r>
        <w:t xml:space="preserve"> </w:t>
      </w:r>
      <w:r>
        <w:rPr>
          <w:i/>
        </w:rPr>
        <w:t xml:space="preserve">lin-12/NOTCH</w:t>
      </w:r>
      <w:r>
        <w:t xml:space="preserve"> </w:t>
      </w:r>
      <w:r>
        <w:rPr>
          <w:vertAlign w:val="superscript"/>
        </w:rPr>
        <w:t xml:space="preserve">1–3</w:t>
      </w:r>
      <w:r>
        <w:t xml:space="preserve">.</w:t>
      </w:r>
    </w:p>
    <w:p>
      <w:pPr>
        <w:pStyle w:val="BodyText"/>
      </w:pPr>
      <w:r>
        <w:t xml:space="preserve">Biology has moved from expression measurements of single genes towards</w:t>
      </w:r>
      <w:r>
        <w:t xml:space="preserve"> </w:t>
      </w:r>
      <w:r>
        <w:t xml:space="preserve">genome-wide measurements. Expression profiling via RNA-seq </w:t>
      </w:r>
      <w:r>
        <w:rPr>
          <w:vertAlign w:val="superscript"/>
        </w:rPr>
        <w:t xml:space="preserve">4</w:t>
      </w:r>
      <w:r>
        <w:t xml:space="preserve"> </w:t>
      </w:r>
      <w:r>
        <w:t xml:space="preserve">enables simultaneous measurement of transcript levels for all genes in a genome,</w:t>
      </w:r>
      <w:r>
        <w:t xml:space="preserve"> </w:t>
      </w:r>
      <w:r>
        <w:t xml:space="preserve">yielding a transcriptome. These measurements can be made on whole organisms,</w:t>
      </w:r>
      <w:r>
        <w:t xml:space="preserve"> </w:t>
      </w:r>
      <w:r>
        <w:t xml:space="preserve">isolated tissues, or single cells </w:t>
      </w:r>
      <w:r>
        <w:rPr>
          <w:vertAlign w:val="superscript"/>
        </w:rPr>
        <w:t xml:space="preserve">5,6</w:t>
      </w:r>
      <w:r>
        <w:t xml:space="preserve">. Transcriptomes</w:t>
      </w:r>
      <w:r>
        <w:t xml:space="preserve"> </w:t>
      </w:r>
      <w:r>
        <w:t xml:space="preserve">have been successfully used to identify new cell or organismal</w:t>
      </w:r>
      <w:r>
        <w:t xml:space="preserve"> </w:t>
      </w:r>
      <w:r>
        <w:t xml:space="preserve">states </w:t>
      </w:r>
      <w:r>
        <w:rPr>
          <w:vertAlign w:val="superscript"/>
        </w:rPr>
        <w:t xml:space="preserve">7,8</w:t>
      </w:r>
      <w:r>
        <w:t xml:space="preserve">. For mutant genes, transcriptomic</w:t>
      </w:r>
      <w:r>
        <w:t xml:space="preserve"> </w:t>
      </w:r>
      <w:r>
        <w:t xml:space="preserve">states can be used for epistasis analysis </w:t>
      </w:r>
      <w:r>
        <w:rPr>
          <w:vertAlign w:val="superscript"/>
        </w:rPr>
        <w:t xml:space="preserve">9,10</w:t>
      </w:r>
      <w:r>
        <w:t xml:space="preserve">,</w:t>
      </w:r>
      <w:r>
        <w:t xml:space="preserve"> </w:t>
      </w:r>
      <w:r>
        <w:t xml:space="preserve">but have not been used to characterize allelic series.</w:t>
      </w:r>
    </w:p>
    <w:p>
      <w:pPr>
        <w:pStyle w:val="BodyText"/>
      </w:pPr>
      <w:r>
        <w:t xml:space="preserve">We have devised methods for characterizing allelic series with RNA-seq. To test</w:t>
      </w:r>
      <w:r>
        <w:t xml:space="preserve"> </w:t>
      </w:r>
      <w:r>
        <w:t xml:space="preserve">these methods, we selected three alleles </w:t>
      </w:r>
      <w:r>
        <w:rPr>
          <w:vertAlign w:val="superscript"/>
        </w:rPr>
        <w:t xml:space="preserve">11,12</w:t>
      </w:r>
      <w:r>
        <w:t xml:space="preserve"> </w:t>
      </w:r>
      <w:r>
        <w:t xml:space="preserve">of a</w:t>
      </w:r>
      <w:r>
        <w:t xml:space="preserve"> </w:t>
      </w:r>
      <w:r>
        <w:rPr>
          <w:i/>
        </w:rPr>
        <w:t xml:space="preserve">C. elegans</w:t>
      </w:r>
      <w:r>
        <w:t xml:space="preserve"> </w:t>
      </w:r>
      <w:r>
        <w:t xml:space="preserve">Mediator complex subunit gene,</w:t>
      </w:r>
      <w:r>
        <w:t xml:space="preserve"> </w:t>
      </w:r>
      <w:r>
        <w:rPr>
          <w:i/>
        </w:rPr>
        <w:t xml:space="preserve">dpy-22</w:t>
      </w:r>
      <w:r>
        <w:t xml:space="preserve">. Mediator is a macromolecular complex with</w:t>
      </w:r>
      <w:r>
        <w:t xml:space="preserve"> </w:t>
      </w:r>
      <m:oMath>
        <m:r>
          <m:t>∼</m:t>
        </m:r>
        <m:r>
          <m:t>25</m:t>
        </m:r>
      </m:oMath>
      <w:r>
        <w:t xml:space="preserve"> </w:t>
      </w:r>
      <w:r>
        <w:t xml:space="preserve">subunits </w:t>
      </w:r>
      <w:r>
        <w:rPr>
          <w:vertAlign w:val="superscript"/>
        </w:rPr>
        <w:t xml:space="preserve">13</w:t>
      </w:r>
      <w:r>
        <w:t xml:space="preserve"> </w:t>
      </w:r>
      <w:r>
        <w:t xml:space="preserve">that globally regulates RNA polymerase II</w:t>
      </w:r>
      <w:r>
        <w:t xml:space="preserve"> </w:t>
      </w:r>
      <w:r>
        <w:t xml:space="preserve">(Pol II) </w:t>
      </w:r>
      <w:r>
        <w:rPr>
          <w:vertAlign w:val="superscript"/>
        </w:rPr>
        <w:t xml:space="preserve">14,15</w:t>
      </w:r>
      <w:r>
        <w:t xml:space="preserve">. The Mediator complex has at least four</w:t>
      </w:r>
      <w:r>
        <w:t xml:space="preserve"> </w:t>
      </w:r>
      <w:r>
        <w:t xml:space="preserve">biochemically distinct modules: the Head, Middle and Tail modules and a</w:t>
      </w:r>
      <w:r>
        <w:t xml:space="preserve"> </w:t>
      </w:r>
      <w:r>
        <w:t xml:space="preserve">CDK-8-associated Kinase Module (CKM). The CKM associates reversibly with other</w:t>
      </w:r>
      <w:r>
        <w:t xml:space="preserve"> </w:t>
      </w:r>
      <w:r>
        <w:t xml:space="preserve">modules, and appears to inhibit transcription </w:t>
      </w:r>
      <w:r>
        <w:rPr>
          <w:vertAlign w:val="superscript"/>
        </w:rPr>
        <w:t xml:space="preserve">16,17</w:t>
      </w:r>
      <w:r>
        <w:t xml:space="preserve">. In</w:t>
      </w:r>
      <w:r>
        <w:t xml:space="preserve"> </w:t>
      </w:r>
      <w:r>
        <w:rPr>
          <w:i/>
        </w:rPr>
        <w:t xml:space="preserve">C. elegans</w:t>
      </w:r>
      <w:r>
        <w:t xml:space="preserve"> </w:t>
      </w:r>
      <w:r>
        <w:t xml:space="preserve">development, the CKM promotes both male tail formation </w:t>
      </w:r>
      <w:r>
        <w:rPr>
          <w:vertAlign w:val="superscript"/>
        </w:rPr>
        <w:t xml:space="preserve">11</w:t>
      </w:r>
      <w:r>
        <w:t xml:space="preserve">,</w:t>
      </w:r>
      <w:r>
        <w:t xml:space="preserve"> </w:t>
      </w:r>
      <w:r>
        <w:t xml:space="preserve">(through interactions with the Wnt pathway), and vulval</w:t>
      </w:r>
      <w:r>
        <w:t xml:space="preserve"> </w:t>
      </w:r>
      <w:r>
        <w:t xml:space="preserve">formation </w:t>
      </w:r>
      <w:r>
        <w:rPr>
          <w:vertAlign w:val="superscript"/>
        </w:rPr>
        <w:t xml:space="preserve">18</w:t>
      </w:r>
      <w:r>
        <w:t xml:space="preserve">, (through inhibition of the Ras pathway).</w:t>
      </w:r>
      <w:r>
        <w:t xml:space="preserve"> </w:t>
      </w:r>
      <w:r>
        <w:t xml:space="preserve">Homozygotes of allele</w:t>
      </w:r>
      <w:r>
        <w:t xml:space="preserve"> </w:t>
      </w:r>
      <w:r>
        <w:rPr>
          <w:i/>
        </w:rPr>
        <w:t xml:space="preserve">dpy-22(bx93)</w:t>
      </w:r>
      <w:r>
        <w:t xml:space="preserve">, encoding a premature stop codon</w:t>
      </w:r>
      <w:r>
        <w:t xml:space="preserve"> </w:t>
      </w:r>
      <w:r>
        <w:t xml:space="preserve">Q2549Amber </w:t>
      </w:r>
      <w:r>
        <w:rPr>
          <w:vertAlign w:val="superscript"/>
        </w:rPr>
        <w:t xml:space="preserve">11</w:t>
      </w:r>
      <w:r>
        <w:t xml:space="preserve">, appear grossly wild-type. In contrast, animals</w:t>
      </w:r>
      <w:r>
        <w:t xml:space="preserve"> </w:t>
      </w:r>
      <w:r>
        <w:t xml:space="preserve">homozygous for a more severe allele,</w:t>
      </w:r>
      <w:r>
        <w:t xml:space="preserve"> </w:t>
      </w:r>
      <w:r>
        <w:rPr>
          <w:i/>
        </w:rPr>
        <w:t xml:space="preserve">dpy-22(sy622)</w:t>
      </w:r>
      <w:r>
        <w:t xml:space="preserve"> </w:t>
      </w:r>
      <w:r>
        <w:t xml:space="preserve">encoding another</w:t>
      </w:r>
      <w:r>
        <w:t xml:space="preserve"> </w:t>
      </w:r>
      <w:r>
        <w:t xml:space="preserve">premature stop codon, Q1698Amber </w:t>
      </w:r>
      <w:r>
        <w:rPr>
          <w:vertAlign w:val="superscript"/>
        </w:rPr>
        <w:t xml:space="preserve">12</w:t>
      </w:r>
      <w:r>
        <w:t xml:space="preserve">, are dumpy (Dpy), have</w:t>
      </w:r>
      <w:r>
        <w:t xml:space="preserve"> </w:t>
      </w:r>
      <w:r>
        <w:t xml:space="preserve">egg-laying defects (Egl), and have multiple vulvae (Muv). Due to its pleiotropy,</w:t>
      </w:r>
      <w:r>
        <w:t xml:space="preserve"> </w:t>
      </w:r>
      <w:r>
        <w:t xml:space="preserve">these alleles have not yet been ordered in a series (see</w:t>
      </w:r>
      <w:r>
        <w:t xml:space="preserve"> </w:t>
      </w:r>
      <w:r>
        <w:t xml:space="preserve">Fig. [fig:flowchart]A).</w:t>
      </w:r>
    </w:p>
    <w:p>
      <w:pPr>
        <w:pStyle w:val="BodyText"/>
      </w:pPr>
      <w:r>
        <w:t xml:space="preserve">RNA-seq phenotypes have the potential to reveal functional units within genes,</w:t>
      </w:r>
      <w:r>
        <w:t xml:space="preserve"> </w:t>
      </w:r>
      <w:r>
        <w:t xml:space="preserve">but their phenotypic complexity makes this difficult. We developed a</w:t>
      </w:r>
      <w:r>
        <w:t xml:space="preserve"> </w:t>
      </w:r>
      <w:r>
        <w:t xml:space="preserve">method for determining allelic series from transcriptomic phenotypes and used</w:t>
      </w:r>
      <w:r>
        <w:t xml:space="preserve"> </w:t>
      </w:r>
      <w:r>
        <w:t xml:space="preserve">the</w:t>
      </w:r>
      <w:r>
        <w:t xml:space="preserve"> </w:t>
      </w:r>
      <w:r>
        <w:rPr>
          <w:i/>
        </w:rPr>
        <w:t xml:space="preserve">C. elegans</w:t>
      </w:r>
      <w:r>
        <w:t xml:space="preserve"> </w:t>
      </w:r>
      <w:r>
        <w:rPr>
          <w:i/>
        </w:rPr>
        <w:t xml:space="preserve">dpy-22</w:t>
      </w:r>
      <w:r>
        <w:t xml:space="preserve"> </w:t>
      </w:r>
      <w:r>
        <w:t xml:space="preserve">gene as a test case. Our analysis revealed functional units</w:t>
      </w:r>
      <w:r>
        <w:t xml:space="preserve"> </w:t>
      </w:r>
      <w:r>
        <w:t xml:space="preserve">that act to modulate Mediator activity at thousands of genetic loci.</w:t>
      </w:r>
    </w:p>
    <w:p>
      <w:pPr>
        <w:pStyle w:val="Heading1"/>
      </w:pPr>
      <w:bookmarkStart w:id="22" w:name="results-and-discussion"/>
      <w:bookmarkEnd w:id="22"/>
      <w:r>
        <w:t xml:space="preserve">Results and Discussion</w:t>
      </w:r>
    </w:p>
    <w:p>
      <w:pPr>
        <w:pStyle w:val="FirstParagraph"/>
      </w:pPr>
      <w:r>
        <w:t xml:space="preserve">We adapted the allelic series method, previously used for individual phenotypes,</w:t>
      </w:r>
      <w:r>
        <w:t xml:space="preserve"> </w:t>
      </w:r>
      <w:r>
        <w:t xml:space="preserve">for use with expression profiles as multidimensional phenotypes (see</w:t>
      </w:r>
      <w:r>
        <w:t xml:space="preserve"> </w:t>
      </w:r>
      <w:r>
        <w:t xml:space="preserve">Fig. [fig:flowchart]). As a proof of principle, we carried out RNA-seq on</w:t>
      </w:r>
      <w:r>
        <w:t xml:space="preserve"> </w:t>
      </w:r>
      <w:r>
        <w:t xml:space="preserve">biological triplicates of mRNA extracted from</w:t>
      </w:r>
      <w:r>
        <w:t xml:space="preserve"> </w:t>
      </w:r>
      <w:r>
        <w:rPr>
          <w:i/>
        </w:rPr>
        <w:t xml:space="preserve">dpy-22(sy622)</w:t>
      </w:r>
      <w:r>
        <w:t xml:space="preserve"> </w:t>
      </w:r>
      <w:r>
        <w:t xml:space="preserve">homozygotes,</w:t>
      </w:r>
      <w:r>
        <w:t xml:space="preserve"> </w:t>
      </w:r>
      <w:r>
        <w:rPr>
          <w:i/>
        </w:rPr>
        <w:t xml:space="preserve">dpy-22(bx93)</w:t>
      </w:r>
      <w:r>
        <w:t xml:space="preserve"> </w:t>
      </w:r>
      <w:r>
        <w:t xml:space="preserve">homozygotes and wild type controls, and quadruplicates from</w:t>
      </w:r>
      <w:r>
        <w:t xml:space="preserve"> </w:t>
      </w:r>
      <w:r>
        <w:rPr>
          <w:i/>
        </w:rPr>
        <w:t xml:space="preserve">trans</w:t>
      </w:r>
      <w:r>
        <w:t xml:space="preserve">-heterozygotes of both alleles at a depth of 20 million reads per</w:t>
      </w:r>
      <w:r>
        <w:t xml:space="preserve"> </w:t>
      </w:r>
      <w:r>
        <w:t xml:space="preserve">sample. Reads were pseudoaligned using Kallisto </w:t>
      </w:r>
      <w:r>
        <w:rPr>
          <w:vertAlign w:val="superscript"/>
        </w:rPr>
        <w:t xml:space="preserve">19</w:t>
      </w:r>
      <w:r>
        <w:t xml:space="preserve">. We performed a</w:t>
      </w:r>
      <w:r>
        <w:t xml:space="preserve"> </w:t>
      </w:r>
      <w:r>
        <w:t xml:space="preserve">differential expression using a general linear model specified in</w:t>
      </w:r>
      <w:r>
        <w:t xml:space="preserve"> </w:t>
      </w:r>
      <w:r>
        <w:t xml:space="preserve">Sleuth </w:t>
      </w:r>
      <w:r>
        <w:rPr>
          <w:vertAlign w:val="superscript"/>
        </w:rPr>
        <w:t xml:space="preserve">20</w:t>
      </w:r>
      <w:r>
        <w:t xml:space="preserve"> </w:t>
      </w:r>
      <w:r>
        <w:t xml:space="preserve">(see ). Differential expression</w:t>
      </w:r>
      <w:r>
        <w:t xml:space="preserve"> </w:t>
      </w:r>
      <w:r>
        <w:t xml:space="preserve">with respect to the wild type control for each transcript</w:t>
      </w:r>
      <w:r>
        <w:t xml:space="preserve"> </w:t>
      </w:r>
      <m:oMath>
        <m:r>
          <m:t>i</m:t>
        </m:r>
      </m:oMath>
      <w:r>
        <w:t xml:space="preserve"> </w:t>
      </w:r>
      <w:r>
        <w:t xml:space="preserve">in a genotype</w:t>
      </w:r>
      <w:r>
        <w:t xml:space="preserve"> </w:t>
      </w:r>
      <m:oMath>
        <m:r>
          <m:t>g</m:t>
        </m:r>
      </m:oMath>
      <w:r>
        <w:t xml:space="preserve"> </w:t>
      </w:r>
      <w:r>
        <w:t xml:space="preserve">is measured via a coefficient</w:t>
      </w:r>
      <w:r>
        <w:t xml:space="preserve"> </w:t>
      </w:r>
      <m:oMath>
        <m:sSub>
          <m:e>
            <m:r>
              <m:t>β</m:t>
            </m:r>
          </m:e>
          <m:sub>
            <m:r>
              <m:t>g</m:t>
            </m:r>
            <m:r>
              <m:t>,</m:t>
            </m:r>
            <m:r>
              <m:t>i</m:t>
            </m:r>
          </m:sub>
        </m:sSub>
      </m:oMath>
      <w:r>
        <w:t xml:space="preserve">, which can be loosely interpreted</w:t>
      </w:r>
      <w:r>
        <w:t xml:space="preserve"> </w:t>
      </w:r>
      <w:r>
        <w:t xml:space="preserve">as the natural logarithm of the fold-change. Transcripts were considered to have</w:t>
      </w:r>
      <w:r>
        <w:t xml:space="preserve"> </w:t>
      </w:r>
      <w:r>
        <w:t xml:space="preserve">differential expression between wild-type and a mutant if</w:t>
      </w:r>
      <w:r>
        <w:t xml:space="preserve"> </w:t>
      </w:r>
      <m:oMath>
        <m:r>
          <m:t>q</m:t>
        </m:r>
        <m:r>
          <m:t>≤</m:t>
        </m:r>
        <m:r>
          <m:t>0.1</m:t>
        </m:r>
      </m:oMath>
      <w:r>
        <w:t xml:space="preserve">.</w:t>
      </w:r>
    </w:p>
    <w:p>
      <w:pPr>
        <w:pStyle w:val="BodyText"/>
      </w:pPr>
      <w:r>
        <w:drawing>
          <wp:inline>
            <wp:extent cx="3810000" cy="2540000"/>
            <wp:effectExtent b="0" l="0" r="0" t="0"/>
            <wp:docPr descr="image" title="" id="1" name="Picture"/>
            <a:graphic>
              <a:graphicData uri="http://schemas.openxmlformats.org/drawingml/2006/picture">
                <pic:pic>
                  <pic:nvPicPr>
                    <pic:cNvPr descr="../../figs/Flowchart_Conceptual.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By these criteria, we found</w:t>
      </w:r>
      <w:r>
        <w:t xml:space="preserve"> </w:t>
      </w:r>
      <w:r>
        <w:t xml:space="preserve">481</w:t>
      </w:r>
      <w:r>
        <w:t xml:space="preserve"> </w:t>
      </w:r>
      <w:r>
        <w:t xml:space="preserve">genes differentially expressed in</w:t>
      </w:r>
      <w:r>
        <w:t xml:space="preserve"> </w:t>
      </w:r>
      <w:r>
        <w:rPr>
          <w:i/>
        </w:rPr>
        <w:t xml:space="preserve">dpy-22(bx93)</w:t>
      </w:r>
      <w:r>
        <w:t xml:space="preserve"> </w:t>
      </w:r>
      <w:r>
        <w:t xml:space="preserve">homozygotes, and</w:t>
      </w:r>
      <w:r>
        <w:t xml:space="preserve"> </w:t>
      </w:r>
      <w:r>
        <w:t xml:space="preserve">2,863</w:t>
      </w:r>
      <w:r>
        <w:t xml:space="preserve"> </w:t>
      </w:r>
      <w:r>
        <w:t xml:space="preserve">differentially expressed genes in</w:t>
      </w:r>
      <w:r>
        <w:t xml:space="preserve"> </w:t>
      </w:r>
      <w:r>
        <w:rPr>
          <w:i/>
        </w:rPr>
        <w:t xml:space="preserve">dpy-22(sy622)</w:t>
      </w:r>
      <w:r>
        <w:t xml:space="preserve"> </w:t>
      </w:r>
      <w:r>
        <w:t xml:space="preserve">homozygotes (see</w:t>
      </w:r>
      <w:r>
        <w:t xml:space="preserve"> </w:t>
      </w:r>
      <w:hyperlink r:id="rId24">
        <w:r>
          <w:rPr>
            <w:rStyle w:val="Hyperlink"/>
          </w:rPr>
          <w:t xml:space="preserve">Basic</w:t>
        </w:r>
        <w:r>
          <w:rPr>
            <w:rStyle w:val="Hyperlink"/>
          </w:rPr>
          <w:t xml:space="preserve"> </w:t>
        </w:r>
        <w:r>
          <w:rPr>
            <w:rStyle w:val="Hyperlink"/>
          </w:rPr>
          <w:t xml:space="preserve">Statistics Notebook</w:t>
        </w:r>
      </w:hyperlink>
      <w:r>
        <w:t xml:space="preserve">). We also sequenced</w:t>
      </w:r>
      <w:r>
        <w:t xml:space="preserve"> </w:t>
      </w:r>
      <w:r>
        <w:rPr>
          <w:i/>
        </w:rPr>
        <w:t xml:space="preserve">trans</w:t>
      </w:r>
      <w:r>
        <w:t xml:space="preserve">-heterozygotes with the</w:t>
      </w:r>
      <w:r>
        <w:t xml:space="preserve"> </w:t>
      </w:r>
      <w:r>
        <w:t xml:space="preserve">genotype</w:t>
      </w:r>
      <w:r>
        <w:t xml:space="preserve"> </w:t>
      </w:r>
      <w:r>
        <w:rPr>
          <w:i/>
        </w:rPr>
        <w:t xml:space="preserve">dpy-6(e14) dpy-22(bx93)/+ dpy-22(sy622)</w:t>
      </w:r>
      <w:r>
        <w:t xml:space="preserve">, and found</w:t>
      </w:r>
      <w:r>
        <w:t xml:space="preserve"> </w:t>
      </w:r>
      <w:r>
        <w:t xml:space="preserve">2,214</w:t>
      </w:r>
      <w:r>
        <w:t xml:space="preserve"> </w:t>
      </w:r>
      <w:r>
        <w:t xml:space="preserve">differentially expressed genes.</w:t>
      </w:r>
    </w:p>
    <w:p>
      <w:pPr>
        <w:pStyle w:val="BodyText"/>
      </w:pPr>
      <w:r>
        <w:t xml:space="preserve">We used a false hit analysis to identify four non-overlapping phenotypic</w:t>
      </w:r>
      <w:r>
        <w:t xml:space="preserve"> </w:t>
      </w:r>
      <w:r>
        <w:t xml:space="preserve">classes. We use the term genotype-specific to refer to groups of transcripts</w:t>
      </w:r>
      <w:r>
        <w:t xml:space="preserve"> </w:t>
      </w:r>
      <w:r>
        <w:t xml:space="preserve">that perturbed in one mutant. We use the term genotype-associated to refer to</w:t>
      </w:r>
      <w:r>
        <w:t xml:space="preserve"> </w:t>
      </w:r>
      <w:r>
        <w:t xml:space="preserve">those groups of transcripts perturbed in two or more mutants. The</w:t>
      </w:r>
      <w:r>
        <w:t xml:space="preserve"> </w:t>
      </w:r>
      <w:r>
        <w:rPr>
          <w:i/>
          <w:b/>
        </w:rPr>
        <w:t xml:space="preserve">dpy-22(sy622)</w:t>
      </w:r>
      <w:r>
        <w:rPr>
          <w:b/>
        </w:rPr>
        <w:t xml:space="preserve">-associated</w:t>
      </w:r>
      <w:r>
        <w:t xml:space="preserve"> </w:t>
      </w:r>
      <w:r>
        <w:t xml:space="preserve">phenotypic class consisted of 720 genes differentially</w:t>
      </w:r>
      <w:r>
        <w:t xml:space="preserve"> </w:t>
      </w:r>
      <w:r>
        <w:t xml:space="preserve">expressed in</w:t>
      </w:r>
      <w:r>
        <w:t xml:space="preserve"> </w:t>
      </w:r>
      <w:r>
        <w:rPr>
          <w:i/>
        </w:rPr>
        <w:t xml:space="preserve">dpy-22(sy622)</w:t>
      </w:r>
      <w:r>
        <w:t xml:space="preserve"> </w:t>
      </w:r>
      <w:r>
        <w:t xml:space="preserve">homozygotes and in</w:t>
      </w:r>
      <w:r>
        <w:t xml:space="preserve"> </w:t>
      </w:r>
      <w:r>
        <w:rPr>
          <w:i/>
        </w:rPr>
        <w:t xml:space="preserve">trans</w:t>
      </w:r>
      <w:r>
        <w:t xml:space="preserve">-heterozygotes, but which had</w:t>
      </w:r>
      <w:r>
        <w:t xml:space="preserve"> </w:t>
      </w:r>
      <w:r>
        <w:t xml:space="preserve">wild-type expression in</w:t>
      </w:r>
      <w:r>
        <w:t xml:space="preserve"> </w:t>
      </w:r>
      <w:r>
        <w:rPr>
          <w:i/>
        </w:rPr>
        <w:t xml:space="preserve">dpy-22(bx93)</w:t>
      </w:r>
      <w:r>
        <w:t xml:space="preserve"> </w:t>
      </w:r>
      <w:r>
        <w:t xml:space="preserve">homozygotes. The</w:t>
      </w:r>
      <w:r>
        <w:t xml:space="preserve"> </w:t>
      </w:r>
      <w:r>
        <w:rPr>
          <w:i/>
          <w:b/>
        </w:rPr>
        <w:t xml:space="preserve">dpy-22(bx93)</w:t>
      </w:r>
      <w:r>
        <w:rPr>
          <w:b/>
        </w:rPr>
        <w:t xml:space="preserve">-associated</w:t>
      </w:r>
      <w:r>
        <w:t xml:space="preserve"> </w:t>
      </w:r>
      <w:r>
        <w:t xml:space="preserve">phenotypic class contains 403 genes differentially expressed in all genotypes.</w:t>
      </w:r>
      <w:r>
        <w:t xml:space="preserve"> </w:t>
      </w:r>
      <w:r>
        <w:t xml:space="preserve">We also identified a</w:t>
      </w:r>
      <w:r>
        <w:t xml:space="preserve"> </w:t>
      </w:r>
      <w:r>
        <w:rPr>
          <w:i/>
          <w:b/>
        </w:rPr>
        <w:t xml:space="preserve">dpy-22(sy622)</w:t>
      </w:r>
      <w:r>
        <w:rPr>
          <w:b/>
        </w:rPr>
        <w:t xml:space="preserve">-specific</w:t>
      </w:r>
      <w:r>
        <w:t xml:space="preserve"> </w:t>
      </w:r>
      <w:r>
        <w:t xml:space="preserve">phenotypic class (1,841 genes) and</w:t>
      </w:r>
      <w:r>
        <w:t xml:space="preserve"> </w:t>
      </w:r>
      <w:r>
        <w:t xml:space="preserve">a</w:t>
      </w:r>
      <w:r>
        <w:t xml:space="preserve"> </w:t>
      </w:r>
      <w:r>
        <w:rPr>
          <w:i/>
          <w:b/>
        </w:rPr>
        <w:t xml:space="preserve">trans</w:t>
      </w:r>
      <w:r>
        <w:rPr>
          <w:b/>
        </w:rPr>
        <w:t xml:space="preserve">-heterozygote-specific</w:t>
      </w:r>
      <w:r>
        <w:t xml:space="preserve"> </w:t>
      </w:r>
      <w:r>
        <w:t xml:space="preserve">phenotypic class (1,226 genes; see</w:t>
      </w:r>
      <w:r>
        <w:t xml:space="preserve"> </w:t>
      </w:r>
      <w:r>
        <w:t xml:space="preserve">the</w:t>
      </w:r>
      <w:r>
        <w:t xml:space="preserve"> </w:t>
      </w:r>
      <w:hyperlink r:id="rId25">
        <w:r>
          <w:rPr>
            <w:rStyle w:val="Hyperlink"/>
          </w:rPr>
          <w:t xml:space="preserve"> </w:t>
        </w:r>
        <w:r>
          <w:rPr>
            <w:rStyle w:val="Hyperlink"/>
          </w:rPr>
          <w:t xml:space="preserve">Phenotypic Classes Notebook</w:t>
        </w:r>
      </w:hyperlink>
      <w:r>
        <w:t xml:space="preserve">).</w:t>
      </w:r>
    </w:p>
    <w:p>
      <w:pPr>
        <w:pStyle w:val="BodyText"/>
      </w:pPr>
      <w:r>
        <w:t xml:space="preserve">We measured allelic dominance for each class. The</w:t>
      </w:r>
      <w:r>
        <w:t xml:space="preserve"> </w:t>
      </w:r>
      <w:r>
        <w:rPr>
          <w:i/>
        </w:rPr>
        <w:t xml:space="preserve">dpy-22(sy622)</w:t>
      </w:r>
      <w:r>
        <w:t xml:space="preserve"> </w:t>
      </w:r>
      <w:r>
        <w:t xml:space="preserve">allele is completely</w:t>
      </w:r>
      <w:r>
        <w:t xml:space="preserve"> </w:t>
      </w:r>
      <w:r>
        <w:t xml:space="preserve">recessive to the</w:t>
      </w:r>
      <w:r>
        <w:t xml:space="preserve"> </w:t>
      </w:r>
      <w:r>
        <w:rPr>
          <w:i/>
        </w:rPr>
        <w:t xml:space="preserve">dpy-22(bx93)</w:t>
      </w:r>
      <w:r>
        <w:t xml:space="preserve"> </w:t>
      </w:r>
      <w:r>
        <w:t xml:space="preserve">for the</w:t>
      </w:r>
      <w:r>
        <w:t xml:space="preserve"> </w:t>
      </w:r>
      <w:r>
        <w:rPr>
          <w:i/>
        </w:rPr>
        <w:t xml:space="preserve">dpy-22(sy622)</w:t>
      </w:r>
      <w:r>
        <w:t xml:space="preserve">-specific phenotypic class. The</w:t>
      </w:r>
      <w:r>
        <w:t xml:space="preserve"> </w:t>
      </w:r>
      <w:r>
        <w:rPr>
          <w:i/>
        </w:rPr>
        <w:t xml:space="preserve">dpy-22(sy622)</w:t>
      </w:r>
      <w:r>
        <w:t xml:space="preserve"> </w:t>
      </w:r>
      <w:r>
        <w:t xml:space="preserve">and</w:t>
      </w:r>
      <w:r>
        <w:t xml:space="preserve"> </w:t>
      </w:r>
      <w:r>
        <w:rPr>
          <w:i/>
        </w:rPr>
        <w:t xml:space="preserve">dpy-22(bx93)</w:t>
      </w:r>
      <w:r>
        <w:t xml:space="preserve"> </w:t>
      </w:r>
      <w:r>
        <w:t xml:space="preserve">alleles are semidominant (</w:t>
      </w:r>
      <m:oMath>
        <m:sSub>
          <m:e>
            <m:r>
              <m:t>d</m:t>
            </m:r>
          </m:e>
          <m:sub>
            <m:r>
              <m:t>b</m:t>
            </m:r>
            <m:r>
              <m:t>x</m:t>
            </m:r>
            <m:r>
              <m:t>93</m:t>
            </m:r>
          </m:sub>
        </m:sSub>
        <m:r>
          <m:t>=</m:t>
        </m:r>
        <m:r>
          <m:t>0.51</m:t>
        </m:r>
      </m:oMath>
      <w:r>
        <w:t xml:space="preserve">) to each other for the</w:t>
      </w:r>
      <w:r>
        <w:t xml:space="preserve"> </w:t>
      </w:r>
      <w:r>
        <w:rPr>
          <w:i/>
        </w:rPr>
        <w:t xml:space="preserve">dpy-22(sy622)</w:t>
      </w:r>
      <w:r>
        <w:t xml:space="preserve">-associated phenotypic class. The</w:t>
      </w:r>
      <w:r>
        <w:t xml:space="preserve"> </w:t>
      </w:r>
      <w:r>
        <w:rPr>
          <w:i/>
        </w:rPr>
        <w:t xml:space="preserve">dpy-22(bx93)</w:t>
      </w:r>
      <w:r>
        <w:t xml:space="preserve"> </w:t>
      </w:r>
      <w:r>
        <w:t xml:space="preserve">allele is largely dominant over</w:t>
      </w:r>
      <w:r>
        <w:t xml:space="preserve"> </w:t>
      </w:r>
      <w:r>
        <w:t xml:space="preserve">the</w:t>
      </w:r>
      <w:r>
        <w:t xml:space="preserve"> </w:t>
      </w:r>
      <w:r>
        <w:rPr>
          <w:i/>
        </w:rPr>
        <w:t xml:space="preserve">dpy-22(sy622)</w:t>
      </w:r>
      <w:r>
        <w:t xml:space="preserve"> </w:t>
      </w:r>
      <w:r>
        <w:t xml:space="preserve">allele (</w:t>
      </w:r>
      <m:oMath>
        <m:sSub>
          <m:e>
            <m:r>
              <m:t>d</m:t>
            </m:r>
          </m:e>
          <m:sub>
            <m:r>
              <m:t>b</m:t>
            </m:r>
            <m:r>
              <m:t>x</m:t>
            </m:r>
            <m:r>
              <m:t>93</m:t>
            </m:r>
          </m:sub>
        </m:sSub>
        <m:r>
          <m:t>=</m:t>
        </m:r>
        <m:r>
          <m:t>0.81</m:t>
        </m:r>
      </m:oMath>
      <w:r>
        <w:t xml:space="preserve">; see Table [tab:dom]).</w:t>
      </w:r>
    </w:p>
    <w:p>
      <w:pPr>
        <w:pStyle w:val="TableCaption"/>
      </w:pPr>
      <w:r>
        <w:t xml:space="preserve">Dominance analysis for the</w:t>
      </w:r>
      <w:r>
        <w:t xml:space="preserve"> </w:t>
      </w:r>
      <w:r>
        <w:rPr>
          <w:i/>
        </w:rPr>
        <w:t xml:space="preserve">dpy-22/MDT12</w:t>
      </w:r>
      <w:r>
        <w:t xml:space="preserve"> </w:t>
      </w:r>
      <w:r>
        <w:t xml:space="preserve">allelic series. Dominance</w:t>
      </w:r>
      <w:r>
        <w:t xml:space="preserve"> </w:t>
      </w:r>
      <w:r>
        <w:t xml:space="preserve">values closer to 1 indicate</w:t>
      </w:r>
      <w:r>
        <w:t xml:space="preserve"> </w:t>
      </w:r>
      <w:r>
        <w:rPr>
          <w:i/>
        </w:rPr>
        <w:t xml:space="preserve">dpy-22(bx93)</w:t>
      </w:r>
      <w:r>
        <w:t xml:space="preserve"> </w:t>
      </w:r>
      <w:r>
        <w:t xml:space="preserve">is dominant over</w:t>
      </w:r>
      <w:r>
        <w:t xml:space="preserve"> </w:t>
      </w:r>
      <w:r>
        <w:rPr>
          <w:i/>
        </w:rPr>
        <w:t xml:space="preserve">dpy-22(sy622)</w:t>
      </w:r>
      <w:r>
        <w:t xml:space="preserve">, whereas 0 indicates</w:t>
      </w:r>
      <w:r>
        <w:t xml:space="preserve"> </w:t>
      </w:r>
      <w:r>
        <w:rPr>
          <w:i/>
        </w:rPr>
        <w:t xml:space="preserve">dpy-22(sy622)</w:t>
      </w:r>
      <w:r>
        <w:t xml:space="preserve"> </w:t>
      </w:r>
      <w:r>
        <w:t xml:space="preserve">is dominant over</w:t>
      </w:r>
      <w:r>
        <w:t xml:space="preserve"> </w:t>
      </w:r>
      <w:r>
        <w:rPr>
          <w:i/>
        </w:rPr>
        <w:t xml:space="preserve">dpy-22(bx93)</w:t>
      </w:r>
      <w:r>
        <w:t xml:space="preserve">.</w:t>
      </w:r>
    </w:p>
    <w:tbl>
      <w:tblPr>
        <w:tblStyle w:val="TableNormal"/>
        <w:tblW w:type="pct" w:w="0.0"/>
        <w:tblLook w:firstRow="1"/>
        <w:tblCaption w:val="Dominance analysis for the dpy-22/MDT12 allelic series. Dominance values closer to 1 indicate dpy-22(bx93) is dominant over dpy-22(sy622), whereas 0 indicates dpy-22(sy622) is dominant over dpy-22(bx93)."/>
      </w:tblPr>
      <w:tblGrid/>
      <w:tr>
        <w:trPr>
          <w:cnfStyle w:firstRow="1"/>
        </w:trPr>
        <w:tc>
          <w:tcPr>
            <w:tcBorders>
              <w:bottom w:val="single"/>
            </w:tcBorders>
            <w:vAlign w:val="bottom"/>
          </w:tcPr>
          <w:p>
            <w:pPr>
              <w:pStyle w:val="Compact"/>
              <w:jc w:val="left"/>
            </w:pPr>
            <w:r>
              <w:t xml:space="preserve">Phenotypic Class</w:t>
            </w:r>
          </w:p>
        </w:tc>
        <w:tc>
          <w:tcPr>
            <w:tcBorders>
              <w:bottom w:val="single"/>
            </w:tcBorders>
            <w:vAlign w:val="bottom"/>
          </w:tcPr>
          <w:p>
            <w:pPr>
              <w:pStyle w:val="Compact"/>
              <w:jc w:val="center"/>
            </w:pPr>
            <w:r>
              <w:t xml:space="preserve">Dominance</w:t>
            </w:r>
          </w:p>
        </w:tc>
      </w:tr>
      <w:tr>
        <w:tc>
          <w:p>
            <w:pPr>
              <w:pStyle w:val="Compact"/>
              <w:jc w:val="left"/>
            </w:pPr>
            <w:r>
              <w:rPr>
                <w:i/>
              </w:rPr>
              <w:t xml:space="preserve">dpy-22(sy622)</w:t>
            </w:r>
            <w:r>
              <w:t xml:space="preserve">-specific</w:t>
            </w:r>
          </w:p>
        </w:tc>
        <w:tc>
          <w:p>
            <w:pPr>
              <w:pStyle w:val="Compact"/>
              <w:jc w:val="center"/>
            </w:pPr>
            <m:oMath>
              <m:r>
                <m:t>1.00</m:t>
              </m:r>
              <m:r>
                <m:t>±</m:t>
              </m:r>
              <m:r>
                <m:t>0.00</m:t>
              </m:r>
            </m:oMath>
          </w:p>
        </w:tc>
      </w:tr>
      <w:tr>
        <w:tc>
          <w:p>
            <w:pPr>
              <w:pStyle w:val="Compact"/>
              <w:jc w:val="left"/>
            </w:pPr>
            <w:r>
              <w:rPr>
                <w:i/>
              </w:rPr>
              <w:t xml:space="preserve">dpy-22(sy622)</w:t>
            </w:r>
            <w:r>
              <w:t xml:space="preserve">-associated</w:t>
            </w:r>
          </w:p>
        </w:tc>
        <w:tc>
          <w:p>
            <w:pPr>
              <w:pStyle w:val="Compact"/>
              <w:jc w:val="center"/>
            </w:pPr>
            <m:oMath>
              <m:r>
                <m:t>0.51</m:t>
              </m:r>
              <m:r>
                <m:t>±</m:t>
              </m:r>
              <m:r>
                <m:t>0.01</m:t>
              </m:r>
            </m:oMath>
          </w:p>
        </w:tc>
      </w:tr>
      <w:tr>
        <w:tc>
          <w:p>
            <w:pPr>
              <w:pStyle w:val="Compact"/>
              <w:jc w:val="left"/>
            </w:pPr>
            <w:r>
              <w:rPr>
                <w:i/>
              </w:rPr>
              <w:t xml:space="preserve">dpy-22(bx93)</w:t>
            </w:r>
            <w:r>
              <w:t xml:space="preserve">-associated</w:t>
            </w:r>
          </w:p>
        </w:tc>
        <w:tc>
          <w:p>
            <w:pPr>
              <w:pStyle w:val="Compact"/>
              <w:jc w:val="center"/>
            </w:pPr>
            <m:oMath>
              <m:r>
                <m:t>0.81</m:t>
              </m:r>
              <m:r>
                <m:t>±</m:t>
              </m:r>
              <m:r>
                <m:t>0.01</m:t>
              </m:r>
            </m:oMath>
          </w:p>
        </w:tc>
      </w:tr>
    </w:tbl>
    <w:p>
      <w:pPr>
        <w:pStyle w:val="BodyText"/>
      </w:pPr>
      <w:r>
        <w:t xml:space="preserve">Our results suggest the existence of various functional units in</w:t>
      </w:r>
      <w:r>
        <w:t xml:space="preserve"> </w:t>
      </w:r>
      <w:r>
        <w:rPr>
          <w:i/>
        </w:rPr>
        <w:t xml:space="preserve">dpy-22/MDT12</w:t>
      </w:r>
      <w:r>
        <w:t xml:space="preserve"> </w:t>
      </w:r>
      <w:r>
        <w:t xml:space="preserve">(see Fig. [fig:domains]). The</w:t>
      </w:r>
      <w:r>
        <w:t xml:space="preserve"> </w:t>
      </w:r>
      <w:r>
        <w:rPr>
          <w:i/>
        </w:rPr>
        <w:t xml:space="preserve">dpy-22(sy622)</w:t>
      </w:r>
      <w:r>
        <w:t xml:space="preserve">-specific phenotypic class is likely</w:t>
      </w:r>
      <w:r>
        <w:t xml:space="preserve"> </w:t>
      </w:r>
      <w:r>
        <w:t xml:space="preserve">controlled by a single functional unit, functional unit 1 (FC1), and the</w:t>
      </w:r>
      <w:r>
        <w:t xml:space="preserve"> </w:t>
      </w:r>
      <w:r>
        <w:rPr>
          <w:i/>
        </w:rPr>
        <w:t xml:space="preserve">dpy-22(sy622)</w:t>
      </w:r>
      <w:r>
        <w:t xml:space="preserve">-associated phenotypic class is likely controlled by a second</w:t>
      </w:r>
      <w:r>
        <w:t xml:space="preserve"> </w:t>
      </w:r>
      <w:r>
        <w:t xml:space="preserve">functional unit, functional unit 2 (FC2). It is unlikely that these units are</w:t>
      </w:r>
      <w:r>
        <w:t xml:space="preserve"> </w:t>
      </w:r>
      <w:r>
        <w:t xml:space="preserve">identical because their dominance behaviors are very different. The</w:t>
      </w:r>
      <w:r>
        <w:t xml:space="preserve"> </w:t>
      </w:r>
      <w:r>
        <w:rPr>
          <w:i/>
        </w:rPr>
        <w:t xml:space="preserve">dpy-22(bx93)</w:t>
      </w:r>
      <w:r>
        <w:t xml:space="preserve"> </w:t>
      </w:r>
      <w:r>
        <w:t xml:space="preserve">allele was largely dominant over the</w:t>
      </w:r>
      <w:r>
        <w:t xml:space="preserve"> </w:t>
      </w:r>
      <w:r>
        <w:rPr>
          <w:i/>
        </w:rPr>
        <w:t xml:space="preserve">dpy-22(sy622)</w:t>
      </w:r>
      <w:r>
        <w:t xml:space="preserve"> </w:t>
      </w:r>
      <w:r>
        <w:t xml:space="preserve">allele for the</w:t>
      </w:r>
      <w:r>
        <w:t xml:space="preserve"> </w:t>
      </w:r>
      <w:r>
        <w:rPr>
          <w:i/>
        </w:rPr>
        <w:t xml:space="preserve">dpy-22(bx93)</w:t>
      </w:r>
      <w:r>
        <w:t xml:space="preserve">-associated class, but gene expression in this class was perturbed in</w:t>
      </w:r>
      <w:r>
        <w:t xml:space="preserve"> </w:t>
      </w:r>
      <w:r>
        <w:t xml:space="preserve">both homozygotes. The perturbations were greater for</w:t>
      </w:r>
      <w:r>
        <w:t xml:space="preserve"> </w:t>
      </w:r>
      <w:r>
        <w:rPr>
          <w:i/>
        </w:rPr>
        <w:t xml:space="preserve">dpy-22(sy622)</w:t>
      </w:r>
      <w:r>
        <w:t xml:space="preserve"> </w:t>
      </w:r>
      <w:r>
        <w:t xml:space="preserve">homozygotes</w:t>
      </w:r>
      <w:r>
        <w:t xml:space="preserve"> </w:t>
      </w:r>
      <w:r>
        <w:t xml:space="preserve">than for</w:t>
      </w:r>
      <w:r>
        <w:t xml:space="preserve"> </w:t>
      </w:r>
      <w:r>
        <w:rPr>
          <w:i/>
        </w:rPr>
        <w:t xml:space="preserve">dpy-22(bx93)</w:t>
      </w:r>
      <w:r>
        <w:t xml:space="preserve"> </w:t>
      </w:r>
      <w:r>
        <w:t xml:space="preserve">homozygotes. This behavior can be explained if the</w:t>
      </w:r>
      <w:r>
        <w:t xml:space="preserve"> </w:t>
      </w:r>
      <w:r>
        <w:rPr>
          <w:i/>
        </w:rPr>
        <w:t xml:space="preserve">dpy-22(bx93)</w:t>
      </w:r>
      <w:r>
        <w:t xml:space="preserve">-associated class is controlled jointly by two distinct effectors,</w:t>
      </w:r>
      <w:r>
        <w:t xml:space="preserve"> </w:t>
      </w:r>
      <w:r>
        <w:t xml:space="preserve">functional units 3 and 4 (FC3, FC4, see Fig. [fig:domains]). A rigorous</w:t>
      </w:r>
      <w:r>
        <w:t xml:space="preserve"> </w:t>
      </w:r>
      <w:r>
        <w:t xml:space="preserve">examination of this model will require studying alleles that mutate the region</w:t>
      </w:r>
      <w:r>
        <w:t xml:space="preserve"> </w:t>
      </w:r>
      <w:r>
        <w:t xml:space="preserve">between Q1689 and Q2549 using homozygotes and</w:t>
      </w:r>
      <w:r>
        <w:t xml:space="preserve"> </w:t>
      </w:r>
      <w:r>
        <w:rPr>
          <w:i/>
        </w:rPr>
        <w:t xml:space="preserve">trans</w:t>
      </w:r>
      <w:r>
        <w:t xml:space="preserve">-heterozygotes.</w:t>
      </w:r>
    </w:p>
    <w:p>
      <w:pPr>
        <w:pStyle w:val="FigureWithCaption"/>
      </w:pPr>
      <w:r>
        <w:drawing>
          <wp:inline>
            <wp:extent cx="3810000" cy="2540000"/>
            <wp:effectExtent b="0" l="0" r="0" t="0"/>
            <wp:docPr descr=" The functional units associated with each phenotypic class can be mapped to intragenic locations. The beginning and end positions of these functional units are unknown, so edges are drawn as ragged lines. Thick horizontal lines show the limit where each function could end, if known. We postulate that the dpy-22(bx93)-associated class is controlled by two functional units, FC3 and FC4, in the tail region of this gene. FC2 and FC3 may be redundant. " title="" id="1" name="Picture"/>
            <a:graphic>
              <a:graphicData uri="http://schemas.openxmlformats.org/drawingml/2006/picture">
                <pic:pic>
                  <pic:nvPicPr>
                    <pic:cNvPr descr="../../figs/inferred_domains.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The functional units associated with each phenotypic class can be</w:t>
      </w:r>
      <w:r>
        <w:t xml:space="preserve"> </w:t>
      </w:r>
      <w:r>
        <w:t xml:space="preserve">mapped to intragenic locations. The beginning and end positions of</w:t>
      </w:r>
      <w:r>
        <w:t xml:space="preserve"> </w:t>
      </w:r>
      <w:r>
        <w:t xml:space="preserve">these functional units are unknown,</w:t>
      </w:r>
      <w:r>
        <w:t xml:space="preserve"> </w:t>
      </w:r>
      <w:r>
        <w:t xml:space="preserve">so edges are drawn as ragged lines. Thick horizontal lines show the</w:t>
      </w:r>
      <w:r>
        <w:t xml:space="preserve"> </w:t>
      </w:r>
      <w:r>
        <w:t xml:space="preserve">limit where each function could end, if known. We postulate that the</w:t>
      </w:r>
      <w:r>
        <w:t xml:space="preserve"> </w:t>
      </w:r>
      <w:r>
        <w:rPr>
          <w:i/>
        </w:rPr>
        <w:t xml:space="preserve">dpy-22(bx93)</w:t>
      </w:r>
      <w:r>
        <w:t xml:space="preserve">-associated class is controlled by two functional units, FC3 and</w:t>
      </w:r>
      <w:r>
        <w:t xml:space="preserve"> </w:t>
      </w:r>
      <w:r>
        <w:t xml:space="preserve">FC4, in the tail region of this gene. FC2 and FC3 may be redundant.</w:t>
      </w:r>
      <w:r>
        <w:t xml:space="preserve"> </w:t>
      </w:r>
    </w:p>
    <w:p>
      <w:pPr>
        <w:pStyle w:val="BodyText"/>
      </w:pPr>
      <w:r>
        <w:t xml:space="preserve">We also found a class of transcripts that had perturbed levels in</w:t>
      </w:r>
      <w:r>
        <w:t xml:space="preserve"> </w:t>
      </w:r>
      <w:r>
        <w:rPr>
          <w:i/>
        </w:rPr>
        <w:t xml:space="preserve">trans</w:t>
      </w:r>
      <w:r>
        <w:t xml:space="preserve">-heterozygotes only; its biologicla significance is unclear.</w:t>
      </w:r>
      <w:r>
        <w:t xml:space="preserve"> </w:t>
      </w:r>
      <w:r>
        <w:t xml:space="preserve">Phenotypes unique to</w:t>
      </w:r>
      <w:r>
        <w:t xml:space="preserve"> </w:t>
      </w:r>
      <w:r>
        <w:rPr>
          <w:i/>
        </w:rPr>
        <w:t xml:space="preserve">trans</w:t>
      </w:r>
      <w:r>
        <w:t xml:space="preserve">-heterozygotes are often the result of physical</w:t>
      </w:r>
      <w:r>
        <w:t xml:space="preserve"> </w:t>
      </w:r>
      <w:r>
        <w:t xml:space="preserve">interactions such as homodimerization, or dosage reduction of a toxic</w:t>
      </w:r>
      <w:r>
        <w:t xml:space="preserve"> </w:t>
      </w:r>
      <w:r>
        <w:t xml:space="preserve">product </w:t>
      </w:r>
      <w:r>
        <w:rPr>
          <w:vertAlign w:val="superscript"/>
        </w:rPr>
        <w:t xml:space="preserve">21</w:t>
      </w:r>
      <w:r>
        <w:t xml:space="preserve">. In the case of</w:t>
      </w:r>
      <w:r>
        <w:t xml:space="preserve"> </w:t>
      </w:r>
      <w:r>
        <w:rPr>
          <w:i/>
        </w:rPr>
        <w:t xml:space="preserve">dpy-22/MDT12</w:t>
      </w:r>
      <w:r>
        <w:t xml:space="preserve"> </w:t>
      </w:r>
      <w:r>
        <w:t xml:space="preserve">orthologs, how either</w:t>
      </w:r>
      <w:r>
        <w:t xml:space="preserve"> </w:t>
      </w:r>
      <w:r>
        <w:t xml:space="preserve">mechanism could operate is not obvious, since the is expected</w:t>
      </w:r>
      <w:r>
        <w:t xml:space="preserve"> </w:t>
      </w:r>
      <w:r>
        <w:t xml:space="preserve">to assemble in a monomeric manner into the CKM. Massive single-cell sequencing</w:t>
      </w:r>
      <w:r>
        <w:t xml:space="preserve"> </w:t>
      </w:r>
      <w:r>
        <w:t xml:space="preserve">of</w:t>
      </w:r>
      <w:r>
        <w:t xml:space="preserve"> </w:t>
      </w:r>
      <w:r>
        <w:rPr>
          <w:i/>
        </w:rPr>
        <w:t xml:space="preserve">C. elegans</w:t>
      </w:r>
      <w:r>
        <w:t xml:space="preserve"> </w:t>
      </w:r>
      <w:r>
        <w:t xml:space="preserve">has recently been reported </w:t>
      </w:r>
      <w:r>
        <w:rPr>
          <w:vertAlign w:val="superscript"/>
        </w:rPr>
        <w:t xml:space="preserve">22</w:t>
      </w:r>
      <w:r>
        <w:t xml:space="preserve">. When this technique becomes</w:t>
      </w:r>
      <w:r>
        <w:t xml:space="preserve"> </w:t>
      </w:r>
      <w:r>
        <w:t xml:space="preserve">cost-efficient, single-cell profiling of these genotypes may provide information</w:t>
      </w:r>
      <w:r>
        <w:t xml:space="preserve"> </w:t>
      </w:r>
      <w:r>
        <w:t xml:space="preserve">that complements the whole-organism expression phenotypes, perhaps explaining</w:t>
      </w:r>
      <w:r>
        <w:t xml:space="preserve"> </w:t>
      </w:r>
      <w:r>
        <w:t xml:space="preserve">the origin of this phenotype.</w:t>
      </w:r>
    </w:p>
    <w:p>
      <w:pPr>
        <w:pStyle w:val="BodyText"/>
      </w:pPr>
      <w:r>
        <w:t xml:space="preserve">Transcriptomic phenotypes generate large amounts of differential gene expression</w:t>
      </w:r>
      <w:r>
        <w:t xml:space="preserve"> </w:t>
      </w:r>
      <w:r>
        <w:t xml:space="preserve">data, so false positive and false negative rates can lead to spurious phenotypic</w:t>
      </w:r>
      <w:r>
        <w:t xml:space="preserve"> </w:t>
      </w:r>
      <w:r>
        <w:t xml:space="preserve">classes whose putative biological significance is badly misleading. Such</w:t>
      </w:r>
      <w:r>
        <w:t xml:space="preserve"> </w:t>
      </w:r>
      <w:r>
        <w:t xml:space="preserve">artifacts are particularly likely for small phenotypic classes, which should be</w:t>
      </w:r>
      <w:r>
        <w:t xml:space="preserve"> </w:t>
      </w:r>
      <w:r>
        <w:t xml:space="preserve">viewed with skepticism. Notably, errors of interpretation cannot be avoided by</w:t>
      </w:r>
      <w:r>
        <w:t xml:space="preserve"> </w:t>
      </w:r>
      <w:r>
        <w:t xml:space="preserve">setting a more stringent</w:t>
      </w:r>
      <w:r>
        <w:t xml:space="preserve"> </w:t>
      </w:r>
      <m:oMath>
        <m:r>
          <m:t>q</m:t>
        </m:r>
      </m:oMath>
      <w:r>
        <w:t xml:space="preserve">-value cut-off; doing so will decrease the</w:t>
      </w:r>
      <w:r>
        <w:t xml:space="preserve"> </w:t>
      </w:r>
      <w:r>
        <w:t xml:space="preserve">false positive rate, but increase the false negative rate, which will in turn</w:t>
      </w:r>
      <w:r>
        <w:t xml:space="preserve"> </w:t>
      </w:r>
      <w:r>
        <w:t xml:space="preserve">produce smaller phenotypic classes than expected. Our method avoids this pitfall</w:t>
      </w:r>
      <w:r>
        <w:t xml:space="preserve"> </w:t>
      </w:r>
      <w:r>
        <w:t xml:space="preserve">by using total error rate estimates to assess the plausibility</w:t>
      </w:r>
      <w:r>
        <w:t xml:space="preserve"> </w:t>
      </w:r>
      <w:r>
        <w:t xml:space="preserve">of each class. These conclusions are of broad significance to research where</w:t>
      </w:r>
      <w:r>
        <w:t xml:space="preserve"> </w:t>
      </w:r>
      <w:r>
        <w:t xml:space="preserve">highly multiplexed measurements are compared to identify similarities and</w:t>
      </w:r>
      <w:r>
        <w:t xml:space="preserve"> </w:t>
      </w:r>
      <w:r>
        <w:t xml:space="preserve">differences in the genome-wide behavior of a single variable under multiple</w:t>
      </w:r>
      <w:r>
        <w:t xml:space="preserve"> </w:t>
      </w:r>
      <w:r>
        <w:t xml:space="preserve">conditions.</w:t>
      </w:r>
    </w:p>
    <w:p>
      <w:pPr>
        <w:pStyle w:val="BodyText"/>
      </w:pPr>
      <w:r>
        <w:t xml:space="preserve">We have shown that transcriptomes can be used to study allelic series in the</w:t>
      </w:r>
      <w:r>
        <w:t xml:space="preserve"> </w:t>
      </w:r>
      <w:r>
        <w:t xml:space="preserve">context of a large, pleiotropic gene. We identified separable phenotypic classes</w:t>
      </w:r>
      <w:r>
        <w:t xml:space="preserve"> </w:t>
      </w:r>
      <w:r>
        <w:t xml:space="preserve">that would otherwise be obscured by other methods, correlated</w:t>
      </w:r>
      <w:r>
        <w:t xml:space="preserve"> </w:t>
      </w:r>
      <w:r>
        <w:t xml:space="preserve">each class to a functional unit, and identified sequence requirements for each</w:t>
      </w:r>
      <w:r>
        <w:t xml:space="preserve"> </w:t>
      </w:r>
      <w:r>
        <w:t xml:space="preserve">unit. Given the importance of allelic series for characterizing genetic</w:t>
      </w:r>
      <w:r>
        <w:t xml:space="preserve"> </w:t>
      </w:r>
      <w:r>
        <w:t xml:space="preserve">pathways, we are optimistic that this method will be a useful addition to the</w:t>
      </w:r>
      <w:r>
        <w:t xml:space="preserve"> </w:t>
      </w:r>
      <w:r>
        <w:t xml:space="preserve">geneticists arsenal.</w:t>
      </w:r>
    </w:p>
    <w:p>
      <w:pPr>
        <w:pStyle w:val="Heading1"/>
      </w:pPr>
      <w:bookmarkStart w:id="27" w:name="sec:methods"/>
      <w:bookmarkEnd w:id="27"/>
      <w:r>
        <w:t xml:space="preserve">Methods</w:t>
      </w:r>
    </w:p>
    <w:p>
      <w:pPr>
        <w:pStyle w:val="FirstParagraph"/>
      </w:pPr>
      <w:r>
        <w:t xml:space="preserve">Methods, including statements of data availability and any associated</w:t>
      </w:r>
      <w:r>
        <w:t xml:space="preserve"> </w:t>
      </w:r>
      <w:r>
        <w:t xml:space="preserve">accession codes and references, are available in the online version of</w:t>
      </w:r>
      <w:r>
        <w:t xml:space="preserve"> </w:t>
      </w:r>
      <w:r>
        <w:t xml:space="preserve">the paper.</w:t>
      </w:r>
    </w:p>
    <w:p>
      <w:pPr>
        <w:pStyle w:val="Heading2"/>
      </w:pPr>
      <w:bookmarkStart w:id="28" w:name="strains-used"/>
      <w:bookmarkEnd w:id="28"/>
      <w:r>
        <w:t xml:space="preserve">Strains used</w:t>
      </w:r>
    </w:p>
    <w:p>
      <w:pPr>
        <w:pStyle w:val="FirstParagraph"/>
      </w:pPr>
      <w:r>
        <w:t xml:space="preserve">Strains used were N2 wild-type (Bristol),</w:t>
      </w:r>
      <w:r>
        <w:t xml:space="preserve"> </w:t>
      </w:r>
      <w:r>
        <w:t xml:space="preserve">PS4087</w:t>
      </w:r>
      <w:r>
        <w:t xml:space="preserve"> </w:t>
      </w:r>
      <w:r>
        <w:rPr>
          <w:i/>
        </w:rPr>
        <w:t xml:space="preserve">dpy-22(sy622)</w:t>
      </w:r>
      <w:r>
        <w:t xml:space="preserve">,</w:t>
      </w:r>
      <w:r>
        <w:t xml:space="preserve"> </w:t>
      </w:r>
      <w:r>
        <w:t xml:space="preserve">PS4187</w:t>
      </w:r>
      <w:r>
        <w:t xml:space="preserve"> </w:t>
      </w:r>
      <w:r>
        <w:rPr>
          <w:i/>
        </w:rPr>
        <w:t xml:space="preserve">dpy-22(bx93)</w:t>
      </w:r>
      <w:r>
        <w:t xml:space="preserve">,</w:t>
      </w:r>
      <w:r>
        <w:t xml:space="preserve"> </w:t>
      </w:r>
      <w:r>
        <w:t xml:space="preserve">and PS4176</w:t>
      </w:r>
      <w:r>
        <w:br w:type="textWrapping"/>
      </w:r>
      <w:r>
        <w:rPr>
          <w:i/>
        </w:rPr>
        <w:t xml:space="preserve">dpy-6(e14) dpy-22(bx93)/ + dpy-22(sy622)</w:t>
      </w:r>
      <w:r>
        <w:t xml:space="preserve">.</w:t>
      </w:r>
      <w:r>
        <w:t xml:space="preserve"> </w:t>
      </w:r>
      <w:r>
        <w:t xml:space="preserve">Lines were grown on standard nematode growth media (NGM) Petri plates seeded</w:t>
      </w:r>
      <w:r>
        <w:t xml:space="preserve"> </w:t>
      </w:r>
      <w:r>
        <w:t xml:space="preserve">with OP50</w:t>
      </w:r>
      <w:r>
        <w:t xml:space="preserve"> </w:t>
      </w:r>
      <w:r>
        <w:rPr>
          <w:i/>
        </w:rPr>
        <w:t xml:space="preserve">E. coli</w:t>
      </w:r>
      <w:r>
        <w:t xml:space="preserve"> </w:t>
      </w:r>
      <w:r>
        <w:t xml:space="preserve">at 20C </w:t>
      </w:r>
      <w:r>
        <w:rPr>
          <w:vertAlign w:val="superscript"/>
        </w:rPr>
        <w:t xml:space="preserve">23</w:t>
      </w:r>
      <w:r>
        <w:t xml:space="preserve">.</w:t>
      </w:r>
    </w:p>
    <w:p>
      <w:pPr>
        <w:pStyle w:val="Heading2"/>
      </w:pPr>
      <w:bookmarkStart w:id="29" w:name="strain-synchronization-harvesting-and-rna-sequencing"/>
      <w:bookmarkEnd w:id="29"/>
      <w:r>
        <w:t xml:space="preserve">Strain synchronization, harvesting and RNA sequencing</w:t>
      </w:r>
    </w:p>
    <w:p>
      <w:pPr>
        <w:pStyle w:val="FirstParagraph"/>
      </w:pPr>
      <w:r>
        <w:t xml:space="preserve">Strains were synchronized by bleaching P</w:t>
      </w:r>
      <m:oMath>
        <m:sSub>
          <m:e>
            <m:r>
              <m:t/>
            </m:r>
          </m:e>
          <m:sub>
            <m:r>
              <m:t>0</m:t>
            </m:r>
          </m:sub>
        </m:sSub>
      </m:oMath>
      <w:r>
        <w:t xml:space="preserve">’s into virgin S. basal (no</w:t>
      </w:r>
      <w:r>
        <w:t xml:space="preserve"> </w:t>
      </w:r>
      <w:r>
        <w:t xml:space="preserve">cholesterol or ethanol added) for 8–12 hours. Arrested L1 larvae were placed in</w:t>
      </w:r>
      <w:r>
        <w:t xml:space="preserve"> </w:t>
      </w:r>
      <w:r>
        <w:t xml:space="preserve">NGM plates seeded with OP50 at 20C and grown to the young adult stage</w:t>
      </w:r>
      <w:r>
        <w:t xml:space="preserve"> </w:t>
      </w:r>
      <w:r>
        <w:t xml:space="preserve">(assessed by vulval morphology and lack of embryos). RNA extraction was</w:t>
      </w:r>
      <w:r>
        <w:t xml:space="preserve"> </w:t>
      </w:r>
      <w:r>
        <w:t xml:space="preserve">performed as described in </w:t>
      </w:r>
      <w:r>
        <w:rPr>
          <w:vertAlign w:val="superscript"/>
        </w:rPr>
        <w:t xml:space="preserve">10</w:t>
      </w:r>
      <w:r>
        <w:t xml:space="preserve"> </w:t>
      </w:r>
      <w:r>
        <w:t xml:space="preserve">and sequenced using a</w:t>
      </w:r>
      <w:r>
        <w:t xml:space="preserve"> </w:t>
      </w:r>
      <w:r>
        <w:t xml:space="preserve">previously described protocol </w:t>
      </w:r>
      <w:r>
        <w:rPr>
          <w:vertAlign w:val="superscript"/>
        </w:rPr>
        <w:t xml:space="preserve">7</w:t>
      </w:r>
      <w:r>
        <w:t xml:space="preserve">.</w:t>
      </w:r>
    </w:p>
    <w:p>
      <w:pPr>
        <w:pStyle w:val="Heading2"/>
      </w:pPr>
      <w:bookmarkStart w:id="30" w:name="read-pseudo-alignment-and-differential-expression"/>
      <w:bookmarkEnd w:id="30"/>
      <w:r>
        <w:t xml:space="preserve">Read pseudo-alignment and differential expression</w:t>
      </w:r>
    </w:p>
    <w:p>
      <w:pPr>
        <w:pStyle w:val="FirstParagraph"/>
      </w:pPr>
      <w:r>
        <w:t xml:space="preserve">Reads were pseudo-aligned to the</w:t>
      </w:r>
      <w:r>
        <w:t xml:space="preserve"> </w:t>
      </w:r>
      <w:r>
        <w:rPr>
          <w:i/>
        </w:rPr>
        <w:t xml:space="preserve">C. elegans</w:t>
      </w:r>
      <w:r>
        <w:t xml:space="preserve"> </w:t>
      </w:r>
      <w:r>
        <w:t xml:space="preserve">genome (WBcel235) using</w:t>
      </w:r>
      <w:r>
        <w:t xml:space="preserve"> </w:t>
      </w:r>
      <w:r>
        <w:t xml:space="preserve">Kallisto </w:t>
      </w:r>
      <w:r>
        <w:rPr>
          <w:vertAlign w:val="superscript"/>
        </w:rPr>
        <w:t xml:space="preserve">19</w:t>
      </w:r>
      <w:r>
        <w:t xml:space="preserve">, using 200 bootstraps and with the sequence bias</w:t>
      </w:r>
      <w:r>
        <w:t xml:space="preserve"> </w:t>
      </w:r>
      <w:r>
        <w:t xml:space="preserve">(</w:t>
      </w:r>
      <w:r>
        <w:rPr>
          <w:rStyle w:val="VerbatimChar"/>
        </w:rPr>
        <w:t xml:space="preserve">–seqBias</w:t>
      </w:r>
      <w:r>
        <w:t xml:space="preserve">) flag. The fragment size for all libraries was set to 200</w:t>
      </w:r>
      <w:r>
        <w:t xml:space="preserve"> </w:t>
      </w:r>
      <w:r>
        <w:t xml:space="preserve">and the standard deviation to 40. Quality control was performed on a subset of</w:t>
      </w:r>
      <w:r>
        <w:t xml:space="preserve"> </w:t>
      </w:r>
      <w:r>
        <w:t xml:space="preserve">the reads using FastQC, RNAseQC, BowTie and</w:t>
      </w:r>
      <w:r>
        <w:t xml:space="preserve"> </w:t>
      </w:r>
      <w:r>
        <w:t xml:space="preserve">MultiQC </w:t>
      </w:r>
      <w:r>
        <w:rPr>
          <w:vertAlign w:val="superscript"/>
        </w:rPr>
        <w:t xml:space="preserve">24–27</w:t>
      </w:r>
      <w:r>
        <w:t xml:space="preserve">. All libraries had</w:t>
      </w:r>
      <w:r>
        <w:t xml:space="preserve"> </w:t>
      </w:r>
      <w:r>
        <w:t xml:space="preserve">good quality scores.</w:t>
      </w:r>
    </w:p>
    <w:p>
      <w:pPr>
        <w:pStyle w:val="BodyText"/>
      </w:pPr>
      <w:r>
        <w:t xml:space="preserve">Differential expression analysis was performed using</w:t>
      </w:r>
      <w:r>
        <w:t xml:space="preserve"> </w:t>
      </w:r>
      <w:r>
        <w:t xml:space="preserve">Sleuth </w:t>
      </w:r>
      <w:r>
        <w:rPr>
          <w:vertAlign w:val="superscript"/>
        </w:rPr>
        <w:t xml:space="preserve">20</w:t>
      </w:r>
      <w:r>
        <w:t xml:space="preserve">. We used a general linear model to identify genes</w:t>
      </w:r>
      <w:r>
        <w:t xml:space="preserve"> </w:t>
      </w:r>
      <w:r>
        <w:t xml:space="preserve">that were differentially expressed between wild-type and mutant libraries. To</w:t>
      </w:r>
      <w:r>
        <w:t xml:space="preserve"> </w:t>
      </w:r>
      <w:r>
        <w:t xml:space="preserve">increase our statistical power, we pooled young adult wild-type replicates from</w:t>
      </w:r>
      <w:r>
        <w:t xml:space="preserve"> </w:t>
      </w:r>
      <w:r>
        <w:t xml:space="preserve">other published </w:t>
      </w:r>
      <w:r>
        <w:rPr>
          <w:vertAlign w:val="superscript"/>
        </w:rPr>
        <w:t xml:space="preserve">7,10</w:t>
      </w:r>
      <w:r>
        <w:t xml:space="preserve"> </w:t>
      </w:r>
      <w:r>
        <w:t xml:space="preserve">and unpublished</w:t>
      </w:r>
      <w:r>
        <w:t xml:space="preserve"> </w:t>
      </w:r>
      <w:r>
        <w:t xml:space="preserve">analysis adjusting for batch effects.</w:t>
      </w:r>
    </w:p>
    <w:p>
      <w:pPr>
        <w:pStyle w:val="Heading2"/>
      </w:pPr>
      <w:bookmarkStart w:id="31" w:name="false-hit-analysis"/>
      <w:bookmarkEnd w:id="31"/>
      <w:r>
        <w:t xml:space="preserve">False hit analysis</w:t>
      </w:r>
    </w:p>
    <w:p>
      <w:pPr>
        <w:pStyle w:val="FirstParagraph"/>
      </w:pPr>
      <w:r>
        <w:t xml:space="preserve">To accurately count phenotypes, we developed a false hit algorithm (see</w:t>
      </w:r>
      <w:r>
        <w:t xml:space="preserve"> </w:t>
      </w:r>
      <w:r>
        <w:t xml:space="preserve">Algorithm [alg:false]). We implemented this algorithm for three-way</w:t>
      </w:r>
      <w:r>
        <w:t xml:space="preserve"> </w:t>
      </w:r>
      <w:r>
        <w:t xml:space="preserve">comparisons in Python. Although experimentally restricted, a three-way</w:t>
      </w:r>
      <w:r>
        <w:t xml:space="preserve"> </w:t>
      </w:r>
      <w:r>
        <w:t xml:space="preserve">comparison can result in</w:t>
      </w:r>
      <w:r>
        <w:t xml:space="preserve"> </w:t>
      </w:r>
      <m:oMath>
        <m:r>
          <m:t>&gt;</m:t>
        </m:r>
        <m:r>
          <m:t>5</m:t>
        </m:r>
        <m:r>
          <m:t>,</m:t>
        </m:r>
        <m:r>
          <m:t>000</m:t>
        </m:r>
      </m:oMath>
      <w:r>
        <w:t xml:space="preserve"> </w:t>
      </w:r>
      <w:r>
        <w:t xml:space="preserve">possible sets (ignoring</w:t>
      </w:r>
      <w:r>
        <w:t xml:space="preserve"> </w:t>
      </w:r>
      <w:r>
        <w:t xml:space="preserve">size). This large number of models necessitates an algorithmic approach that can</w:t>
      </w:r>
      <w:r>
        <w:t xml:space="preserve"> </w:t>
      </w:r>
      <w:r>
        <w:t xml:space="preserve">at least restrict the possible number of models. Our algorithm uses a noise</w:t>
      </w:r>
      <w:r>
        <w:t xml:space="preserve"> </w:t>
      </w:r>
      <w:r>
        <w:t xml:space="preserve">function that assumes single error events are dominant, and errors resulting</w:t>
      </w:r>
      <w:r>
        <w:t xml:space="preserve"> </w:t>
      </w:r>
      <w:r>
        <w:t xml:space="preserve">from multiple false positive and false negative events in different genotypes</w:t>
      </w:r>
      <w:r>
        <w:t xml:space="preserve"> </w:t>
      </w:r>
      <w:r>
        <w:t xml:space="preserve">are negligible to determine the average noise flux between phenotypic classes,</w:t>
      </w:r>
      <w:r>
        <w:t xml:space="preserve"> </w:t>
      </w:r>
      <w:r>
        <w:t xml:space="preserve">given false positive and false negative rates.</w:t>
      </w:r>
    </w:p>
    <w:p>
      <w:pPr>
        <w:pStyle w:val="BodyText"/>
      </w:pPr>
      <w:r>
        <w:t xml:space="preserve">To benchmark our algorithm, we generated one thousand Venn diagrams at random.</w:t>
      </w:r>
      <w:r>
        <w:t xml:space="preserve"> </w:t>
      </w:r>
      <w:r>
        <w:t xml:space="preserve">For each Venn diagram, we calculated the average false positive and false</w:t>
      </w:r>
      <w:r>
        <w:t xml:space="preserve"> </w:t>
      </w:r>
      <w:r>
        <w:t xml:space="preserve">negative flux matrices. Then, we added noise to each phenotypic class in the</w:t>
      </w:r>
      <w:r>
        <w:t xml:space="preserve"> </w:t>
      </w:r>
      <w:r>
        <w:t xml:space="preserve">Venn diagram, assuming that fluxes were normally distributed with mean and</w:t>
      </w:r>
      <w:r>
        <w:t xml:space="preserve"> </w:t>
      </w:r>
      <w:r>
        <w:t xml:space="preserve">standard deviation equal to the flux coefficient calculated. We input the noised</w:t>
      </w:r>
      <w:r>
        <w:t xml:space="preserve"> </w:t>
      </w:r>
      <w:r>
        <w:t xml:space="preserve">Venn diagram into our false hit analysis and collected classification</w:t>
      </w:r>
      <w:r>
        <w:t xml:space="preserve"> </w:t>
      </w:r>
      <w:r>
        <w:t xml:space="preserve">statistics. For a given signal-to-noise cutoff,</w:t>
      </w:r>
      <w:r>
        <w:t xml:space="preserve"> </w:t>
      </w:r>
      <m:oMath>
        <m:r>
          <m:t>λ</m:t>
        </m:r>
      </m:oMath>
      <w:r>
        <w:t xml:space="preserve">, classification</w:t>
      </w:r>
      <w:r>
        <w:t xml:space="preserve"> </w:t>
      </w:r>
      <w:r>
        <w:t xml:space="preserve">accuracy varied significantly with changes in the total error rate. In the</w:t>
      </w:r>
      <w:r>
        <w:t xml:space="preserve"> </w:t>
      </w:r>
      <w:r>
        <w:t xml:space="preserve">absence of false negative hits, false hit analysis can accurately identify</w:t>
      </w:r>
      <w:r>
        <w:t xml:space="preserve"> </w:t>
      </w:r>
      <w:r>
        <w:t xml:space="preserve">non-empty genotype-associated phenotypic classes, but identifying</w:t>
      </w:r>
      <w:r>
        <w:t xml:space="preserve"> </w:t>
      </w:r>
      <w:r>
        <w:t xml:space="preserve">genotype-specific classes becomes difficult if the experimental false positive</w:t>
      </w:r>
      <w:r>
        <w:t xml:space="preserve"> </w:t>
      </w:r>
      <w:r>
        <w:t xml:space="preserve">rate is high. On the other hand, even moderate false negative rates (</w:t>
      </w:r>
      <m:oMath>
        <m:r>
          <m:t> </m:t>
        </m:r>
        <m:r>
          <m:t>10</m:t>
        </m:r>
        <m:r>
          <m:t>%</m:t>
        </m:r>
      </m:oMath>
      <w:r>
        <w:t xml:space="preserve">)</w:t>
      </w:r>
      <w:r>
        <w:t xml:space="preserve"> </w:t>
      </w:r>
      <w:r>
        <w:t xml:space="preserve">rapidly degrade signal from genotype-associated classes. For classes that are</w:t>
      </w:r>
      <w:r>
        <w:t xml:space="preserve"> </w:t>
      </w:r>
      <w:r>
        <w:t xml:space="preserve">associated with three genotypes, an experimental false negative rate of 30% is</w:t>
      </w:r>
      <w:r>
        <w:t xml:space="preserve"> </w:t>
      </w:r>
      <w:r>
        <w:t xml:space="preserve">enough on average to prevents this class from being observed.</w:t>
      </w:r>
    </w:p>
    <w:p>
      <w:pPr>
        <w:pStyle w:val="BodyText"/>
      </w:pPr>
      <w:r>
        <w:t xml:space="preserve">We selected</w:t>
      </w:r>
      <w:r>
        <w:t xml:space="preserve"> </w:t>
      </w:r>
      <m:oMath>
        <m:r>
          <m:t>λ</m:t>
        </m:r>
        <m:r>
          <m:t>=</m:t>
        </m:r>
        <m:r>
          <m:t>3</m:t>
        </m:r>
      </m:oMath>
      <w:r>
        <w:t xml:space="preserve"> </w:t>
      </w:r>
      <w:r>
        <w:t xml:space="preserve">because classification using this threshold was high</w:t>
      </w:r>
      <w:r>
        <w:t xml:space="preserve"> </w:t>
      </w:r>
      <w:r>
        <w:t xml:space="preserve">across a range of false positive and false negative combinations. A challenge to</w:t>
      </w:r>
      <w:r>
        <w:t xml:space="preserve"> </w:t>
      </w:r>
      <w:r>
        <w:t xml:space="preserve">applying this algorithm to our data is the fact that the false negative rate for</w:t>
      </w:r>
      <w:r>
        <w:t xml:space="preserve"> </w:t>
      </w:r>
      <w:r>
        <w:t xml:space="preserve">our experiment is unknown. Although there has been significant progress in</w:t>
      </w:r>
      <w:r>
        <w:t xml:space="preserve"> </w:t>
      </w:r>
      <w:r>
        <w:t xml:space="preserve">controlling and estimating false positive rates, we know of no such attempts for</w:t>
      </w:r>
      <w:r>
        <w:t xml:space="preserve"> </w:t>
      </w:r>
      <w:r>
        <w:t xml:space="preserve">false negative rates. It is unlikely that the false negative rate for our study</w:t>
      </w:r>
      <w:r>
        <w:t xml:space="preserve"> </w:t>
      </w:r>
      <w:r>
        <w:t xml:space="preserve">is lower than the false positive rate, because all genotypes except the controls</w:t>
      </w:r>
      <w:r>
        <w:t xml:space="preserve"> </w:t>
      </w:r>
      <w:r>
        <w:t xml:space="preserve">are likely underpowered. We used false negative rates between 10–20% for false</w:t>
      </w:r>
      <w:r>
        <w:t xml:space="preserve"> </w:t>
      </w:r>
      <w:r>
        <w:t xml:space="preserve">hit analysis. When the false negative rate was set at 15% or higher, the</w:t>
      </w:r>
      <w:r>
        <w:t xml:space="preserve"> </w:t>
      </w:r>
      <w:r>
        <w:t xml:space="preserve">algorithm converged on the same five classes shown above. For false negative</w:t>
      </w:r>
      <w:r>
        <w:t xml:space="preserve"> </w:t>
      </w:r>
      <w:r>
        <w:t xml:space="preserve">rates between 10–15%, the algorithm output the same five classes, but also</w:t>
      </w:r>
      <w:r>
        <w:t xml:space="preserve"> </w:t>
      </w:r>
      <w:r>
        <w:t xml:space="preserve">accepted the (</w:t>
      </w:r>
      <w:r>
        <w:rPr>
          <w:i/>
        </w:rPr>
        <w:t xml:space="preserve">dpy-22(sy622)</w:t>
      </w:r>
      <w:r>
        <w:t xml:space="preserve">,</w:t>
      </w:r>
      <w:r>
        <w:rPr>
          <w:i/>
        </w:rPr>
        <w:t xml:space="preserve">dpy-22(bx93)</w:t>
      </w:r>
      <w:r>
        <w:t xml:space="preserve">)-associated class. We selected the model corresponding</w:t>
      </w:r>
      <w:r>
        <w:t xml:space="preserve"> </w:t>
      </w:r>
      <w:r>
        <w:t xml:space="preserve">to false negative rates of 15–20% because this model had lower</w:t>
      </w:r>
      <w:r>
        <w:t xml:space="preserve"> </w:t>
      </w:r>
      <m:oMath>
        <m:sSup>
          <m:e>
            <m:r>
              <m:t>χ</m:t>
            </m:r>
          </m:e>
          <m:sup>
            <m:r>
              <m:t>2</m:t>
            </m:r>
          </m:sup>
        </m:sSup>
      </m:oMath>
      <w:r>
        <w:t xml:space="preserve"> </w:t>
      </w:r>
      <w:r>
        <w:t xml:space="preserve">values</w:t>
      </w:r>
      <w:r>
        <w:t xml:space="preserve"> </w:t>
      </w:r>
      <w:r>
        <w:t xml:space="preserve">than the model selected with a false negative rate of 10–15% (4,212 versus</w:t>
      </w:r>
      <w:r>
        <w:t xml:space="preserve"> </w:t>
      </w:r>
      <w:r>
        <w:t xml:space="preserve">100,650).</w:t>
      </w:r>
    </w:p>
    <w:p>
      <w:pPr>
        <w:pStyle w:val="BodyText"/>
      </w:pPr>
      <w:r>
        <w:t xml:space="preserve">We asked whether re-classification of some classes into others could improve</w:t>
      </w:r>
      <w:r>
        <w:t xml:space="preserve"> </w:t>
      </w:r>
      <w:r>
        <w:t xml:space="preserve">model fit. We manually re-classified the (</w:t>
      </w:r>
      <w:r>
        <w:rPr>
          <w:i/>
        </w:rPr>
        <w:t xml:space="preserve">dpy-22(sy622)</w:t>
      </w:r>
      <w:r>
        <w:t xml:space="preserve">,</w:t>
      </w:r>
      <w:r>
        <w:rPr>
          <w:i/>
        </w:rPr>
        <w:t xml:space="preserve">dpy-22(bx93)</w:t>
      </w:r>
      <w:r>
        <w:t xml:space="preserve">)-associated and the (</w:t>
      </w:r>
      <w:r>
        <w:rPr>
          <w:i/>
        </w:rPr>
        <w:t xml:space="preserve">dpy-22(bx93)</w:t>
      </w:r>
      <w:r>
        <w:t xml:space="preserve">,</w:t>
      </w:r>
      <w:r>
        <w:t xml:space="preserve"> </w:t>
      </w:r>
      <w:r>
        <w:rPr>
          <w:i/>
        </w:rPr>
        <w:t xml:space="preserve">trans-heterozygote</w:t>
      </w:r>
      <w:r>
        <w:t xml:space="preserve">)-associated classes into the</w:t>
      </w:r>
      <w:r>
        <w:t xml:space="preserve"> </w:t>
      </w:r>
      <w:r>
        <w:rPr>
          <w:i/>
        </w:rPr>
        <w:t xml:space="preserve">bx93</w:t>
      </w:r>
      <w:r>
        <w:t xml:space="preserve">-associated</w:t>
      </w:r>
      <w:r>
        <w:t xml:space="preserve"> </w:t>
      </w:r>
      <w:r>
        <w:t xml:space="preserve">class (which is associated with all genotypes), and we compared</w:t>
      </w:r>
      <w:r>
        <w:t xml:space="preserve"> </w:t>
      </w:r>
      <m:oMath>
        <m:sSup>
          <m:e>
            <m:r>
              <m:t>χ</m:t>
            </m:r>
          </m:e>
          <m:sup>
            <m:r>
              <m:t>2</m:t>
            </m:r>
          </m:sup>
        </m:sSup>
      </m:oMath>
      <w:r>
        <w:t xml:space="preserve"> </w:t>
      </w:r>
      <w:r>
        <w:t xml:space="preserve">statistics between a re-classified reduced model and a reduced model. The</w:t>
      </w:r>
      <w:r>
        <w:t xml:space="preserve"> </w:t>
      </w:r>
      <w:r>
        <w:t xml:space="preserve">re-classified model had a lower</w:t>
      </w:r>
      <w:r>
        <w:t xml:space="preserve"> </w:t>
      </w:r>
      <m:oMath>
        <m:sSup>
          <m:e>
            <m:r>
              <m:t>χ</m:t>
            </m:r>
          </m:e>
          <m:sup>
            <m:r>
              <m:t>2</m:t>
            </m:r>
          </m:sup>
        </m:sSup>
      </m:oMath>
      <w:r>
        <w:t xml:space="preserve"> </w:t>
      </w:r>
      <w:r>
        <w:t xml:space="preserve">(181). Thus, we concluded that the</w:t>
      </w:r>
      <w:r>
        <w:t xml:space="preserve"> </w:t>
      </w:r>
      <w:r>
        <w:t xml:space="preserve">re-classified reduced model is the most likely model to give rise to our data.</w:t>
      </w:r>
    </w:p>
    <w:p>
      <w:pPr>
        <w:pStyle w:val="BodyText"/>
      </w:pPr>
      <w:r>
        <w:t xml:space="preserve">[alg:false]</w:t>
      </w:r>
    </w:p>
    <w:p>
      <w:pPr>
        <w:pStyle w:val="BodyText"/>
      </w:pPr>
      <w:r>
        <w:rPr>
          <w:i/>
        </w:rPr>
        <w:t xml:space="preserve">Return the reduced model</w:t>
      </w:r>
      <w:r>
        <w:t xml:space="preserve"> </w:t>
      </w:r>
      <m:oMath>
        <m:sSub>
          <m:e>
            <m:r>
              <m:rPr>
                <m:sty m:val="b"/>
              </m:rPr>
              <m:t>M</m:t>
            </m:r>
          </m:e>
          <m:sub>
            <m:r>
              <m:t>r</m:t>
            </m:r>
            <m:r>
              <m:t>e</m:t>
            </m:r>
            <m:r>
              <m:t>d</m:t>
            </m:r>
            <m:r>
              <m:t>u</m:t>
            </m:r>
            <m:r>
              <m:t>c</m:t>
            </m:r>
            <m:r>
              <m:t>e</m:t>
            </m:r>
            <m:r>
              <m:t>d</m:t>
            </m:r>
          </m:sub>
        </m:sSub>
        <m:r>
          <m:t>=</m:t>
        </m:r>
        <m:r>
          <m:rPr>
            <m:sty m:val="b"/>
          </m:rPr>
          <m:t>K</m:t>
        </m:r>
      </m:oMath>
    </w:p>
    <w:p>
      <w:pPr>
        <w:pStyle w:val="Heading2"/>
      </w:pPr>
      <w:bookmarkStart w:id="32" w:name="subsec:dominance"/>
      <w:bookmarkEnd w:id="32"/>
      <w:r>
        <w:t xml:space="preserve">Dominance analysis</w:t>
      </w:r>
    </w:p>
    <w:p>
      <w:pPr>
        <w:pStyle w:val="FirstParagraph"/>
      </w:pPr>
      <w:r>
        <w:t xml:space="preserve">We modeled allelic dominance as a weighted average of allelic activity:</w:t>
      </w:r>
    </w:p>
    <w:p>
      <w:pPr>
        <w:pStyle w:val="BodyText"/>
      </w:pPr>
      <m:oMathPara>
        <m:oMathParaPr>
          <m:jc m:val="center"/>
        </m:oMathParaPr>
        <m:oMath>
          <m:sSub>
            <m:e>
              <m:r>
                <m:t>β</m:t>
              </m:r>
            </m:e>
            <m:sub>
              <m:r>
                <m:t>a</m:t>
              </m:r>
              <m:r>
                <m:t>/</m:t>
              </m:r>
              <m:r>
                <m:t>b</m:t>
              </m:r>
              <m:r>
                <m:t>,</m:t>
              </m:r>
              <m:r>
                <m:t>i</m:t>
              </m:r>
              <m:r>
                <m:t>,</m:t>
              </m:r>
              <m:r>
                <m:rPr>
                  <m:sty m:val="p"/>
                </m:rPr>
                <m:t>Pred</m:t>
              </m:r>
            </m:sub>
          </m:sSub>
          <m:r>
            <m:t>(</m:t>
          </m:r>
          <m:sSub>
            <m:e>
              <m:r>
                <m:t>d</m:t>
              </m:r>
            </m:e>
            <m:sub>
              <m:r>
                <m:t>a</m:t>
              </m:r>
            </m:sub>
          </m:sSub>
          <m:r>
            <m:t>)</m:t>
          </m:r>
          <m:r>
            <m:t>=</m:t>
          </m:r>
          <m:sSub>
            <m:e>
              <m:r>
                <m:t>d</m:t>
              </m:r>
            </m:e>
            <m:sub>
              <m:r>
                <m:t>a</m:t>
              </m:r>
            </m:sub>
          </m:sSub>
          <m:r>
            <m:t>⋅</m:t>
          </m:r>
          <m:sSub>
            <m:e>
              <m:r>
                <m:t>β</m:t>
              </m:r>
            </m:e>
            <m:sub>
              <m:r>
                <m:t>a</m:t>
              </m:r>
              <m:r>
                <m:t>/</m:t>
              </m:r>
              <m:r>
                <m:t>a</m:t>
              </m:r>
              <m:r>
                <m:t>,</m:t>
              </m:r>
              <m:r>
                <m:t>i</m:t>
              </m:r>
            </m:sub>
          </m:sSub>
          <m:r>
            <m:t>+</m:t>
          </m:r>
          <m:r>
            <m:t>(</m:t>
          </m:r>
          <m:r>
            <m:t>1</m:t>
          </m:r>
          <m:r>
            <m:t>−</m:t>
          </m:r>
          <m:sSub>
            <m:e>
              <m:r>
                <m:t>d</m:t>
              </m:r>
            </m:e>
            <m:sub>
              <m:r>
                <m:t>a</m:t>
              </m:r>
            </m:sub>
          </m:sSub>
          <m:r>
            <m:t>)</m:t>
          </m:r>
          <m:r>
            <m:t>⋅</m:t>
          </m:r>
          <m:sSub>
            <m:e>
              <m:r>
                <m:t>β</m:t>
              </m:r>
            </m:e>
            <m:sub>
              <m:r>
                <m:t>b</m:t>
              </m:r>
              <m:r>
                <m:t>/</m:t>
              </m:r>
              <m:r>
                <m:t>b</m:t>
              </m:r>
              <m:r>
                <m:t>,</m:t>
              </m:r>
              <m:r>
                <m:t>i</m:t>
              </m:r>
            </m:sub>
          </m:sSub>
          <m:r>
            <m:t>,</m:t>
          </m:r>
        </m:oMath>
      </m:oMathPara>
    </w:p>
    <w:p>
      <w:pPr>
        <w:pStyle w:val="FirstParagraph"/>
      </w:pPr>
      <w:r>
        <w:t xml:space="preserve">where</w:t>
      </w:r>
      <w:r>
        <w:t xml:space="preserve"> </w:t>
      </w:r>
      <m:oMath>
        <m:sSub>
          <m:e>
            <m:r>
              <m:t>β</m:t>
            </m:r>
          </m:e>
          <m:sub>
            <m:r>
              <m:t>k</m:t>
            </m:r>
            <m:r>
              <m:t>/</m:t>
            </m:r>
            <m:r>
              <m:t>k</m:t>
            </m:r>
            <m:r>
              <m:t>,</m:t>
            </m:r>
            <m:r>
              <m:t>i</m:t>
            </m:r>
          </m:sub>
        </m:sSub>
      </m:oMath>
      <w:r>
        <w:t xml:space="preserve"> </w:t>
      </w:r>
      <w:r>
        <w:t xml:space="preserve">refers to the</w:t>
      </w:r>
      <w:r>
        <w:t xml:space="preserve"> </w:t>
      </w:r>
      <m:oMath>
        <m:r>
          <m:t>β</m:t>
        </m:r>
      </m:oMath>
      <w:r>
        <w:t xml:space="preserve"> </w:t>
      </w:r>
      <w:r>
        <w:t xml:space="preserve">value of the</w:t>
      </w:r>
      <w:r>
        <w:t xml:space="preserve"> </w:t>
      </w:r>
      <m:oMath>
        <m:r>
          <m:t>i</m:t>
        </m:r>
      </m:oMath>
      <w:r>
        <w:t xml:space="preserve">th isoform in a</w:t>
      </w:r>
      <w:r>
        <w:t xml:space="preserve"> </w:t>
      </w:r>
      <w:r>
        <w:t xml:space="preserve">genotype</w:t>
      </w:r>
      <w:r>
        <w:t xml:space="preserve"> </w:t>
      </w:r>
      <m:oMath>
        <m:r>
          <m:t>k</m:t>
        </m:r>
        <m:r>
          <m:t>/</m:t>
        </m:r>
        <m:r>
          <m:t>k</m:t>
        </m:r>
      </m:oMath>
      <w:r>
        <w:t xml:space="preserve">, and</w:t>
      </w:r>
      <w:r>
        <w:t xml:space="preserve"> </w:t>
      </w:r>
      <m:oMath>
        <m:sSub>
          <m:e>
            <m:r>
              <m:t>d</m:t>
            </m:r>
          </m:e>
          <m:sub>
            <m:r>
              <m:t>a</m:t>
            </m:r>
          </m:sub>
        </m:sSub>
      </m:oMath>
      <w:r>
        <w:t xml:space="preserve"> </w:t>
      </w:r>
      <w:r>
        <w:t xml:space="preserve">is the dominance coefficient for allele</w:t>
      </w:r>
      <w:r>
        <w:t xml:space="preserve"> </w:t>
      </w:r>
      <m:oMath>
        <m:r>
          <m:t>a</m:t>
        </m:r>
      </m:oMath>
      <w:r>
        <w:t xml:space="preserve">.</w:t>
      </w:r>
    </w:p>
    <w:p>
      <w:pPr>
        <w:pStyle w:val="BodyText"/>
      </w:pPr>
      <w:r>
        <w:t xml:space="preserve">To find the parameters</w:t>
      </w:r>
      <w:r>
        <w:t xml:space="preserve"> </w:t>
      </w:r>
      <m:oMath>
        <m:sSub>
          <m:e>
            <m:r>
              <m:t>d</m:t>
            </m:r>
          </m:e>
          <m:sub>
            <m:r>
              <m:t>a</m:t>
            </m:r>
          </m:sub>
        </m:sSub>
      </m:oMath>
      <w:r>
        <w:t xml:space="preserve"> </w:t>
      </w:r>
      <w:r>
        <w:t xml:space="preserve">that maximized the probability of observing the</w:t>
      </w:r>
      <w:r>
        <w:t xml:space="preserve"> </w:t>
      </w:r>
      <w:r>
        <w:t xml:space="preserve">data, we found the parameter,</w:t>
      </w:r>
      <w:r>
        <w:t xml:space="preserve"> </w:t>
      </w:r>
      <m:oMath>
        <m:sSub>
          <m:e>
            <m:r>
              <m:t>d</m:t>
            </m:r>
          </m:e>
          <m:sub>
            <m:r>
              <m:t>a</m:t>
            </m:r>
          </m:sub>
        </m:sSub>
      </m:oMath>
      <w:r>
        <w:t xml:space="preserve">, that maximized the equation:</w:t>
      </w:r>
    </w:p>
    <w:p>
      <w:pPr>
        <w:pStyle w:val="BodyText"/>
      </w:pPr>
      <m:oMathPara>
        <m:oMathParaPr>
          <m:jc m:val="center"/>
        </m:oMathParaPr>
        <m:oMath>
          <m:r>
            <m:t>P</m:t>
          </m:r>
          <m:r>
            <m:t>(</m:t>
          </m:r>
          <m:sSub>
            <m:e>
              <m:r>
                <m:t>d</m:t>
              </m:r>
            </m:e>
            <m:sub>
              <m:r>
                <m:t>a</m:t>
              </m:r>
            </m:sub>
          </m:sSub>
          <m:r>
            <m:t>|</m:t>
          </m:r>
          <m:r>
            <m:t>D</m:t>
          </m:r>
          <m:r>
            <m:t>,</m:t>
          </m:r>
          <m:r>
            <m:t>H</m:t>
          </m:r>
          <m:r>
            <m:t>,</m:t>
          </m:r>
          <m:r>
            <m:t>I</m:t>
          </m:r>
          <m:r>
            <m:t>)</m:t>
          </m:r>
          <m:r>
            <m:t>∝</m:t>
          </m:r>
          <m:nary>
            <m:naryPr>
              <m:chr m:val="∏"/>
              <m:limLoc m:val="undOvr"/>
              <m:subHide m:val="0"/>
              <m:supHide m:val="1"/>
            </m:naryPr>
            <m:sub>
              <m:r>
                <m:t>i</m:t>
              </m:r>
              <m:r>
                <m:t>∈</m:t>
              </m:r>
              <m:r>
                <m:t>S</m:t>
              </m:r>
            </m:sub>
            <m:sup/>
            <m:e>
              <m:r>
                <m:rPr>
                  <m:sty m:val="p"/>
                </m:rPr>
                <m:t>exp</m:t>
              </m:r>
            </m:e>
          </m:nary>
          <m:r>
            <m:t>−</m:t>
          </m:r>
          <m:f>
            <m:fPr>
              <m:type m:val="bar"/>
            </m:fPr>
            <m:num>
              <m:sSup>
                <m:e>
                  <m:r>
                    <m:t>(</m:t>
                  </m:r>
                  <m:sSub>
                    <m:e>
                      <m:r>
                        <m:t>β</m:t>
                      </m:r>
                    </m:e>
                    <m:sub>
                      <m:r>
                        <m:t>a</m:t>
                      </m:r>
                      <m:r>
                        <m:t>/</m:t>
                      </m:r>
                      <m:r>
                        <m:t>b</m:t>
                      </m:r>
                      <m:r>
                        <m:t>,</m:t>
                      </m:r>
                      <m:r>
                        <m:t>i</m:t>
                      </m:r>
                      <m:r>
                        <m:t>,</m:t>
                      </m:r>
                      <m:r>
                        <m:rPr>
                          <m:sty m:val="p"/>
                        </m:rPr>
                        <m:t>Obs</m:t>
                      </m:r>
                    </m:sub>
                  </m:sSub>
                  <m:r>
                    <m:t>−</m:t>
                  </m:r>
                  <m:sSub>
                    <m:e>
                      <m:r>
                        <m:t>β</m:t>
                      </m:r>
                    </m:e>
                    <m:sub>
                      <m:r>
                        <m:t>a</m:t>
                      </m:r>
                      <m:r>
                        <m:t>/</m:t>
                      </m:r>
                      <m:r>
                        <m:t>b</m:t>
                      </m:r>
                      <m:r>
                        <m:t>,</m:t>
                      </m:r>
                      <m:r>
                        <m:t>i</m:t>
                      </m:r>
                      <m:r>
                        <m:t>,</m:t>
                      </m:r>
                      <m:r>
                        <m:rPr>
                          <m:sty m:val="p"/>
                        </m:rPr>
                        <m:t>Pred</m:t>
                      </m:r>
                    </m:sub>
                  </m:sSub>
                  <m:r>
                    <m:t>(</m:t>
                  </m:r>
                  <m:sSub>
                    <m:e>
                      <m:r>
                        <m:t>d</m:t>
                      </m:r>
                    </m:e>
                    <m:sub>
                      <m:r>
                        <m:t>a</m:t>
                      </m:r>
                    </m:sub>
                  </m:sSub>
                  <m:r>
                    <m:t>)</m:t>
                  </m:r>
                  <m:r>
                    <m:t>)</m:t>
                  </m:r>
                </m:e>
                <m:sup>
                  <m:r>
                    <m:t>2</m:t>
                  </m:r>
                </m:sup>
              </m:sSup>
            </m:num>
            <m:den>
              <m:r>
                <m:t>2</m:t>
              </m:r>
              <m:sSubSup>
                <m:e>
                  <m:r>
                    <m:t>σ</m:t>
                  </m:r>
                </m:e>
                <m:sub>
                  <m:r>
                    <m:t>i</m:t>
                  </m:r>
                </m:sub>
                <m:sup>
                  <m:r>
                    <m:t>2</m:t>
                  </m:r>
                </m:sup>
              </m:sSubSup>
            </m:den>
          </m:f>
        </m:oMath>
      </m:oMathPara>
    </w:p>
    <w:p>
      <w:pPr>
        <w:pStyle w:val="FirstParagraph"/>
      </w:pPr>
      <w:r>
        <w:t xml:space="preserve">where</w:t>
      </w:r>
      <w:r>
        <w:t xml:space="preserve"> </w:t>
      </w:r>
      <m:oMath>
        <m:sSub>
          <m:e>
            <m:r>
              <m:t>β</m:t>
            </m:r>
          </m:e>
          <m:sub>
            <m:r>
              <m:t>a</m:t>
            </m:r>
            <m:r>
              <m:t>/</m:t>
            </m:r>
            <m:r>
              <m:t>b</m:t>
            </m:r>
            <m:r>
              <m:t>,</m:t>
            </m:r>
            <m:r>
              <m:t>i</m:t>
            </m:r>
            <m:r>
              <m:t>,</m:t>
            </m:r>
            <m:r>
              <m:rPr>
                <m:sty m:val="p"/>
              </m:rPr>
              <m:t>Obs</m:t>
            </m:r>
          </m:sub>
        </m:sSub>
      </m:oMath>
      <w:r>
        <w:t xml:space="preserve"> </w:t>
      </w:r>
      <w:r>
        <w:t xml:space="preserve">was the coefficient associated with the</w:t>
      </w:r>
      <w:r>
        <w:t xml:space="preserve"> </w:t>
      </w:r>
      <m:oMath>
        <m:r>
          <m:t>i</m:t>
        </m:r>
      </m:oMath>
      <w:r>
        <w:t xml:space="preserve">th</w:t>
      </w:r>
      <w:r>
        <w:t xml:space="preserve"> </w:t>
      </w:r>
      <w:r>
        <w:t xml:space="preserve">isoform in the</w:t>
      </w:r>
      <w:r>
        <w:t xml:space="preserve"> </w:t>
      </w:r>
      <w:r>
        <w:rPr>
          <w:i/>
        </w:rPr>
        <w:t xml:space="preserve">trans</w:t>
      </w:r>
      <w:r>
        <w:t xml:space="preserve">-het</w:t>
      </w:r>
      <w:r>
        <w:t xml:space="preserve"> </w:t>
      </w:r>
      <m:oMath>
        <m:r>
          <m:t>a</m:t>
        </m:r>
        <m:r>
          <m:t>/</m:t>
        </m:r>
        <m:r>
          <m:t>b</m:t>
        </m:r>
      </m:oMath>
      <w:r>
        <w:t xml:space="preserve"> </w:t>
      </w:r>
      <w:r>
        <w:t xml:space="preserve">and</w:t>
      </w:r>
      <w:r>
        <w:t xml:space="preserve"> </w:t>
      </w:r>
      <m:oMath>
        <m:sSub>
          <m:e>
            <m:r>
              <m:t>σ</m:t>
            </m:r>
          </m:e>
          <m:sub>
            <m:r>
              <m:t>i</m:t>
            </m:r>
          </m:sub>
        </m:sSub>
      </m:oMath>
      <w:r>
        <w:t xml:space="preserve"> </w:t>
      </w:r>
      <w:r>
        <w:t xml:space="preserve">was the standard error of</w:t>
      </w:r>
      <w:r>
        <w:t xml:space="preserve"> </w:t>
      </w:r>
      <w:r>
        <w:t xml:space="preserve">the</w:t>
      </w:r>
      <w:r>
        <w:t xml:space="preserve"> </w:t>
      </w:r>
      <m:oMath>
        <m:r>
          <m:t>i</m:t>
        </m:r>
      </m:oMath>
      <w:r>
        <w:t xml:space="preserve">th isoform in the</w:t>
      </w:r>
      <w:r>
        <w:t xml:space="preserve"> </w:t>
      </w:r>
      <w:r>
        <w:rPr>
          <w:i/>
        </w:rPr>
        <w:t xml:space="preserve">trans</w:t>
      </w:r>
      <w:r>
        <w:t xml:space="preserve">-heterozygote samples as output by</w:t>
      </w:r>
      <w:r>
        <w:t xml:space="preserve"> </w:t>
      </w:r>
      <w:r>
        <w:t xml:space="preserve">Kallisto.</w:t>
      </w:r>
      <w:r>
        <w:t xml:space="preserve"> </w:t>
      </w:r>
      <m:oMath>
        <m:r>
          <m:t>S</m:t>
        </m:r>
      </m:oMath>
      <w:r>
        <w:t xml:space="preserve"> </w:t>
      </w:r>
      <w:r>
        <w:t xml:space="preserve">is the set of isoforms that participate in the regression (see</w:t>
      </w:r>
      <w:r>
        <w:t xml:space="preserve"> </w:t>
      </w:r>
      <w:r>
        <w:t xml:space="preserve">main text). This equation describes a linear regression which was solved</w:t>
      </w:r>
      <w:r>
        <w:t xml:space="preserve"> </w:t>
      </w:r>
      <w:r>
        <w:t xml:space="preserve">numerically.</w:t>
      </w:r>
    </w:p>
    <w:p>
      <w:pPr>
        <w:pStyle w:val="Heading2"/>
      </w:pPr>
      <w:bookmarkStart w:id="33" w:name="code"/>
      <w:bookmarkEnd w:id="33"/>
      <w:r>
        <w:t xml:space="preserve">Code</w:t>
      </w:r>
    </w:p>
    <w:p>
      <w:pPr>
        <w:pStyle w:val="FirstParagraph"/>
      </w:pPr>
      <w:r>
        <w:t xml:space="preserve">Code was written in Jupyter notebooks </w:t>
      </w:r>
      <w:r>
        <w:rPr>
          <w:vertAlign w:val="superscript"/>
        </w:rPr>
        <w:t xml:space="preserve">28</w:t>
      </w:r>
      <w:r>
        <w:t xml:space="preserve"> </w:t>
      </w:r>
      <w:r>
        <w:t xml:space="preserve">using the Python</w:t>
      </w:r>
      <w:r>
        <w:t xml:space="preserve"> </w:t>
      </w:r>
      <w:r>
        <w:t xml:space="preserve">programming language. The Numpy, pandas and scipy libraries were used for</w:t>
      </w:r>
      <w:r>
        <w:t xml:space="preserve"> </w:t>
      </w:r>
      <w:r>
        <w:t xml:space="preserve">computation </w:t>
      </w:r>
      <w:r>
        <w:rPr>
          <w:vertAlign w:val="superscript"/>
        </w:rPr>
        <w:t xml:space="preserve">29–31</w:t>
      </w:r>
      <w:r>
        <w:t xml:space="preserve"> </w:t>
      </w:r>
      <w:r>
        <w:t xml:space="preserve">and the matplotlib</w:t>
      </w:r>
      <w:r>
        <w:t xml:space="preserve"> </w:t>
      </w:r>
      <w:r>
        <w:t xml:space="preserve">and seaborn libraries were used for data visualization </w:t>
      </w:r>
      <w:r>
        <w:rPr>
          <w:vertAlign w:val="superscript"/>
        </w:rPr>
        <w:t xml:space="preserve">32,33</w:t>
      </w:r>
      <w:r>
        <w:t xml:space="preserve">.</w:t>
      </w:r>
      <w:r>
        <w:t xml:space="preserve"> </w:t>
      </w:r>
      <w:r>
        <w:t xml:space="preserve">Enrichment analyses were performed using the WormBase Enrichment</w:t>
      </w:r>
      <w:r>
        <w:t xml:space="preserve"> </w:t>
      </w:r>
      <w:r>
        <w:t xml:space="preserve">Suite </w:t>
      </w:r>
      <w:r>
        <w:rPr>
          <w:vertAlign w:val="superscript"/>
        </w:rPr>
        <w:t xml:space="preserve">34</w:t>
      </w:r>
      <w:r>
        <w:t xml:space="preserve">. For all enrichment analyses, a</w:t>
      </w:r>
      <w:r>
        <w:t xml:space="preserve"> </w:t>
      </w:r>
      <m:oMath>
        <m:r>
          <m:t>q</m:t>
        </m:r>
      </m:oMath>
      <w:r>
        <w:t xml:space="preserve">-value of</w:t>
      </w:r>
      <w:r>
        <w:t xml:space="preserve"> </w:t>
      </w:r>
      <w:r>
        <w:t xml:space="preserve">less than</w:t>
      </w:r>
      <w:r>
        <w:t xml:space="preserve"> </w:t>
      </w:r>
      <m:oMath>
        <m:sSup>
          <m:e>
            <m:r>
              <m:t>10</m:t>
            </m:r>
          </m:e>
          <m:sup>
            <m:r>
              <m:t>−</m:t>
            </m:r>
            <m:r>
              <m:t>3</m:t>
            </m:r>
          </m:sup>
        </m:sSup>
      </m:oMath>
      <w:r>
        <w:t xml:space="preserve"> </w:t>
      </w:r>
      <w:r>
        <w:t xml:space="preserve">was considered statistically significant. For gene ontology</w:t>
      </w:r>
      <w:r>
        <w:t xml:space="preserve"> </w:t>
      </w:r>
      <w:r>
        <w:t xml:space="preserve">enrichment analysis, terms were considered statistically significant only if</w:t>
      </w:r>
      <w:r>
        <w:t xml:space="preserve"> </w:t>
      </w:r>
      <w:r>
        <w:t xml:space="preserve">they also showed an enrichment fold-change greater than 2.</w:t>
      </w:r>
    </w:p>
    <w:p>
      <w:pPr>
        <w:pStyle w:val="Heading2"/>
      </w:pPr>
      <w:bookmarkStart w:id="34" w:name="data-availability"/>
      <w:bookmarkEnd w:id="34"/>
      <w:r>
        <w:t xml:space="preserve">Data Availability</w:t>
      </w:r>
    </w:p>
    <w:p>
      <w:pPr>
        <w:pStyle w:val="FirstParagraph"/>
      </w:pPr>
      <w:r>
        <w:t xml:space="preserve">Raw and processed reads were deposited in the Gene Expression Omnibus. Scripts</w:t>
      </w:r>
      <w:r>
        <w:t xml:space="preserve"> </w:t>
      </w:r>
      <w:r>
        <w:t xml:space="preserve">for the entire analysis can be found with version control in our Github</w:t>
      </w:r>
      <w:r>
        <w:t xml:space="preserve"> </w:t>
      </w:r>
      <w:r>
        <w:t xml:space="preserve">repository,</w:t>
      </w:r>
      <w:r>
        <w:t xml:space="preserve"> </w:t>
      </w:r>
      <w:hyperlink r:id="rId35">
        <w:r>
          <w:rPr>
            <w:rStyle w:val="Hyperlink"/>
          </w:rPr>
          <w:t xml:space="preserve">https://github.com/WormLabCaltech/med-cafe</w:t>
        </w:r>
      </w:hyperlink>
      <w:r>
        <w:t xml:space="preserve">. A user-friendly,</w:t>
      </w:r>
      <w:r>
        <w:t xml:space="preserve"> </w:t>
      </w:r>
      <w:r>
        <w:t xml:space="preserve">commented website containing the complete analyses can be found at</w:t>
      </w:r>
      <w:r>
        <w:t xml:space="preserve"> </w:t>
      </w:r>
      <w:hyperlink r:id="rId36">
        <w:r>
          <w:rPr>
            <w:rStyle w:val="Hyperlink"/>
          </w:rPr>
          <w:t xml:space="preserve">https://wormlabcaltech.github.io/med-cafe/</w:t>
        </w:r>
      </w:hyperlink>
      <w:r>
        <w:t xml:space="preserve">. Raw reads and quantified</w:t>
      </w:r>
      <w:r>
        <w:t xml:space="preserve"> </w:t>
      </w:r>
      <w:r>
        <w:t xml:space="preserve">abundances for each sample were deposited at the NCBI Gene Expression Omnibus</w:t>
      </w:r>
      <w:r>
        <w:t xml:space="preserve"> </w:t>
      </w:r>
      <w:r>
        <w:t xml:space="preserve">(GEO) </w:t>
      </w:r>
      <w:r>
        <w:rPr>
          <w:vertAlign w:val="superscript"/>
        </w:rPr>
        <w:t xml:space="preserve">35</w:t>
      </w:r>
      <w:r>
        <w:t xml:space="preserve"> </w:t>
      </w:r>
      <w:r>
        <w:t xml:space="preserve">under the accession code GSE107523</w:t>
      </w:r>
      <w:r>
        <w:t xml:space="preserve"> </w:t>
      </w:r>
      <w:r>
        <w:t xml:space="preserve">(</w:t>
      </w:r>
      <w:hyperlink r:id="rId37">
        <w:r>
          <w:rPr>
            <w:rStyle w:val="Hyperlink"/>
          </w:rPr>
          <w:t xml:space="preserve">https://www.ncbi.nlm.nih.gov/geo/query/acc.cgi?acc=GSE107523</w:t>
        </w:r>
      </w:hyperlink>
      <w:r>
        <w:t xml:space="preserve">).</w:t>
      </w:r>
    </w:p>
    <w:p>
      <w:pPr>
        <w:pStyle w:val="Heading1"/>
      </w:pPr>
      <w:bookmarkStart w:id="38" w:name="acknowledgements"/>
      <w:bookmarkEnd w:id="38"/>
      <w:r>
        <w:t xml:space="preserve">Acknowledgements</w:t>
      </w:r>
    </w:p>
    <w:p>
      <w:pPr>
        <w:pStyle w:val="FirstParagraph"/>
      </w:pPr>
      <w:r>
        <w:t xml:space="preserve">This work was supported by HHMI with whom PWS was an investigator, by the</w:t>
      </w:r>
      <w:r>
        <w:t xml:space="preserve"> </w:t>
      </w:r>
      <w:r>
        <w:t xml:space="preserve">Millard and Muriel Jacobs Genetics and Genomics Laboratory at California</w:t>
      </w:r>
      <w:r>
        <w:t xml:space="preserve"> </w:t>
      </w:r>
      <w:r>
        <w:t xml:space="preserve">Institute of Technology, and by the NIH grant U41 HG002223. This article</w:t>
      </w:r>
      <w:r>
        <w:t xml:space="preserve"> </w:t>
      </w:r>
      <w:r>
        <w:t xml:space="preserve">would not be possible without help from Dr. Igor Antoshechkin and Dr. Vijaya</w:t>
      </w:r>
      <w:r>
        <w:t xml:space="preserve"> </w:t>
      </w:r>
      <w:r>
        <w:t xml:space="preserve">Kumar who performed the library preparation and sequencing.</w:t>
      </w:r>
      <w:r>
        <w:t xml:space="preserve"> </w:t>
      </w:r>
      <w:r>
        <w:t xml:space="preserve">Han Wang, Hillel Schwartz, Erich Schwarz, Porfirio Quintero and</w:t>
      </w:r>
      <w:r>
        <w:t xml:space="preserve"> </w:t>
      </w:r>
      <w:r>
        <w:t xml:space="preserve">Carmie Puckett Robinson provided valuable input throughout the project.</w:t>
      </w:r>
    </w:p>
    <w:p>
      <w:pPr>
        <w:pStyle w:val="Bibliography"/>
      </w:pPr>
      <w:r>
        <w:t xml:space="preserve">1. Aroian, R. V. &amp; Sternberg, P. W. Multiple functions of let-23, a</w:t>
      </w:r>
      <w:r>
        <w:t xml:space="preserve"> </w:t>
      </w:r>
      <w:r>
        <w:rPr>
          <w:i/>
        </w:rPr>
        <w:t xml:space="preserve">Caenorhabditis elegans</w:t>
      </w:r>
      <w:r>
        <w:t xml:space="preserve"> </w:t>
      </w:r>
      <w:r>
        <w:t xml:space="preserve">receptor tyrosine kinase gene required for vulval induction.</w:t>
      </w:r>
      <w:r>
        <w:t xml:space="preserve"> </w:t>
      </w:r>
      <w:r>
        <w:rPr>
          <w:i/>
        </w:rPr>
        <w:t xml:space="preserve">Genetics</w:t>
      </w:r>
      <w:r>
        <w:t xml:space="preserve"> </w:t>
      </w:r>
      <w:r>
        <w:rPr>
          <w:b/>
        </w:rPr>
        <w:t xml:space="preserve">128,</w:t>
      </w:r>
      <w:r>
        <w:t xml:space="preserve"> </w:t>
      </w:r>
      <w:r>
        <w:t xml:space="preserve">251–67 (1991).</w:t>
      </w:r>
    </w:p>
    <w:p>
      <w:pPr>
        <w:pStyle w:val="Bibliography"/>
      </w:pPr>
      <w:r>
        <w:t xml:space="preserve">2. Ferguson, E. &amp; Horvitz, H. R. Identification and characterization of 22 genes that affect the vulval cell lineages of</w:t>
      </w:r>
      <w:r>
        <w:t xml:space="preserve"> </w:t>
      </w:r>
      <w:r>
        <w:rPr>
          <w:i/>
        </w:rPr>
        <w:t xml:space="preserve">Caenorhabditis elegans</w:t>
      </w:r>
      <w:r>
        <w:t xml:space="preserve">.</w:t>
      </w:r>
      <w:r>
        <w:t xml:space="preserve"> </w:t>
      </w:r>
      <w:r>
        <w:rPr>
          <w:i/>
        </w:rPr>
        <w:t xml:space="preserve">Genetics</w:t>
      </w:r>
      <w:r>
        <w:t xml:space="preserve"> </w:t>
      </w:r>
      <w:r>
        <w:rPr>
          <w:b/>
        </w:rPr>
        <w:t xml:space="preserve">110,</w:t>
      </w:r>
      <w:r>
        <w:t xml:space="preserve"> </w:t>
      </w:r>
      <w:r>
        <w:t xml:space="preserve">17–72 (1985).</w:t>
      </w:r>
    </w:p>
    <w:p>
      <w:pPr>
        <w:pStyle w:val="Bibliography"/>
      </w:pPr>
      <w:r>
        <w:t xml:space="preserve">3. Greenwald, I. S., Sternberg, P. W. &amp; Robert Horvitz, H. The lin-12 locus specifies cell fates in</w:t>
      </w:r>
      <w:r>
        <w:t xml:space="preserve"> </w:t>
      </w:r>
      <w:r>
        <w:rPr>
          <w:i/>
        </w:rPr>
        <w:t xml:space="preserve">Caenorhabditis elegans</w:t>
      </w:r>
      <w:r>
        <w:t xml:space="preserve">.</w:t>
      </w:r>
      <w:r>
        <w:t xml:space="preserve"> </w:t>
      </w:r>
      <w:r>
        <w:rPr>
          <w:i/>
        </w:rPr>
        <w:t xml:space="preserve">Cell</w:t>
      </w:r>
      <w:r>
        <w:t xml:space="preserve"> </w:t>
      </w:r>
      <w:r>
        <w:rPr>
          <w:b/>
        </w:rPr>
        <w:t xml:space="preserve">34,</w:t>
      </w:r>
      <w:r>
        <w:t xml:space="preserve"> </w:t>
      </w:r>
      <w:r>
        <w:t xml:space="preserve">435–444 (1983).</w:t>
      </w:r>
    </w:p>
    <w:p>
      <w:pPr>
        <w:pStyle w:val="Bibliography"/>
      </w:pPr>
      <w:r>
        <w:t xml:space="preserve">4. Mortazavi, A., Williams, B. A., McCue, K., Schaeffer, L. &amp; Wold, B. Mapping and quantifying mammalian transcriptomes by RNA-Seq.</w:t>
      </w:r>
      <w:r>
        <w:t xml:space="preserve"> </w:t>
      </w:r>
      <w:r>
        <w:rPr>
          <w:i/>
        </w:rPr>
        <w:t xml:space="preserve">Nature Methods</w:t>
      </w:r>
      <w:r>
        <w:t xml:space="preserve"> </w:t>
      </w:r>
      <w:r>
        <w:rPr>
          <w:b/>
        </w:rPr>
        <w:t xml:space="preserve">5,</w:t>
      </w:r>
      <w:r>
        <w:t xml:space="preserve"> </w:t>
      </w:r>
      <w:r>
        <w:t xml:space="preserve">621–628 (2008).</w:t>
      </w:r>
    </w:p>
    <w:p>
      <w:pPr>
        <w:pStyle w:val="Bibliography"/>
      </w:pPr>
      <w:r>
        <w:t xml:space="preserve">5. Tang, F.</w:t>
      </w:r>
      <w:r>
        <w:t xml:space="preserve"> </w:t>
      </w:r>
      <w:r>
        <w:rPr>
          <w:i/>
        </w:rPr>
        <w:t xml:space="preserve">et al.</w:t>
      </w:r>
      <w:r>
        <w:t xml:space="preserve"> </w:t>
      </w:r>
      <w:r>
        <w:t xml:space="preserve">mRNA-Seq whole-transcriptome analysis of a single cell.</w:t>
      </w:r>
      <w:r>
        <w:t xml:space="preserve"> </w:t>
      </w:r>
      <w:r>
        <w:rPr>
          <w:i/>
        </w:rPr>
        <w:t xml:space="preserve">Nature Methods</w:t>
      </w:r>
      <w:r>
        <w:t xml:space="preserve"> </w:t>
      </w:r>
      <w:r>
        <w:rPr>
          <w:b/>
        </w:rPr>
        <w:t xml:space="preserve">6,</w:t>
      </w:r>
      <w:r>
        <w:t xml:space="preserve"> </w:t>
      </w:r>
      <w:r>
        <w:t xml:space="preserve">377–382 (2009).</w:t>
      </w:r>
    </w:p>
    <w:p>
      <w:pPr>
        <w:pStyle w:val="Bibliography"/>
      </w:pPr>
      <w:r>
        <w:t xml:space="preserve">6. Schwarz, E. M., Kato, M. &amp; Sternberg, P. W. Functional transcriptomics of a migrating cell in Caenorhabditis elegans.</w:t>
      </w:r>
      <w:r>
        <w:t xml:space="preserve"> </w:t>
      </w:r>
      <w:r>
        <w:rPr>
          <w:i/>
        </w:rPr>
        <w:t xml:space="preserve">Proceedings of the National Academy of Sciences of the United States of America</w:t>
      </w:r>
      <w:r>
        <w:t xml:space="preserve"> </w:t>
      </w:r>
      <w:r>
        <w:rPr>
          <w:b/>
        </w:rPr>
        <w:t xml:space="preserve">109,</w:t>
      </w:r>
      <w:r>
        <w:t xml:space="preserve"> </w:t>
      </w:r>
      <w:r>
        <w:t xml:space="preserve">16246–51 (2012).</w:t>
      </w:r>
    </w:p>
    <w:p>
      <w:pPr>
        <w:pStyle w:val="Bibliography"/>
      </w:pPr>
      <w:r>
        <w:t xml:space="preserve">7. Angeles-Albores, D.</w:t>
      </w:r>
      <w:r>
        <w:t xml:space="preserve"> </w:t>
      </w:r>
      <w:r>
        <w:rPr>
          <w:i/>
        </w:rPr>
        <w:t xml:space="preserve">et al.</w:t>
      </w:r>
      <w:r>
        <w:t xml:space="preserve"> </w:t>
      </w:r>
      <w:r>
        <w:t xml:space="preserve">The</w:t>
      </w:r>
      <w:r>
        <w:t xml:space="preserve"> </w:t>
      </w:r>
      <w:r>
        <w:rPr>
          <w:i/>
        </w:rPr>
        <w:t xml:space="preserve">Caenorhabditis elegans</w:t>
      </w:r>
      <w:r>
        <w:t xml:space="preserve"> </w:t>
      </w:r>
      <w:r>
        <w:t xml:space="preserve">Female State: Decoupling the Transcriptomic Effects of Aging and Sperm-Status.</w:t>
      </w:r>
      <w:r>
        <w:t xml:space="preserve"> </w:t>
      </w:r>
      <w:r>
        <w:rPr>
          <w:i/>
        </w:rPr>
        <w:t xml:space="preserve">G3: Genes, Genomes, Genetics</w:t>
      </w:r>
      <w:r>
        <w:t xml:space="preserve"> </w:t>
      </w:r>
      <w:r>
        <w:t xml:space="preserve">(2017).</w:t>
      </w:r>
    </w:p>
    <w:p>
      <w:pPr>
        <w:pStyle w:val="Bibliography"/>
      </w:pPr>
      <w:r>
        <w:t xml:space="preserve">8. Villani, A.-C.</w:t>
      </w:r>
      <w:r>
        <w:t xml:space="preserve"> </w:t>
      </w:r>
      <w:r>
        <w:rPr>
          <w:i/>
        </w:rPr>
        <w:t xml:space="preserve">et al.</w:t>
      </w:r>
      <w:r>
        <w:t xml:space="preserve"> </w:t>
      </w:r>
      <w:r>
        <w:t xml:space="preserve">Single-cell RNA-seq reveals new types of human blood dendritic cells, monocytes, and progenitors.</w:t>
      </w:r>
      <w:r>
        <w:t xml:space="preserve"> </w:t>
      </w:r>
      <w:r>
        <w:rPr>
          <w:i/>
        </w:rPr>
        <w:t xml:space="preserve">Science</w:t>
      </w:r>
      <w:r>
        <w:t xml:space="preserve"> </w:t>
      </w:r>
      <w:r>
        <w:rPr>
          <w:b/>
        </w:rPr>
        <w:t xml:space="preserve">356,</w:t>
      </w:r>
      <w:r>
        <w:t xml:space="preserve"> </w:t>
      </w:r>
      <w:r>
        <w:t xml:space="preserve">(2017).</w:t>
      </w:r>
    </w:p>
    <w:p>
      <w:pPr>
        <w:pStyle w:val="Bibliography"/>
      </w:pPr>
      <w:r>
        <w:t xml:space="preserve">9. Dixit, A.</w:t>
      </w:r>
      <w:r>
        <w:t xml:space="preserve"> </w:t>
      </w:r>
      <w:r>
        <w:rPr>
          <w:i/>
        </w:rPr>
        <w:t xml:space="preserve">et al.</w:t>
      </w:r>
      <w:r>
        <w:t xml:space="preserve"> </w:t>
      </w:r>
      <w:r>
        <w:t xml:space="preserve">Perturb-Seq: Dissecting Molecular Circuits with Scalable Single-Cell RNA Profiling of Pooled Genetic Screens.</w:t>
      </w:r>
      <w:r>
        <w:t xml:space="preserve"> </w:t>
      </w:r>
      <w:r>
        <w:rPr>
          <w:i/>
        </w:rPr>
        <w:t xml:space="preserve">Cell</w:t>
      </w:r>
      <w:r>
        <w:t xml:space="preserve"> </w:t>
      </w:r>
      <w:r>
        <w:rPr>
          <w:b/>
        </w:rPr>
        <w:t xml:space="preserve">167,</w:t>
      </w:r>
      <w:r>
        <w:t xml:space="preserve"> </w:t>
      </w:r>
      <w:r>
        <w:t xml:space="preserve">1853–1866.e17 (2016).</w:t>
      </w:r>
    </w:p>
    <w:p>
      <w:pPr>
        <w:pStyle w:val="Bibliography"/>
      </w:pPr>
      <w:r>
        <w:t xml:space="preserve">10. Angeles Albores, D., Puckett Robinson, C., Williams, B. A., Wold, B. J. &amp; Sternberg, P. W. Reconstructing a metazoan genetic pathway with transcriptome-wide epistasis measurements.</w:t>
      </w:r>
      <w:r>
        <w:t xml:space="preserve"> </w:t>
      </w:r>
      <w:r>
        <w:rPr>
          <w:i/>
        </w:rPr>
        <w:t xml:space="preserve">bioRxiv</w:t>
      </w:r>
      <w:r>
        <w:t xml:space="preserve"> </w:t>
      </w:r>
      <w:r>
        <w:t xml:space="preserve">(2017). doi:</w:t>
      </w:r>
      <w:hyperlink r:id="rId39">
        <w:r>
          <w:rPr>
            <w:rStyle w:val="Hyperlink"/>
          </w:rPr>
          <w:t xml:space="preserve">10.1101/112920</w:t>
        </w:r>
      </w:hyperlink>
    </w:p>
    <w:p>
      <w:pPr>
        <w:pStyle w:val="Bibliography"/>
      </w:pPr>
      <w:r>
        <w:t xml:space="preserve">11. Zhang, H. &amp; Emmons, S. W. A</w:t>
      </w:r>
      <w:r>
        <w:t xml:space="preserve"> </w:t>
      </w:r>
      <w:r>
        <w:rPr>
          <w:i/>
        </w:rPr>
        <w:t xml:space="preserve">C. elegans</w:t>
      </w:r>
      <w:r>
        <w:t xml:space="preserve"> </w:t>
      </w:r>
      <w:r>
        <w:t xml:space="preserve">mediator protein confers regulatory selectivity on lineage-specific expression of a transcription factor gene.</w:t>
      </w:r>
      <w:r>
        <w:t xml:space="preserve"> </w:t>
      </w:r>
      <w:r>
        <w:rPr>
          <w:i/>
        </w:rPr>
        <w:t xml:space="preserve">Genes and Development</w:t>
      </w:r>
      <w:r>
        <w:t xml:space="preserve"> </w:t>
      </w:r>
      <w:r>
        <w:rPr>
          <w:b/>
        </w:rPr>
        <w:t xml:space="preserve">14,</w:t>
      </w:r>
      <w:r>
        <w:t xml:space="preserve"> </w:t>
      </w:r>
      <w:r>
        <w:t xml:space="preserve">2161–2172 (2000).</w:t>
      </w:r>
    </w:p>
    <w:p>
      <w:pPr>
        <w:pStyle w:val="Bibliography"/>
      </w:pPr>
      <w:r>
        <w:t xml:space="preserve">12. Moghal, N.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13. Jeronimo, C. &amp; Robert, F. The Mediator Complex: At the Nexus of RNA Polymerase II Transcription.</w:t>
      </w:r>
      <w:r>
        <w:t xml:space="preserve"> </w:t>
      </w:r>
      <w:r>
        <w:rPr>
          <w:b/>
        </w:rPr>
        <w:t xml:space="preserve">27,</w:t>
      </w:r>
      <w:r>
        <w:t xml:space="preserve"> </w:t>
      </w:r>
      <w:r>
        <w:t xml:space="preserve">765–783 (2017).</w:t>
      </w:r>
    </w:p>
    <w:p>
      <w:pPr>
        <w:pStyle w:val="Bibliography"/>
      </w:pPr>
      <w:r>
        <w:t xml:space="preserve">14. Allen, B. L. &amp; Taatjes, D. J. The Mediator complex: a central integrator of transcription.</w:t>
      </w:r>
      <w:r>
        <w:t xml:space="preserve"> </w:t>
      </w:r>
      <w:r>
        <w:rPr>
          <w:i/>
        </w:rPr>
        <w:t xml:space="preserve">Nature reviews. Molecular cell biology</w:t>
      </w:r>
      <w:r>
        <w:t xml:space="preserve"> </w:t>
      </w:r>
      <w:r>
        <w:rPr>
          <w:b/>
        </w:rPr>
        <w:t xml:space="preserve">16,</w:t>
      </w:r>
      <w:r>
        <w:t xml:space="preserve"> </w:t>
      </w:r>
      <w:r>
        <w:t xml:space="preserve">155–166 (2015).</w:t>
      </w:r>
    </w:p>
    <w:p>
      <w:pPr>
        <w:pStyle w:val="Bibliography"/>
      </w:pPr>
      <w:r>
        <w:t xml:space="preserve">15. Takagi, Y. &amp; Kornberg, R. D. Mediator as a general transcription factor.</w:t>
      </w:r>
      <w:r>
        <w:t xml:space="preserve"> </w:t>
      </w:r>
      <w:r>
        <w:rPr>
          <w:i/>
        </w:rPr>
        <w:t xml:space="preserve">The Journal of biological chemistry</w:t>
      </w:r>
      <w:r>
        <w:t xml:space="preserve"> </w:t>
      </w:r>
      <w:r>
        <w:rPr>
          <w:b/>
        </w:rPr>
        <w:t xml:space="preserve">281,</w:t>
      </w:r>
      <w:r>
        <w:t xml:space="preserve"> </w:t>
      </w:r>
      <w:r>
        <w:t xml:space="preserve">80–9 (2006).</w:t>
      </w:r>
    </w:p>
    <w:p>
      <w:pPr>
        <w:pStyle w:val="Bibliography"/>
      </w:pPr>
      <w:r>
        <w:t xml:space="preserve">16. Knuesel, M. T., Meyer, K. D., Bernecky, C. &amp; Taatjes, D. J. The human CDK8 subcomplex is a molecular switch that controls Mediator coactivator function.</w:t>
      </w:r>
      <w:r>
        <w:t xml:space="preserve"> </w:t>
      </w:r>
      <w:r>
        <w:rPr>
          <w:i/>
        </w:rPr>
        <w:t xml:space="preserve">Genes &amp; development</w:t>
      </w:r>
      <w:r>
        <w:t xml:space="preserve"> </w:t>
      </w:r>
      <w:r>
        <w:rPr>
          <w:b/>
        </w:rPr>
        <w:t xml:space="preserve">23,</w:t>
      </w:r>
      <w:r>
        <w:t xml:space="preserve"> </w:t>
      </w:r>
      <w:r>
        <w:t xml:space="preserve">439–51 (2009).</w:t>
      </w:r>
    </w:p>
    <w:p>
      <w:pPr>
        <w:pStyle w:val="Bibliography"/>
      </w:pPr>
      <w:r>
        <w:t xml:space="preserve">17. Elmlund, H.</w:t>
      </w:r>
      <w:r>
        <w:t xml:space="preserve"> </w:t>
      </w:r>
      <w:r>
        <w:rPr>
          <w:i/>
        </w:rPr>
        <w:t xml:space="preserve">et al.</w:t>
      </w:r>
      <w:r>
        <w:t xml:space="preserve"> </w:t>
      </w:r>
      <w:r>
        <w:t xml:space="preserve">The cyclin-dependent kinase 8 module sterically blocks Mediator interactions with RNA polymerase II.</w:t>
      </w:r>
      <w:r>
        <w:t xml:space="preserve"> </w:t>
      </w:r>
      <w:r>
        <w:rPr>
          <w:i/>
        </w:rPr>
        <w:t xml:space="preserve">Proceedings of the National Academy of Sciences of the United States of America</w:t>
      </w:r>
      <w:r>
        <w:t xml:space="preserve"> </w:t>
      </w:r>
      <w:r>
        <w:rPr>
          <w:b/>
        </w:rPr>
        <w:t xml:space="preserve">103,</w:t>
      </w:r>
      <w:r>
        <w:t xml:space="preserve"> </w:t>
      </w:r>
      <w:r>
        <w:t xml:space="preserve">15788–93 (2006).</w:t>
      </w:r>
    </w:p>
    <w:p>
      <w:pPr>
        <w:pStyle w:val="Bibliography"/>
      </w:pPr>
      <w:r>
        <w:t xml:space="preserve">18. Moghal, N. &amp; Sternberg, P. W. A component of the transcriptional mediator complex inhibits RAS-dependent vulval fate specification in</w:t>
      </w:r>
      <w:r>
        <w:t xml:space="preserve"> </w:t>
      </w:r>
      <w:r>
        <w:rPr>
          <w:i/>
        </w:rPr>
        <w:t xml:space="preserve">C. elegans</w:t>
      </w:r>
      <w:r>
        <w:t xml:space="preserve">.</w:t>
      </w:r>
      <w:r>
        <w:t xml:space="preserve"> </w:t>
      </w:r>
      <w:r>
        <w:rPr>
          <w:i/>
        </w:rPr>
        <w:t xml:space="preserve">Development</w:t>
      </w:r>
      <w:r>
        <w:t xml:space="preserve"> </w:t>
      </w:r>
      <w:r>
        <w:rPr>
          <w:b/>
        </w:rPr>
        <w:t xml:space="preserve">130,</w:t>
      </w:r>
      <w:r>
        <w:t xml:space="preserve"> </w:t>
      </w:r>
      <w:r>
        <w:t xml:space="preserve">57–69 (2003).</w:t>
      </w:r>
    </w:p>
    <w:p>
      <w:pPr>
        <w:pStyle w:val="Bibliography"/>
      </w:pPr>
      <w:r>
        <w:t xml:space="preserve">19. Bray, N. L., Pimentel, H. J., Melsted, P. &amp; Pachter, L. Near-optimal probabilistic RNA-seq quantification.</w:t>
      </w:r>
      <w:r>
        <w:t xml:space="preserve"> </w:t>
      </w:r>
      <w:r>
        <w:rPr>
          <w:i/>
        </w:rPr>
        <w:t xml:space="preserve">Nature biotechnology</w:t>
      </w:r>
      <w:r>
        <w:t xml:space="preserve"> </w:t>
      </w:r>
      <w:r>
        <w:rPr>
          <w:b/>
        </w:rPr>
        <w:t xml:space="preserve">34,</w:t>
      </w:r>
      <w:r>
        <w:t xml:space="preserve"> </w:t>
      </w:r>
      <w:r>
        <w:t xml:space="preserve">525–7 (2016).</w:t>
      </w:r>
    </w:p>
    <w:p>
      <w:pPr>
        <w:pStyle w:val="Bibliography"/>
      </w:pPr>
      <w:r>
        <w:t xml:space="preserve">20. Pimentel, H., Bray, N. L., Puente, S., Melsted, P. &amp; Pachter, L. Differential analysis of RNA-seq incorporating quantification uncertainty.</w:t>
      </w:r>
      <w:r>
        <w:t xml:space="preserve"> </w:t>
      </w:r>
      <w:r>
        <w:rPr>
          <w:i/>
        </w:rPr>
        <w:t xml:space="preserve">brief communications nature methods</w:t>
      </w:r>
      <w:r>
        <w:t xml:space="preserve"> </w:t>
      </w:r>
      <w:r>
        <w:rPr>
          <w:b/>
        </w:rPr>
        <w:t xml:space="preserve">14,</w:t>
      </w:r>
      <w:r>
        <w:t xml:space="preserve"> </w:t>
      </w:r>
      <w:r>
        <w:t xml:space="preserve">(2017).</w:t>
      </w:r>
    </w:p>
    <w:p>
      <w:pPr>
        <w:pStyle w:val="Bibliography"/>
      </w:pPr>
      <w:r>
        <w:t xml:space="preserve">21. Yook, K. Complementation.</w:t>
      </w:r>
      <w:r>
        <w:t xml:space="preserve"> </w:t>
      </w:r>
      <w:r>
        <w:rPr>
          <w:i/>
        </w:rPr>
        <w:t xml:space="preserve">WormBook</w:t>
      </w:r>
      <w:r>
        <w:t xml:space="preserve"> </w:t>
      </w:r>
      <w:r>
        <w:t xml:space="preserve">(2005). doi:</w:t>
      </w:r>
      <w:hyperlink r:id="rId40">
        <w:r>
          <w:rPr>
            <w:rStyle w:val="Hyperlink"/>
          </w:rPr>
          <w:t xml:space="preserve">10.1895/wormbook.1.24.1</w:t>
        </w:r>
      </w:hyperlink>
    </w:p>
    <w:p>
      <w:pPr>
        <w:pStyle w:val="Bibliography"/>
      </w:pPr>
      <w:r>
        <w:t xml:space="preserve">22. Cao, J.</w:t>
      </w:r>
      <w:r>
        <w:t xml:space="preserve"> </w:t>
      </w:r>
      <w:r>
        <w:rPr>
          <w:i/>
        </w:rPr>
        <w:t xml:space="preserve">et al.</w:t>
      </w:r>
      <w:r>
        <w:t xml:space="preserve"> </w:t>
      </w:r>
      <w:r>
        <w:t xml:space="preserve">Comprehensive single-cell transcriptional profiling of a multicellular organism.</w:t>
      </w:r>
      <w:r>
        <w:t xml:space="preserve"> </w:t>
      </w:r>
      <w:r>
        <w:rPr>
          <w:i/>
        </w:rPr>
        <w:t xml:space="preserve">Science (New York, N.Y.)</w:t>
      </w:r>
      <w:r>
        <w:t xml:space="preserve"> </w:t>
      </w:r>
      <w:r>
        <w:rPr>
          <w:b/>
        </w:rPr>
        <w:t xml:space="preserve">357,</w:t>
      </w:r>
      <w:r>
        <w:t xml:space="preserve"> </w:t>
      </w:r>
      <w:r>
        <w:t xml:space="preserve">661–667 (2017).</w:t>
      </w:r>
    </w:p>
    <w:p>
      <w:pPr>
        <w:pStyle w:val="Bibliography"/>
      </w:pPr>
      <w:r>
        <w:t xml:space="preserve">23. Brenner, S. The Genetics of</w:t>
      </w:r>
      <w:r>
        <w:t xml:space="preserve"> </w:t>
      </w:r>
      <w:r>
        <w:rPr>
          <w:i/>
        </w:rPr>
        <w:t xml:space="preserve">Caenorhabditis elegans</w:t>
      </w:r>
      <w:r>
        <w:t xml:space="preserve">.</w:t>
      </w:r>
      <w:r>
        <w:t xml:space="preserve"> </w:t>
      </w:r>
      <w:r>
        <w:rPr>
          <w:i/>
        </w:rPr>
        <w:t xml:space="preserve">Genetics</w:t>
      </w:r>
      <w:r>
        <w:t xml:space="preserve"> </w:t>
      </w:r>
      <w:r>
        <w:rPr>
          <w:b/>
        </w:rPr>
        <w:t xml:space="preserve">77,</w:t>
      </w:r>
      <w:r>
        <w:t xml:space="preserve"> </w:t>
      </w:r>
      <w:r>
        <w:t xml:space="preserve">71–94 (1974).</w:t>
      </w:r>
    </w:p>
    <w:p>
      <w:pPr>
        <w:pStyle w:val="Bibliography"/>
      </w:pPr>
      <w:r>
        <w:t xml:space="preserve">24. Andrews, S. FastQC: A quality control tool for high throughput sequence data. 1 (2010). doi:</w:t>
      </w:r>
      <w:hyperlink r:id="rId41">
        <w:r>
          <w:rPr>
            <w:rStyle w:val="Hyperlink"/>
          </w:rPr>
          <w:t xml:space="preserve">citeulike-article-id:11583827</w:t>
        </w:r>
      </w:hyperlink>
    </w:p>
    <w:p>
      <w:pPr>
        <w:pStyle w:val="Bibliography"/>
      </w:pPr>
      <w:r>
        <w:t xml:space="preserve">25. Deluca, D. S.</w:t>
      </w:r>
      <w:r>
        <w:t xml:space="preserve"> </w:t>
      </w:r>
      <w:r>
        <w:rPr>
          <w:i/>
        </w:rPr>
        <w:t xml:space="preserve">et al.</w:t>
      </w:r>
      <w:r>
        <w:t xml:space="preserve"> </w:t>
      </w:r>
      <w:r>
        <w:t xml:space="preserve">RNA-SeQC: RNA-seq metrics for quality control and process optimization.</w:t>
      </w:r>
      <w:r>
        <w:t xml:space="preserve"> </w:t>
      </w:r>
      <w:r>
        <w:rPr>
          <w:i/>
        </w:rPr>
        <w:t xml:space="preserve">Bioinformatics</w:t>
      </w:r>
      <w:r>
        <w:t xml:space="preserve"> </w:t>
      </w:r>
      <w:r>
        <w:rPr>
          <w:b/>
        </w:rPr>
        <w:t xml:space="preserve">28,</w:t>
      </w:r>
      <w:r>
        <w:t xml:space="preserve"> </w:t>
      </w:r>
      <w:r>
        <w:t xml:space="preserve">1530–1532 (2012).</w:t>
      </w:r>
    </w:p>
    <w:p>
      <w:pPr>
        <w:pStyle w:val="Bibliography"/>
      </w:pPr>
      <w:r>
        <w:t xml:space="preserve">26. Langmead, B., Trapnell, C., Pop, M. &amp; Salzberg, S. L. Bowtie: An ultrafast memory-efficient short read aligner.</w:t>
      </w:r>
      <w:r>
        <w:t xml:space="preserve"> </w:t>
      </w:r>
      <w:r>
        <w:rPr>
          <w:i/>
        </w:rPr>
        <w:t xml:space="preserve">Genome biology</w:t>
      </w:r>
      <w:r>
        <w:t xml:space="preserve"> </w:t>
      </w:r>
      <w:r>
        <w:t xml:space="preserve">R25 (2009). doi:</w:t>
      </w:r>
      <w:hyperlink r:id="rId42">
        <w:r>
          <w:rPr>
            <w:rStyle w:val="Hyperlink"/>
          </w:rPr>
          <w:t xml:space="preserve">10.1186/gb-2009-10-3-r25</w:t>
        </w:r>
      </w:hyperlink>
    </w:p>
    <w:p>
      <w:pPr>
        <w:pStyle w:val="Bibliography"/>
      </w:pPr>
      <w:r>
        <w:t xml:space="preserve">27. Ewels, P., Magnusson, M., Lundin, S. &amp; Käller, M. MultiQC: Summarize analysis results for multiple tools and samples in a single report.</w:t>
      </w:r>
      <w:r>
        <w:t xml:space="preserve"> </w:t>
      </w:r>
      <w:r>
        <w:rPr>
          <w:i/>
        </w:rPr>
        <w:t xml:space="preserve">Bioinformatics</w:t>
      </w:r>
      <w:r>
        <w:t xml:space="preserve"> </w:t>
      </w:r>
      <w:r>
        <w:rPr>
          <w:b/>
        </w:rPr>
        <w:t xml:space="preserve">32,</w:t>
      </w:r>
      <w:r>
        <w:t xml:space="preserve"> </w:t>
      </w:r>
      <w:r>
        <w:t xml:space="preserve">3047–3048 (2016).</w:t>
      </w:r>
    </w:p>
    <w:p>
      <w:pPr>
        <w:pStyle w:val="Bibliography"/>
      </w:pPr>
      <w:r>
        <w:t xml:space="preserve">28. Pérez, F. &amp; Granger, B. IPython: A System for Interactive Scientific Computing Python: An Open and General- Purpose Environment.</w:t>
      </w:r>
      <w:r>
        <w:t xml:space="preserve"> </w:t>
      </w:r>
      <w:r>
        <w:rPr>
          <w:i/>
        </w:rPr>
        <w:t xml:space="preserve">Computing in Science and Engineering</w:t>
      </w:r>
      <w:r>
        <w:t xml:space="preserve"> </w:t>
      </w:r>
      <w:r>
        <w:rPr>
          <w:b/>
        </w:rPr>
        <w:t xml:space="preserve">9,</w:t>
      </w:r>
      <w:r>
        <w:t xml:space="preserve"> </w:t>
      </w:r>
      <w:r>
        <w:t xml:space="preserve">21–29 (2007).</w:t>
      </w:r>
    </w:p>
    <w:p>
      <w:pPr>
        <w:pStyle w:val="Bibliography"/>
      </w:pPr>
      <w:r>
        <w:t xml:space="preserve">29. Van Der Walt, S., Colbert, S. C. &amp; Varoquaux, G. The NumPy array: A structure for efficient numerical computation.</w:t>
      </w:r>
      <w:r>
        <w:t xml:space="preserve"> </w:t>
      </w:r>
      <w:r>
        <w:rPr>
          <w:i/>
        </w:rPr>
        <w:t xml:space="preserve">Computing in Science and Engineering</w:t>
      </w:r>
      <w:r>
        <w:t xml:space="preserve"> </w:t>
      </w:r>
      <w:r>
        <w:rPr>
          <w:b/>
        </w:rPr>
        <w:t xml:space="preserve">13,</w:t>
      </w:r>
      <w:r>
        <w:t xml:space="preserve"> </w:t>
      </w:r>
      <w:r>
        <w:t xml:space="preserve">22–30 (2011).</w:t>
      </w:r>
    </w:p>
    <w:p>
      <w:pPr>
        <w:pStyle w:val="Bibliography"/>
      </w:pPr>
      <w:r>
        <w:t xml:space="preserve">30. McKinney, W. pandas: a Foundational Python Library for Data Analysis and Statistics.</w:t>
      </w:r>
      <w:r>
        <w:t xml:space="preserve"> </w:t>
      </w:r>
      <w:r>
        <w:rPr>
          <w:i/>
        </w:rPr>
        <w:t xml:space="preserve">Python for High Performance and Scientific Computing</w:t>
      </w:r>
      <w:r>
        <w:t xml:space="preserve"> </w:t>
      </w:r>
      <w:r>
        <w:t xml:space="preserve">1–9 (2011).</w:t>
      </w:r>
    </w:p>
    <w:p>
      <w:pPr>
        <w:pStyle w:val="Bibliography"/>
      </w:pPr>
      <w:r>
        <w:t xml:space="preserve">31. Oliphant, T. E. SciPy: Open source scientific tools for Python.</w:t>
      </w:r>
      <w:r>
        <w:t xml:space="preserve"> </w:t>
      </w:r>
      <w:r>
        <w:rPr>
          <w:i/>
        </w:rPr>
        <w:t xml:space="preserve">Computing in Science and Engineering</w:t>
      </w:r>
      <w:r>
        <w:t xml:space="preserve"> </w:t>
      </w:r>
      <w:r>
        <w:rPr>
          <w:b/>
        </w:rPr>
        <w:t xml:space="preserve">9,</w:t>
      </w:r>
      <w:r>
        <w:t xml:space="preserve"> </w:t>
      </w:r>
      <w:r>
        <w:t xml:space="preserve">10–20 (2007).</w:t>
      </w:r>
    </w:p>
    <w:p>
      <w:pPr>
        <w:pStyle w:val="Bibliography"/>
      </w:pPr>
      <w:r>
        <w:t xml:space="preserve">32. Hunter, J. D. Matplotlib: A 2D graphics environment.</w:t>
      </w:r>
      <w:r>
        <w:t xml:space="preserve"> </w:t>
      </w:r>
      <w:r>
        <w:rPr>
          <w:i/>
        </w:rPr>
        <w:t xml:space="preserve">Computing in Science and Engineering</w:t>
      </w:r>
      <w:r>
        <w:t xml:space="preserve"> </w:t>
      </w:r>
      <w:r>
        <w:rPr>
          <w:b/>
        </w:rPr>
        <w:t xml:space="preserve">9,</w:t>
      </w:r>
      <w:r>
        <w:t xml:space="preserve"> </w:t>
      </w:r>
      <w:r>
        <w:t xml:space="preserve">99–104 (2007).</w:t>
      </w:r>
    </w:p>
    <w:p>
      <w:pPr>
        <w:pStyle w:val="Bibliography"/>
      </w:pPr>
      <w:r>
        <w:t xml:space="preserve">33. Waskom, M.</w:t>
      </w:r>
      <w:r>
        <w:t xml:space="preserve"> </w:t>
      </w:r>
      <w:r>
        <w:rPr>
          <w:i/>
        </w:rPr>
        <w:t xml:space="preserve">et al.</w:t>
      </w:r>
      <w:r>
        <w:t xml:space="preserve"> </w:t>
      </w:r>
      <w:r>
        <w:t xml:space="preserve">seaborn: v0.7.0 (January 2016). (2016). doi:</w:t>
      </w:r>
      <w:hyperlink r:id="rId43">
        <w:r>
          <w:rPr>
            <w:rStyle w:val="Hyperlink"/>
          </w:rPr>
          <w:t xml:space="preserve">10.5281/zenodo.45133</w:t>
        </w:r>
      </w:hyperlink>
    </w:p>
    <w:p>
      <w:pPr>
        <w:pStyle w:val="Bibliography"/>
      </w:pPr>
      <w:r>
        <w:t xml:space="preserve">34. Angeles-Albores, D., N. Lee, R. Y., Chan, J. &amp; Sternberg, P. W. Tissue enrichment analysis for</w:t>
      </w:r>
      <w:r>
        <w:t xml:space="preserve"> </w:t>
      </w:r>
      <w:r>
        <w:rPr>
          <w:i/>
        </w:rPr>
        <w:t xml:space="preserve">C. elegans</w:t>
      </w:r>
      <w:r>
        <w:t xml:space="preserve"> </w:t>
      </w:r>
      <w:r>
        <w:t xml:space="preserve">genomics.</w:t>
      </w:r>
      <w:r>
        <w:t xml:space="preserve"> </w:t>
      </w:r>
      <w:r>
        <w:rPr>
          <w:i/>
        </w:rPr>
        <w:t xml:space="preserve">BMC Bioinformatics</w:t>
      </w:r>
      <w:r>
        <w:t xml:space="preserve"> </w:t>
      </w:r>
      <w:r>
        <w:rPr>
          <w:b/>
        </w:rPr>
        <w:t xml:space="preserve">17,</w:t>
      </w:r>
      <w:r>
        <w:t xml:space="preserve"> </w:t>
      </w:r>
      <w:r>
        <w:t xml:space="preserve">366 (2016).</w:t>
      </w:r>
    </w:p>
    <w:p>
      <w:pPr>
        <w:pStyle w:val="Bibliography"/>
      </w:pPr>
      <w:r>
        <w:t xml:space="preserve">35. Edgar, R., Domrachev, M. &amp; Lash, A. E. Gene Expression Omnibus: NCBI gene expression and hybridization array data repository.</w:t>
      </w:r>
      <w:r>
        <w:t xml:space="preserve"> </w:t>
      </w:r>
      <w:r>
        <w:rPr>
          <w:i/>
        </w:rPr>
        <w:t xml:space="preserve">Nucleic acids research</w:t>
      </w:r>
      <w:r>
        <w:t xml:space="preserve"> </w:t>
      </w:r>
      <w:r>
        <w:rPr>
          <w:b/>
        </w:rPr>
        <w:t xml:space="preserve">30,</w:t>
      </w:r>
      <w:r>
        <w:t xml:space="preserve"> </w:t>
      </w:r>
      <w:r>
        <w:t xml:space="preserve">207–10 (2002).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eec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hyperlink" Id="rId39" Target="https://doi.org/10.1101/112920" TargetMode="External" /><Relationship Type="http://schemas.openxmlformats.org/officeDocument/2006/relationships/hyperlink" Id="rId42" Target="https://doi.org/10.1186/gb-2009-10-3-r25" TargetMode="External" /><Relationship Type="http://schemas.openxmlformats.org/officeDocument/2006/relationships/hyperlink" Id="rId40" Target="https://doi.org/10.1895/wormbook.1.24.1" TargetMode="External" /><Relationship Type="http://schemas.openxmlformats.org/officeDocument/2006/relationships/hyperlink" Id="rId43" Target="https://doi.org/10.5281/zenodo.45133" TargetMode="External" /><Relationship Type="http://schemas.openxmlformats.org/officeDocument/2006/relationships/hyperlink" Id="rId41" Target="https://doi.org/citeulike-article-id:11583827" TargetMode="External" /><Relationship Type="http://schemas.openxmlformats.org/officeDocument/2006/relationships/hyperlink" Id="rId35" Target="https://github.com/WormLabCaltech/med-cafe" TargetMode="External" /><Relationship Type="http://schemas.openxmlformats.org/officeDocument/2006/relationships/hyperlink" Id="rId36" Target="https://wormlabcaltech.github.io/med-cafe/"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 Type="http://schemas.openxmlformats.org/officeDocument/2006/relationships/hyperlink" Id="rId37" Target="https://www.ncbi.nlm.nih.gov/geo/query/acc.cgi?acc=GSE107523"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01/112920" TargetMode="External" /><Relationship Type="http://schemas.openxmlformats.org/officeDocument/2006/relationships/hyperlink" Id="rId42" Target="https://doi.org/10.1186/gb-2009-10-3-r25" TargetMode="External" /><Relationship Type="http://schemas.openxmlformats.org/officeDocument/2006/relationships/hyperlink" Id="rId40" Target="https://doi.org/10.1895/wormbook.1.24.1" TargetMode="External" /><Relationship Type="http://schemas.openxmlformats.org/officeDocument/2006/relationships/hyperlink" Id="rId43" Target="https://doi.org/10.5281/zenodo.45133" TargetMode="External" /><Relationship Type="http://schemas.openxmlformats.org/officeDocument/2006/relationships/hyperlink" Id="rId41" Target="https://doi.org/citeulike-article-id:11583827" TargetMode="External" /><Relationship Type="http://schemas.openxmlformats.org/officeDocument/2006/relationships/hyperlink" Id="rId35" Target="https://github.com/WormLabCaltech/med-cafe" TargetMode="External" /><Relationship Type="http://schemas.openxmlformats.org/officeDocument/2006/relationships/hyperlink" Id="rId36" Target="https://wormlabcaltech.github.io/med-cafe/" TargetMode="External" /><Relationship Type="http://schemas.openxmlformats.org/officeDocument/2006/relationships/hyperlink" Id="rId24" Target="https://wormlabcaltech.github.io/med-cafe/notebook/basic.html" TargetMode="External" /><Relationship Type="http://schemas.openxmlformats.org/officeDocument/2006/relationships/hyperlink" Id="rId25" Target="https://wormlabcaltech.github.io/med-cafe/notebook/phenotypic_classes.html" TargetMode="External" /><Relationship Type="http://schemas.openxmlformats.org/officeDocument/2006/relationships/hyperlink" Id="rId37" Target="https://www.ncbi.nlm.nih.gov/geo/query/acc.cgi?acc=GSE107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study of allelic series using transcriptomic phenotypes</dc:title>
  <dc:creator>David Angeles-Albores; Paul W. Sternberg</dc:creator>
  <dcterms:created xsi:type="dcterms:W3CDTF">2017-12-17T21:09:47Z</dcterms:created>
  <dcterms:modified xsi:type="dcterms:W3CDTF">2017-12-17T21:09:47Z</dcterms:modified>
</cp:coreProperties>
</file>