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424B" w14:textId="77777777" w:rsidR="00680AA9" w:rsidRDefault="00087BC4">
      <w:pPr>
        <w:pStyle w:val="Title"/>
      </w:pPr>
      <w:r>
        <w:t>Genetic Analysis of a Metazoan Pathway using Transcriptomic Phenotypes</w:t>
      </w:r>
    </w:p>
    <w:p w14:paraId="325E1CDA" w14:textId="77777777" w:rsidR="00680AA9" w:rsidRDefault="001F47E9">
      <w:pPr>
        <w:pStyle w:val="FirstParagraph"/>
      </w:pPr>
      <w:r>
        <w:t>B</w:t>
      </w:r>
      <w:r w:rsidR="00087BC4">
        <w:t>y definition, phenotypes are measurable traits that are related to genotypes via a formal mapping function. A requirement for a genetic relationship to exist is that two genes must act on the same phenotype. However, the converse, that two genes share a ph</w:t>
      </w:r>
      <w:r w:rsidR="00087BC4">
        <w:t xml:space="preserve">enotype, does not imply that these genes interact. One way to prove genetic interaction is to measure epistasis in a double mutant. Epistasis refers to changes in a phenotype that are not additive and epistatic analysis remains an important cornerstone of </w:t>
      </w:r>
      <w:r w:rsidR="00087BC4">
        <w:t>genetics today .</w:t>
      </w:r>
    </w:p>
    <w:p w14:paraId="5F85965C" w14:textId="77777777" w:rsidR="00680AA9" w:rsidRDefault="00087BC4">
      <w:pPr>
        <w:pStyle w:val="BodyText"/>
      </w:pPr>
      <w:r>
        <w:t xml:space="preserve">Previous work in </w:t>
      </w:r>
      <w:r>
        <w:rPr>
          <w:i/>
        </w:rPr>
        <w:t>S. cerevisiae</w:t>
      </w:r>
      <w:r>
        <w:t xml:space="preserve"> and </w:t>
      </w:r>
      <w:r>
        <w:rPr>
          <w:i/>
        </w:rPr>
        <w:t>D. discoideum</w:t>
      </w:r>
      <w:r>
        <w:t xml:space="preserve"> has shown that transcriptomes contain sufficient information to infer genetic relationships in a simple eukaryote . This early work was performed using microarray technology, which suffered </w:t>
      </w:r>
      <w:r>
        <w:t xml:space="preserve">from drawbacks related to sensitivity. New technologies such as RNA-seq  do not suffer from these drawbacks. Developments in the area of transcriptomics have also made important progress towards cheaper sequencing , better read alignment  and differential </w:t>
      </w:r>
      <w:r>
        <w:t xml:space="preserve">analysis . As a result, RNA-seq has been used to identify key regulatory modules involved in a variety of processes, including T-cell regulation , the </w:t>
      </w:r>
      <w:r>
        <w:rPr>
          <w:i/>
        </w:rPr>
        <w:t>C. elegans</w:t>
      </w:r>
      <w:r>
        <w:t xml:space="preserve"> linker cell , or planarian stem cell identification . However, even in these novel application</w:t>
      </w:r>
      <w:r>
        <w:t>s, transcriptomes largely serve a descriptive role, and are important for hypothesis generation and target acquisition as opposed to hypothesis testing and model creation.</w:t>
      </w:r>
    </w:p>
    <w:p w14:paraId="22E625FC" w14:textId="77777777" w:rsidR="00680AA9" w:rsidRDefault="00087BC4">
      <w:pPr>
        <w:pStyle w:val="BodyText"/>
      </w:pPr>
      <w:r>
        <w:t>To investigate the ability of transcriptomes to serve as quantitative phenotypes, we</w:t>
      </w:r>
      <w:r>
        <w:t xml:space="preserve"> selected mutants in the </w:t>
      </w:r>
      <w:r>
        <w:rPr>
          <w:i/>
        </w:rPr>
        <w:t>C. elegans</w:t>
      </w:r>
      <w:r>
        <w:t xml:space="preserve"> hypoxia pathway for transcriptome sequencing. The hypoxia pathway is a conserved pathway that is found in all metazoans . It plays an important role in oxygen and iron homeostasis and in the immune response among others </w:t>
      </w:r>
      <w:r>
        <w:t xml:space="preserve">, and it is believed to play an important role in cancer appearance and progression, making it an attractive therapeutic target for disease . In </w:t>
      </w:r>
      <w:r>
        <w:rPr>
          <w:i/>
        </w:rPr>
        <w:t>C. elegans</w:t>
      </w:r>
      <w:r>
        <w:t xml:space="preserve"> and other systems, HIF-1 is constitutively degraded by a futile cycle that involves hydroxylation by</w:t>
      </w:r>
      <w:r>
        <w:t xml:space="preserve"> the EGLN1 ortholog EGL-9, followed by ubiquitination by the von Hippel-Lindau Suppressor 1, VHL-1 . Inhibition of hydroxylation leads to accumulation of activated HIF-1 . Among the known targets of HIF-1 activation are </w:t>
      </w:r>
      <w:r>
        <w:rPr>
          <w:i/>
        </w:rPr>
        <w:t>rhy-1</w:t>
      </w:r>
      <w:r>
        <w:t xml:space="preserve"> and </w:t>
      </w:r>
      <w:r>
        <w:rPr>
          <w:i/>
        </w:rPr>
        <w:t>egl-9</w:t>
      </w:r>
      <w:r>
        <w:t>. Increased RHY-1 lev</w:t>
      </w:r>
      <w:r>
        <w:t>els lead to activation of EGL-9 protein by inhibition of CYSL-1 which is an inhibitor of EGL-9 .</w:t>
      </w:r>
    </w:p>
    <w:p w14:paraId="724BF0DD" w14:textId="77777777" w:rsidR="00680AA9" w:rsidRDefault="00087BC4">
      <w:pPr>
        <w:pStyle w:val="BodyText"/>
      </w:pPr>
      <w:r>
        <w:t>Here, we show that transcriptomes contain extremely strong, robust signals that can be used to infer relationships between genes in complex metazoans by recons</w:t>
      </w:r>
      <w:r>
        <w:t xml:space="preserve">tructing a the hypoxia pathway in </w:t>
      </w:r>
      <w:r>
        <w:rPr>
          <w:i/>
        </w:rPr>
        <w:t>C. elegans</w:t>
      </w:r>
      <w:r>
        <w:t xml:space="preserve"> using RNA-seq in a blinded manner. Our goal is not to generate a high-quality database of hypoxia-related genes, but rather to perform a quantitative genetic analysis analogous to classical genetics. Using this </w:t>
      </w:r>
      <w:r>
        <w:t xml:space="preserve">experimental setup, we show that various techniques, including pairwise comparisons, clustering or </w:t>
      </w:r>
      <w:r>
        <w:rPr>
          <w:i/>
        </w:rPr>
        <w:t>in silico</w:t>
      </w:r>
      <w:r>
        <w:t xml:space="preserve"> qPCR can be used to generate a testable model of genetic interactions. A complete, interactive version of the analysis is also available at </w:t>
      </w:r>
      <w:hyperlink r:id="rId7">
        <w:r>
          <w:rPr>
            <w:rStyle w:val="Hyperlink"/>
          </w:rPr>
          <w:t>www.wormlabcaltech.github.io/mprsq</w:t>
        </w:r>
      </w:hyperlink>
      <w:r>
        <w:t>.</w:t>
      </w:r>
    </w:p>
    <w:p w14:paraId="66643097" w14:textId="77777777" w:rsidR="00680AA9" w:rsidRDefault="00087BC4">
      <w:pPr>
        <w:pStyle w:val="Heading1"/>
      </w:pPr>
      <w:bookmarkStart w:id="0" w:name="results"/>
      <w:bookmarkEnd w:id="0"/>
      <w:r>
        <w:lastRenderedPageBreak/>
        <w:t>Results</w:t>
      </w:r>
    </w:p>
    <w:p w14:paraId="2CA8F6AF" w14:textId="77777777" w:rsidR="00680AA9" w:rsidRDefault="00087BC4">
      <w:pPr>
        <w:pStyle w:val="Heading2"/>
      </w:pPr>
      <w:bookmarkStart w:id="1" w:name="sub:Clustering"/>
      <w:bookmarkEnd w:id="1"/>
      <w:r>
        <w:t>Clustering visualizes epistatic relationships between genes</w:t>
      </w:r>
    </w:p>
    <w:p w14:paraId="690C6BA4" w14:textId="77777777" w:rsidR="00680AA9" w:rsidRDefault="00087BC4">
      <w:pPr>
        <w:pStyle w:val="FirstParagraph"/>
      </w:pPr>
      <w:r>
        <w:t>As a first step in our analysis, we analyzed our data using a generalized linear model with a genotype te</w:t>
      </w:r>
      <w:r>
        <w:t>rm (see [methods]) on logarithm-transformed counts. Genes that are significantly altered between wild-type and a given mutant have a genotype coefficient that is statistically significantly different from 0. We refer to these coefficients through the greek</w:t>
      </w:r>
      <w:r>
        <w:t xml:space="preserve"> letter </w:t>
      </w:r>
      <m:oMath>
        <m:r>
          <w:rPr>
            <w:rFonts w:ascii="Cambria Math" w:hAnsi="Cambria Math"/>
          </w:rPr>
          <m:t>β</m:t>
        </m:r>
      </m:oMath>
      <w:r>
        <w:t xml:space="preserve">. These coefficients are not identical to the average log-fold change per gene, although they are loosely related to this quantity. In general, larger </w:t>
      </w:r>
      <m:oMath>
        <m:r>
          <w:rPr>
            <w:rFonts w:ascii="Cambria Math" w:hAnsi="Cambria Math"/>
          </w:rPr>
          <m:t>β</m:t>
        </m:r>
      </m:oMath>
      <w:r>
        <w:t xml:space="preserve"> magnitudes correspond to larger perturbations. These coefficients can be used to study the R</w:t>
      </w:r>
      <w:r>
        <w:t>NA-seq data in question.</w:t>
      </w:r>
    </w:p>
    <w:p w14:paraId="1C8A6B24" w14:textId="77777777" w:rsidR="00680AA9" w:rsidRDefault="00087BC4">
      <w:pPr>
        <w:pStyle w:val="BodyText"/>
      </w:pPr>
      <w:r>
        <w:t xml:space="preserve">Clustering is a well-known technique in bioinformatics that is used to identify relationships between data . We wanted to make sure that clustering by differential expression yielded genetically relevant information. </w:t>
      </w:r>
      <w:r>
        <w:rPr>
          <w:i/>
        </w:rPr>
        <w:t>hif-1</w:t>
      </w:r>
      <w:r>
        <w:t xml:space="preserve"> is known</w:t>
      </w:r>
      <w:r>
        <w:t xml:space="preserve"> to be inhibited by a pathway involving </w:t>
      </w:r>
      <w:r>
        <w:rPr>
          <w:i/>
        </w:rPr>
        <w:t>egl-9</w:t>
      </w:r>
      <w:r>
        <w:t xml:space="preserve">, </w:t>
      </w:r>
      <w:r>
        <w:rPr>
          <w:i/>
        </w:rPr>
        <w:t>vhl-1</w:t>
      </w:r>
      <w:r>
        <w:t xml:space="preserve"> and </w:t>
      </w:r>
      <w:r>
        <w:rPr>
          <w:i/>
        </w:rPr>
        <w:t>rhy-1</w:t>
      </w:r>
      <w:r>
        <w:t xml:space="preserve">. </w:t>
      </w:r>
      <w:r>
        <w:rPr>
          <w:i/>
        </w:rPr>
        <w:t>egl-9</w:t>
      </w:r>
      <w:r>
        <w:t xml:space="preserve">; </w:t>
      </w:r>
      <w:r>
        <w:rPr>
          <w:i/>
        </w:rPr>
        <w:t>hif-1</w:t>
      </w:r>
      <w:r>
        <w:t xml:space="preserve"> mutants exhibit suppression of the </w:t>
      </w:r>
      <w:r>
        <w:rPr>
          <w:i/>
        </w:rPr>
        <w:t>egl</w:t>
      </w:r>
      <w:r>
        <w:t xml:space="preserve"> phenotype. Given this information, </w:t>
      </w:r>
      <w:r>
        <w:rPr>
          <w:i/>
        </w:rPr>
        <w:t>hif-1</w:t>
      </w:r>
      <w:r>
        <w:t xml:space="preserve"> should cluster near the </w:t>
      </w:r>
      <w:r>
        <w:rPr>
          <w:i/>
        </w:rPr>
        <w:t>egl-9</w:t>
      </w:r>
      <w:r>
        <w:t xml:space="preserve">; </w:t>
      </w:r>
      <w:r>
        <w:rPr>
          <w:i/>
        </w:rPr>
        <w:t>hif-1</w:t>
      </w:r>
      <w:r>
        <w:t xml:space="preserve"> double mutant. Indeed, when blind, unsupervised clustering was</w:t>
      </w:r>
      <w:r>
        <w:t xml:space="preserve"> performed on the data, three clusters emerged. </w:t>
      </w:r>
      <w:r>
        <w:rPr>
          <w:i/>
        </w:rPr>
        <w:t>hif-1</w:t>
      </w:r>
      <w:r>
        <w:t xml:space="preserve"> and </w:t>
      </w:r>
      <w:r>
        <w:rPr>
          <w:i/>
        </w:rPr>
        <w:t>egl-9</w:t>
      </w:r>
      <w:r>
        <w:t>;</w:t>
      </w:r>
      <w:r>
        <w:rPr>
          <w:i/>
        </w:rPr>
        <w:t>hif-1</w:t>
      </w:r>
      <w:r>
        <w:t xml:space="preserve"> clustered together, indicating suppression of the </w:t>
      </w:r>
      <w:r>
        <w:rPr>
          <w:i/>
        </w:rPr>
        <w:t>egl-9</w:t>
      </w:r>
      <w:r>
        <w:t xml:space="preserve"> phenotype; whereas </w:t>
      </w:r>
      <w:r>
        <w:rPr>
          <w:i/>
        </w:rPr>
        <w:t>egl-9</w:t>
      </w:r>
      <w:r>
        <w:t xml:space="preserve">, </w:t>
      </w:r>
      <w:r>
        <w:rPr>
          <w:i/>
        </w:rPr>
        <w:t>egl-9</w:t>
      </w:r>
      <w:r>
        <w:t>;</w:t>
      </w:r>
      <w:r>
        <w:rPr>
          <w:i/>
        </w:rPr>
        <w:t>vhl-1</w:t>
      </w:r>
      <w:r>
        <w:t xml:space="preserve">, </w:t>
      </w:r>
      <w:r>
        <w:rPr>
          <w:i/>
        </w:rPr>
        <w:t>vhl-1</w:t>
      </w:r>
      <w:r>
        <w:t xml:space="preserve"> and </w:t>
      </w:r>
      <w:r>
        <w:rPr>
          <w:i/>
        </w:rPr>
        <w:t>rhy-1</w:t>
      </w:r>
      <w:r>
        <w:t xml:space="preserve"> all clustered separately. Finally, our negative control </w:t>
      </w:r>
      <w:r>
        <w:rPr>
          <w:i/>
        </w:rPr>
        <w:t>fog-2</w:t>
      </w:r>
      <w:r>
        <w:t xml:space="preserve"> </w:t>
      </w:r>
      <w:r>
        <w:t>was in its own cluster (see Fig. [fig:dendrogram]). Thus, we conclude that expression data contains enough signal to cluster genes in a meaningful manner.</w:t>
      </w:r>
    </w:p>
    <w:p w14:paraId="053D0186" w14:textId="77777777" w:rsidR="00680AA9" w:rsidRDefault="00087BC4">
      <w:pPr>
        <w:pStyle w:val="FigurewithCaption"/>
      </w:pPr>
      <w:r>
        <w:rPr>
          <w:noProof/>
        </w:rPr>
        <w:drawing>
          <wp:inline distT="0" distB="0" distL="0" distR="0" wp14:anchorId="56D33B14" wp14:editId="008E5E96">
            <wp:extent cx="381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endrogram.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10702310" w14:textId="77777777" w:rsidR="00680AA9" w:rsidRDefault="00087BC4">
      <w:pPr>
        <w:pStyle w:val="ImageCaption"/>
      </w:pPr>
      <w:r>
        <w:t xml:space="preserve">Blind unsupervised clustering of various </w:t>
      </w:r>
      <w:r>
        <w:t>C. elegans</w:t>
      </w:r>
      <w:r>
        <w:t xml:space="preserve"> mutants. Genes cluster in a manner that is biol</w:t>
      </w:r>
      <w:r>
        <w:t xml:space="preserve">ogically intuitive. Genes that inhibit </w:t>
      </w:r>
      <w:r>
        <w:t>hif-1</w:t>
      </w:r>
      <w:r>
        <w:t xml:space="preserve"> (i.e, </w:t>
      </w:r>
      <w:r>
        <w:t>egl-9</w:t>
      </w:r>
      <w:r>
        <w:t xml:space="preserve">, </w:t>
      </w:r>
      <w:r>
        <w:t>vhl-1</w:t>
      </w:r>
      <w:r>
        <w:t xml:space="preserve">, and </w:t>
      </w:r>
      <w:r>
        <w:t>rhy-1</w:t>
      </w:r>
      <w:r>
        <w:t xml:space="preserve">) cluster far from </w:t>
      </w:r>
      <w:r>
        <w:t>hif-1</w:t>
      </w:r>
      <w:r>
        <w:t xml:space="preserve">. </w:t>
      </w:r>
      <w:r>
        <w:t>hif-1</w:t>
      </w:r>
      <w:r>
        <w:t xml:space="preserve"> clusters with the suppressed </w:t>
      </w:r>
      <w:r>
        <w:t>egl-9</w:t>
      </w:r>
      <w:r>
        <w:t xml:space="preserve">; </w:t>
      </w:r>
      <w:r>
        <w:t>hif-1</w:t>
      </w:r>
      <w:r>
        <w:t xml:space="preserve"> double mutant. A control gene, </w:t>
      </w:r>
      <w:r>
        <w:t>fog-2</w:t>
      </w:r>
      <w:r>
        <w:t>, clusters farthest away.</w:t>
      </w:r>
    </w:p>
    <w:p w14:paraId="38FDC4D3" w14:textId="77777777" w:rsidR="00680AA9" w:rsidRDefault="00087BC4">
      <w:pPr>
        <w:pStyle w:val="Heading2"/>
      </w:pPr>
      <w:bookmarkStart w:id="2" w:name="sub:Transcriptomic_genetic_analyses"/>
      <w:bookmarkEnd w:id="2"/>
      <w:r>
        <w:lastRenderedPageBreak/>
        <w:t>Transcriptomic correlations can predict geneti</w:t>
      </w:r>
      <w:r>
        <w:t>c regulation</w:t>
      </w:r>
    </w:p>
    <w:p w14:paraId="7A74AC57" w14:textId="77777777" w:rsidR="00680AA9" w:rsidRDefault="00087BC4">
      <w:pPr>
        <w:pStyle w:val="FirstParagraph"/>
      </w:pPr>
      <w:r>
        <w:t>Theoretically, two genes that share linear positive regulation should be positively correlated in their overlapping transcriptomes, whereas two genes that share linear negative regulation should be negatively correlated in their transcriptomes</w:t>
      </w:r>
      <w:r>
        <w:t xml:space="preserve">. Formally, if we consider that a gene </w:t>
      </w:r>
      <w:r>
        <w:rPr>
          <w:i/>
        </w:rPr>
        <w:t>A</w:t>
      </w:r>
      <w:r>
        <w:t xml:space="preserve"> has a transcriptome </w:t>
      </w:r>
      <w:r>
        <w:rPr>
          <w:i/>
        </w:rPr>
        <w:t>{A}</w:t>
      </w:r>
      <w:r>
        <w:t xml:space="preserve"> associated with it, and if we consider a second gene </w:t>
      </w:r>
      <w:r>
        <w:rPr>
          <w:i/>
        </w:rPr>
        <w:t>B</w:t>
      </w:r>
      <w:r>
        <w:t xml:space="preserve"> with an associated transcriptome </w:t>
      </w:r>
      <w:r>
        <w:rPr>
          <w:i/>
        </w:rPr>
        <w:t>{B}</w:t>
      </w:r>
      <w:r>
        <w:t xml:space="preserve"> that is activated by </w:t>
      </w:r>
      <w:r>
        <w:rPr>
          <w:i/>
        </w:rPr>
        <w:t>A</w:t>
      </w:r>
      <w:r>
        <w:t xml:space="preserve"> (that is, </w:t>
      </w:r>
      <m:oMath>
        <m:r>
          <w:rPr>
            <w:rFonts w:ascii="Cambria Math" w:hAnsi="Cambria Math"/>
          </w:rPr>
          <m:t>B</m:t>
        </m:r>
        <m:r>
          <w:rPr>
            <w:rFonts w:ascii="Cambria Math" w:hAnsi="Cambria Math"/>
          </w:rPr>
          <m:t>∈{</m:t>
        </m:r>
        <m:r>
          <w:rPr>
            <w:rFonts w:ascii="Cambria Math" w:hAnsi="Cambria Math"/>
          </w:rPr>
          <m:t>A</m:t>
        </m:r>
        <m:r>
          <w:rPr>
            <w:rFonts w:ascii="Cambria Math" w:hAnsi="Cambria Math"/>
          </w:rPr>
          <m:t>}</m:t>
        </m:r>
      </m:oMath>
      <w:r>
        <w:t xml:space="preserve">, such that </w:t>
      </w:r>
      <m:oMath>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oMath>
      <w:r>
        <w:t>), then it follows that genetic knocko</w:t>
      </w:r>
      <w:r>
        <w:t xml:space="preserve">ut of </w:t>
      </w:r>
      <w:r>
        <w:rPr>
          <w:i/>
        </w:rPr>
        <w:t>A</w:t>
      </w:r>
      <w:r>
        <w:t xml:space="preserve"> or </w:t>
      </w:r>
      <w:r>
        <w:rPr>
          <w:i/>
        </w:rPr>
        <w:t>B</w:t>
      </w:r>
      <w:r>
        <w:t xml:space="preserve"> should both lead to the same perturbation of the transcriptome </w:t>
      </w:r>
      <w:r>
        <w:rPr>
          <w:i/>
        </w:rPr>
        <w:t>{B}</w:t>
      </w:r>
      <w:r>
        <w:t>. Conversely, it follows that if two mutants have overlapping transcriptomes, and if these transcriptomes have a strong positive association, it is likely that these two genes s</w:t>
      </w:r>
      <w:r>
        <w:t>hare a positive regulatory association. In other words, transcriptomic correlation is a good predictor of genetic regulation. For a formal introduction to the genetic logic, see S.I..</w:t>
      </w:r>
    </w:p>
    <w:p w14:paraId="69046FB4" w14:textId="77777777" w:rsidR="00680AA9" w:rsidRDefault="00087BC4">
      <w:pPr>
        <w:pStyle w:val="BodyText"/>
      </w:pPr>
      <w:r>
        <w:t>Although transcriptomic correlations could theoretically be used for the</w:t>
      </w:r>
      <w:r>
        <w:t xml:space="preserve"> purposes of identifying genetic regulation, noise from measuring 20,000 genes in multiple different genotypes can cause serious interference with any inferences. Additionally, genes sometimes experience multiple modes of regulation, including positive and</w:t>
      </w:r>
      <w:r>
        <w:t xml:space="preserve"> negative regulation, from the same gene or pathway. Because we are measuring the system at steady state, both modes of regulation will be measured simultaneously. If a positive and a negative signal are both present in a transcriptome, running a naive reg</w:t>
      </w:r>
      <w:r>
        <w:t xml:space="preserve">ression may result in a value close to zero. Therefore, we took steps to mitigate noise emanating from frequent outliers. As a first mitigation attempt, we rank-tranformed the </w:t>
      </w:r>
      <m:oMath>
        <m:r>
          <w:rPr>
            <w:rFonts w:ascii="Cambria Math" w:hAnsi="Cambria Math"/>
          </w:rPr>
          <m:t>β</m:t>
        </m:r>
      </m:oMath>
      <w:r>
        <w:t xml:space="preserve"> coefficients for each mutant. This has the effect of mitigating outliers by r</w:t>
      </w:r>
      <w:r>
        <w:t>esetting the difference between adjacent coefficients to unity. Secondly, we performed robust Bayesian regressions using a Student T distribution as a prior. A Student T distribution decays less quickly than a normal distribution, which causes the model to</w:t>
      </w:r>
      <w:r>
        <w:t xml:space="preserve"> consider outliers to be less informative than traditional frequentist regressions which effectively use a normal prior.</w:t>
      </w:r>
    </w:p>
    <w:p w14:paraId="6A3E2E05" w14:textId="77777777" w:rsidR="00680AA9" w:rsidRDefault="00087BC4">
      <w:pPr>
        <w:pStyle w:val="FigurewithCaption"/>
      </w:pPr>
      <w:r>
        <w:rPr>
          <w:noProof/>
        </w:rPr>
        <w:drawing>
          <wp:inline distT="0" distB="0" distL="0" distR="0" wp14:anchorId="70CF5EAE" wp14:editId="5E703046">
            <wp:extent cx="2680335" cy="25979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pdf"/>
                    <pic:cNvPicPr>
                      <a:picLocks noChangeAspect="1" noChangeArrowheads="1"/>
                    </pic:cNvPicPr>
                  </pic:nvPicPr>
                  <pic:blipFill>
                    <a:blip r:embed="rId9"/>
                    <a:stretch>
                      <a:fillRect/>
                    </a:stretch>
                  </pic:blipFill>
                  <pic:spPr bwMode="auto">
                    <a:xfrm>
                      <a:off x="0" y="0"/>
                      <a:ext cx="2691063" cy="2608385"/>
                    </a:xfrm>
                    <a:prstGeom prst="rect">
                      <a:avLst/>
                    </a:prstGeom>
                    <a:noFill/>
                    <a:ln w="9525">
                      <a:noFill/>
                      <a:headEnd/>
                      <a:tailEnd/>
                    </a:ln>
                  </pic:spPr>
                </pic:pic>
              </a:graphicData>
            </a:graphic>
          </wp:inline>
        </w:drawing>
      </w:r>
    </w:p>
    <w:p w14:paraId="6E7869A7" w14:textId="77777777" w:rsidR="00680AA9" w:rsidRDefault="00087BC4">
      <w:pPr>
        <w:pStyle w:val="ImageCaption"/>
      </w:pPr>
      <w:r>
        <w:rPr>
          <w:b/>
        </w:rPr>
        <w:t>Top</w:t>
      </w:r>
      <w:r>
        <w:t xml:space="preserve"> Schematic Diagram showing that genes that interact positively should have a positive transcriptomic correlation, whereas genes th</w:t>
      </w:r>
      <w:r>
        <w:t xml:space="preserve">at interact negatively should have a negative </w:t>
      </w:r>
      <w:r>
        <w:lastRenderedPageBreak/>
        <w:t>correlation. Single genes are referred to by their names (A, B), and the transcriptome associated only with gene X is referred to as {X}. We use superscripts to denote expression level. In this case, 0 = no exp</w:t>
      </w:r>
      <w:r>
        <w:t>ression (knockout); 1 = WT level; 2 = Greater than WT level. </w:t>
      </w:r>
      <w:r>
        <w:rPr>
          <w:b/>
        </w:rPr>
        <w:t>Bottom</w:t>
      </w:r>
      <w:r>
        <w:t xml:space="preserve"> Empirical demonstration that transcriptomes between two interacting genes can be extremely well correlated when genes are ranked by expression changes relative to a wild-type.</w:t>
      </w:r>
    </w:p>
    <w:p w14:paraId="1C7A24D4" w14:textId="77777777" w:rsidR="00680AA9" w:rsidRDefault="00087BC4">
      <w:pPr>
        <w:pStyle w:val="BodyText"/>
      </w:pPr>
      <w:r>
        <w:t>Having mitig</w:t>
      </w:r>
      <w:r>
        <w:t>ated the effect of outliers, we saw that for certain gene pairs, their transcriptomes correlated very well when genes were ranked by their expression changes (see Fig. [fig:genetic_interactions]). Having confirmed that we can extract strong signals from th</w:t>
      </w:r>
      <w:r>
        <w:t>ese transcriptomes, we proceeded to generate all pairwise correlations between transcriptomes and we weighted the correlations by the number of genes that participated in the correlation (that were not outliers) divided by the total number of genes detecte</w:t>
      </w:r>
      <w:r>
        <w:t xml:space="preserve">d in all samples. The regression slopes recapitulated a network with three ‘modules’: A control module, a responder module and an uncorrelated module (see Fig. [fig:heatmap]). We were able to identify a strong positive interaction between </w:t>
      </w:r>
      <w:r>
        <w:rPr>
          <w:i/>
        </w:rPr>
        <w:t>egl-9</w:t>
      </w:r>
      <w:r>
        <w:t xml:space="preserve"> and </w:t>
      </w:r>
      <w:r>
        <w:rPr>
          <w:i/>
        </w:rPr>
        <w:t>rhy-1</w:t>
      </w:r>
      <w:r>
        <w:t xml:space="preserve">. </w:t>
      </w:r>
      <w:r>
        <w:t>Part of the reason for this lies in the fact that the transcriptomes for these genes consisted of 1487 and 1816 significantly altered genes respectively and the overlap between both genes was quite extensive. On the other hand, none of the primary correlat</w:t>
      </w:r>
      <w:r>
        <w:t xml:space="preserve">ions between </w:t>
      </w:r>
      <w:r>
        <w:rPr>
          <w:i/>
        </w:rPr>
        <w:t>hif-1</w:t>
      </w:r>
      <w:r>
        <w:t xml:space="preserve"> and its controlling genes are negative. We suspect that this is a result of the profound control that </w:t>
      </w:r>
      <w:r>
        <w:rPr>
          <w:i/>
        </w:rPr>
        <w:t>hif-1</w:t>
      </w:r>
      <w:r>
        <w:t xml:space="preserve"> exerts on </w:t>
      </w:r>
      <w:r>
        <w:rPr>
          <w:i/>
        </w:rPr>
        <w:t>egl-9</w:t>
      </w:r>
      <w:r>
        <w:t xml:space="preserve"> and </w:t>
      </w:r>
      <w:r>
        <w:rPr>
          <w:i/>
        </w:rPr>
        <w:t>rhy-1</w:t>
      </w:r>
      <w:r>
        <w:t>. See SI A and B for an exhaustive analysis of the expected and observed correlation between each gene p</w:t>
      </w:r>
      <w:r>
        <w:t>air in this circuit respectively.</w:t>
      </w:r>
    </w:p>
    <w:p w14:paraId="14E3A7EB" w14:textId="77777777" w:rsidR="00680AA9" w:rsidRDefault="00087BC4">
      <w:pPr>
        <w:pStyle w:val="FigurewithCaption"/>
      </w:pPr>
      <w:r>
        <w:rPr>
          <w:noProof/>
        </w:rPr>
        <w:drawing>
          <wp:inline distT="0" distB="0" distL="0" distR="0" wp14:anchorId="10F8C493" wp14:editId="3299F865">
            <wp:extent cx="3137535"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bayesian_heat_map.pdf"/>
                    <pic:cNvPicPr>
                      <a:picLocks noChangeAspect="1" noChangeArrowheads="1"/>
                    </pic:cNvPicPr>
                  </pic:nvPicPr>
                  <pic:blipFill>
                    <a:blip r:embed="rId10"/>
                    <a:stretch>
                      <a:fillRect/>
                    </a:stretch>
                  </pic:blipFill>
                  <pic:spPr bwMode="auto">
                    <a:xfrm>
                      <a:off x="0" y="0"/>
                      <a:ext cx="3137535" cy="2540000"/>
                    </a:xfrm>
                    <a:prstGeom prst="rect">
                      <a:avLst/>
                    </a:prstGeom>
                    <a:noFill/>
                    <a:ln w="9525">
                      <a:noFill/>
                      <a:headEnd/>
                      <a:tailEnd/>
                    </a:ln>
                  </pic:spPr>
                </pic:pic>
              </a:graphicData>
            </a:graphic>
          </wp:inline>
        </w:drawing>
      </w:r>
    </w:p>
    <w:p w14:paraId="7CADA01C" w14:textId="77777777" w:rsidR="00680AA9" w:rsidRDefault="00087BC4">
      <w:pPr>
        <w:pStyle w:val="ImageCaption"/>
      </w:pPr>
      <w:r>
        <w:rPr>
          <w:b/>
        </w:rPr>
        <w:t>Top</w:t>
      </w:r>
      <w:r>
        <w:t xml:space="preserve">: Heatmap showing pairwise regression values between all single mutants. </w:t>
      </w:r>
      <w:r>
        <w:rPr>
          <w:b/>
        </w:rPr>
        <w:t>Bottom</w:t>
      </w:r>
      <w:r>
        <w:t>: Correlation network drawn from the diagram. Edge width is directly proportional to the regression value.</w:t>
      </w:r>
    </w:p>
    <w:p w14:paraId="2BE445CA" w14:textId="77777777" w:rsidR="00680AA9" w:rsidRDefault="00087BC4">
      <w:pPr>
        <w:pStyle w:val="BodyText"/>
      </w:pPr>
      <w:r>
        <w:t>Previous work in the hypoxia pa</w:t>
      </w:r>
      <w:r>
        <w:t xml:space="preserve">thway suggests that this pathway may have feedback loops. Using the same genetic formalism as above, we realized that interactomes due to the fine-grained nature of the data can identify two regulatory interactions if they are of opposite sign. Consider a </w:t>
      </w:r>
      <w:r>
        <w:t xml:space="preserve">system in which an arbitrary gene A activates a gene B, which in turn blocks a gene C. Each gene X has a specific transcriptome </w:t>
      </w:r>
      <w:r>
        <w:rPr>
          <w:i/>
        </w:rPr>
        <w:t>{X}</w:t>
      </w:r>
      <w:r>
        <w:t xml:space="preserve">.Under this system, B and </w:t>
      </w:r>
      <w:r>
        <w:lastRenderedPageBreak/>
        <w:t>C should have transcriptomes that are negatively correlated. If C activates A, however, then knocki</w:t>
      </w:r>
      <w:r>
        <w:t>ng out B should augment expression of C, which should in turn increase expression of A. However, knocking out C should lead to less A, which in turn will lead to less B. Under this thought experiment, suppose that we know the specific transcriptomes associ</w:t>
      </w:r>
      <w:r>
        <w:t>ated with A, B and C:</w:t>
      </w:r>
      <w:r>
        <w:rPr>
          <w:i/>
        </w:rPr>
        <w:t>{A}</w:t>
      </w:r>
      <w:r>
        <w:t xml:space="preserve">, </w:t>
      </w:r>
      <w:r>
        <w:rPr>
          <w:i/>
        </w:rPr>
        <w:t>{B}</w:t>
      </w:r>
      <w:r>
        <w:t xml:space="preserve">, </w:t>
      </w:r>
      <w:r>
        <w:rPr>
          <w:i/>
        </w:rPr>
        <w:t>{C}</w:t>
      </w:r>
      <w:r>
        <w:t xml:space="preserve">. Then it must be the case that the genetic knockout of B must have a perturbed transcriptomes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w:r>
        <w:t xml:space="preserve">-in other words, knocking out B increases the levels of A, which leads to an overexpression perturbation of the specific transcriptome associated with A, and so forth. On the other hand, knocking out C must lead to the perturbed transcriptomes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0</m:t>
            </m:r>
          </m:sup>
        </m:sSup>
        <m:r>
          <w:rPr>
            <w:rFonts w:ascii="Cambria Math" w:hAnsi="Cambria Math"/>
          </w:rPr>
          <m:t>}</m:t>
        </m:r>
      </m:oMath>
      <w:r>
        <w:t>. Now, if we were able to correlate each specific transcriptome between correlations, we would find that the specific transcriptomes associated with A and C are anti-correlated; whereas the specific transcriptome associated with B is correlated betwee</w:t>
      </w:r>
      <w:r>
        <w:t xml:space="preserve">n both genotypes. This should lead to a characteristic </w:t>
      </w:r>
      <w:r>
        <w:rPr>
          <w:i/>
        </w:rPr>
        <w:t>X</w:t>
      </w:r>
      <w:r>
        <w:t xml:space="preserve"> pattern in the ranked data. Although in this particular example the cross is due to feedback loops, it is important to point out that there are other patterns that could generate crosses.</w:t>
      </w:r>
    </w:p>
    <w:p w14:paraId="6F561459" w14:textId="77777777" w:rsidR="00680AA9" w:rsidRDefault="00087BC4">
      <w:pPr>
        <w:pStyle w:val="FigurewithCaption"/>
      </w:pPr>
      <w:r>
        <w:rPr>
          <w:noProof/>
        </w:rPr>
        <w:drawing>
          <wp:inline distT="0" distB="0" distL="0" distR="0" wp14:anchorId="57DB0EFC" wp14:editId="09DAC0A7">
            <wp:extent cx="2451735"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2.pdf"/>
                    <pic:cNvPicPr>
                      <a:picLocks noChangeAspect="1" noChangeArrowheads="1"/>
                    </pic:cNvPicPr>
                  </pic:nvPicPr>
                  <pic:blipFill>
                    <a:blip r:embed="rId11"/>
                    <a:stretch>
                      <a:fillRect/>
                    </a:stretch>
                  </pic:blipFill>
                  <pic:spPr bwMode="auto">
                    <a:xfrm>
                      <a:off x="0" y="0"/>
                      <a:ext cx="2451735" cy="2540000"/>
                    </a:xfrm>
                    <a:prstGeom prst="rect">
                      <a:avLst/>
                    </a:prstGeom>
                    <a:noFill/>
                    <a:ln w="9525">
                      <a:noFill/>
                      <a:headEnd/>
                      <a:tailEnd/>
                    </a:ln>
                  </pic:spPr>
                </pic:pic>
              </a:graphicData>
            </a:graphic>
          </wp:inline>
        </w:drawing>
      </w:r>
    </w:p>
    <w:p w14:paraId="54577C7D" w14:textId="77777777" w:rsidR="00680AA9" w:rsidRDefault="00087BC4">
      <w:pPr>
        <w:pStyle w:val="ImageCaption"/>
      </w:pPr>
      <w:r>
        <w:rPr>
          <w:b/>
        </w:rPr>
        <w:t>Top</w:t>
      </w:r>
      <w:r>
        <w:t>: A fe</w:t>
      </w:r>
      <w:r>
        <w:t xml:space="preserve">edback loop can generate transcriptomes that are both correlated and anti-correlated. </w:t>
      </w:r>
      <w:r>
        <w:rPr>
          <w:b/>
        </w:rPr>
        <w:t>Bottom</w:t>
      </w:r>
      <w:r>
        <w:t xml:space="preserve">: </w:t>
      </w:r>
      <w:r>
        <w:t>hif-1</w:t>
      </w:r>
      <w:r>
        <w:t xml:space="preserve"> transcriptome correlated to the </w:t>
      </w:r>
      <w:r>
        <w:t>rhy-1</w:t>
      </w:r>
      <w:r>
        <w:t xml:space="preserve"> transcriptome. Green large points are inliers to the first regression. Red small points are outliers to the first regr</w:t>
      </w:r>
      <w:r>
        <w:t>ession. Only the red small points were used for the secondary regression. Blue lines are representative samples of the primary bootstrapped regression lines. Orange lines are representative samples of the secondary bootstrapped regression lines.</w:t>
      </w:r>
    </w:p>
    <w:p w14:paraId="3B4F9F74" w14:textId="77777777" w:rsidR="00680AA9" w:rsidRDefault="00087BC4">
      <w:pPr>
        <w:pStyle w:val="BodyText"/>
      </w:pPr>
      <w:r>
        <w:t xml:space="preserve">We investigated whether any pairwise comparisons between our single mutants generated this cross pattern. Indeed, we found that comparing </w:t>
      </w:r>
      <w:r>
        <w:rPr>
          <w:i/>
        </w:rPr>
        <w:t>hif-1</w:t>
      </w:r>
      <w:r>
        <w:t xml:space="preserve"> with </w:t>
      </w:r>
      <w:r>
        <w:rPr>
          <w:i/>
        </w:rPr>
        <w:t>rhy-1</w:t>
      </w:r>
      <w:r>
        <w:t xml:space="preserve">, and </w:t>
      </w:r>
      <w:r>
        <w:rPr>
          <w:i/>
        </w:rPr>
        <w:t>hif-1</w:t>
      </w:r>
      <w:r>
        <w:t xml:space="preserve"> with </w:t>
      </w:r>
      <w:r>
        <w:rPr>
          <w:i/>
        </w:rPr>
        <w:t>egl-9</w:t>
      </w:r>
      <w:r>
        <w:t xml:space="preserve"> yielded negative correlations, as did </w:t>
      </w:r>
      <w:r>
        <w:rPr>
          <w:i/>
        </w:rPr>
        <w:t>rhy-1</w:t>
      </w:r>
      <w:r>
        <w:t xml:space="preserve"> and </w:t>
      </w:r>
      <w:r>
        <w:rPr>
          <w:i/>
        </w:rPr>
        <w:t>vhl-1</w:t>
      </w:r>
      <w:r>
        <w:t>. While the number of gene</w:t>
      </w:r>
      <w:r>
        <w:t>s that lead these negative correlations is not significant as assessed by a hypergeometric test, these outliers are expected for this circuit (see SI). Statistical information should be integrated holistically with genetic models to assess whether outliers</w:t>
      </w:r>
      <w:r>
        <w:t xml:space="preserve"> are meaningful or not. Since </w:t>
      </w:r>
      <w:r>
        <w:rPr>
          <w:i/>
        </w:rPr>
        <w:t>hif-1</w:t>
      </w:r>
      <w:r>
        <w:t xml:space="preserve"> was off in the conditions under which we performed our experiment, measurement of the </w:t>
      </w:r>
      <w:r>
        <w:rPr>
          <w:i/>
        </w:rPr>
        <w:t>hif-1</w:t>
      </w:r>
      <w:r>
        <w:t xml:space="preserve"> transcriptome is difficult and we suspect the small number of outliers is the result of this low resolution.</w:t>
      </w:r>
    </w:p>
    <w:p w14:paraId="78A4E906" w14:textId="77777777" w:rsidR="00680AA9" w:rsidRDefault="00087BC4">
      <w:pPr>
        <w:pStyle w:val="Heading2"/>
      </w:pPr>
      <w:bookmarkStart w:id="3" w:name="sub:qPCR"/>
      <w:bookmarkEnd w:id="3"/>
      <w:r>
        <w:rPr>
          <w:i/>
        </w:rPr>
        <w:lastRenderedPageBreak/>
        <w:t>in silico</w:t>
      </w:r>
      <w:r>
        <w:t xml:space="preserve"> qPCR reve</w:t>
      </w:r>
      <w:r>
        <w:t>als extensive feedback in the hypoxia pathway</w:t>
      </w:r>
    </w:p>
    <w:p w14:paraId="698C7ABF" w14:textId="77777777" w:rsidR="00680AA9" w:rsidRDefault="00087BC4">
      <w:pPr>
        <w:pStyle w:val="FirstParagraph"/>
      </w:pPr>
      <w:r>
        <w:t xml:space="preserve">We realized that our dataset enabled us to perform a sort of </w:t>
      </w:r>
      <w:r>
        <w:rPr>
          <w:i/>
        </w:rPr>
        <w:t>in silico</w:t>
      </w:r>
      <w:r>
        <w:t xml:space="preserve"> qPCR. To verify the quality of our data and the veracity of </w:t>
      </w:r>
      <w:r>
        <w:rPr>
          <w:i/>
        </w:rPr>
        <w:t>in silico</w:t>
      </w:r>
      <w:r>
        <w:t xml:space="preserve"> qPCR, we first queried the changes in expression of </w:t>
      </w:r>
      <w:r>
        <w:rPr>
          <w:i/>
        </w:rPr>
        <w:t>nhr-57</w:t>
      </w:r>
      <w:r>
        <w:t>. This part</w:t>
      </w:r>
      <w:r>
        <w:t xml:space="preserve">icular reporter has been shown to be under direct control of </w:t>
      </w:r>
      <w:r>
        <w:rPr>
          <w:i/>
        </w:rPr>
        <w:t>hif-1</w:t>
      </w:r>
      <w:r>
        <w:t xml:space="preserve">. Thus, we expected that this gene should go up in </w:t>
      </w:r>
      <w:r>
        <w:rPr>
          <w:i/>
        </w:rPr>
        <w:t>egl-9</w:t>
      </w:r>
      <w:r>
        <w:t xml:space="preserve">, </w:t>
      </w:r>
      <w:r>
        <w:rPr>
          <w:i/>
        </w:rPr>
        <w:t>rhy-1</w:t>
      </w:r>
      <w:r>
        <w:t xml:space="preserve"> and </w:t>
      </w:r>
      <w:r>
        <w:rPr>
          <w:i/>
        </w:rPr>
        <w:t>vhl-1</w:t>
      </w:r>
      <w:r>
        <w:t xml:space="preserve">, and it should be unchanged in </w:t>
      </w:r>
      <w:r>
        <w:rPr>
          <w:i/>
        </w:rPr>
        <w:t>hif-1</w:t>
      </w:r>
      <w:r>
        <w:t xml:space="preserve">. The epistasis test, using the double </w:t>
      </w:r>
      <w:r>
        <w:rPr>
          <w:i/>
        </w:rPr>
        <w:t>egl-9</w:t>
      </w:r>
      <w:r>
        <w:t>;</w:t>
      </w:r>
      <w:r>
        <w:rPr>
          <w:i/>
        </w:rPr>
        <w:t>hif-1</w:t>
      </w:r>
      <w:r>
        <w:t xml:space="preserve"> double mutant should result i</w:t>
      </w:r>
      <w:r>
        <w:t xml:space="preserve">n no change; whereas the </w:t>
      </w:r>
      <w:r>
        <w:rPr>
          <w:i/>
        </w:rPr>
        <w:t>egl-9</w:t>
      </w:r>
      <w:r>
        <w:t>;</w:t>
      </w:r>
      <w:r>
        <w:rPr>
          <w:i/>
        </w:rPr>
        <w:t>vhl-1</w:t>
      </w:r>
      <w:r>
        <w:t xml:space="preserve"> double mutant should have a similar change to the </w:t>
      </w:r>
      <w:r>
        <w:rPr>
          <w:i/>
        </w:rPr>
        <w:t>vhl-1</w:t>
      </w:r>
      <w:r>
        <w:t xml:space="preserve"> and the </w:t>
      </w:r>
      <w:r>
        <w:rPr>
          <w:i/>
        </w:rPr>
        <w:t>egl-9</w:t>
      </w:r>
      <w:r>
        <w:t xml:space="preserve"> mutants. In fact, our datasets reflected these known interactions, showing that the RNA-seq measurements can be used in a semi-quantitative fashion t</w:t>
      </w:r>
      <w:r>
        <w:t xml:space="preserve">o perform inferences on genetic regulation. Next, we decided to perform </w:t>
      </w:r>
      <w:r>
        <w:rPr>
          <w:i/>
        </w:rPr>
        <w:t>in silico</w:t>
      </w:r>
      <w:r>
        <w:t xml:space="preserve"> qPCR of every gene under scrutiny to get a clearer idea of the relationships between them (see Fig. [fig:qPCR]). We found that </w:t>
      </w:r>
      <w:r>
        <w:rPr>
          <w:i/>
        </w:rPr>
        <w:t>rhy-1</w:t>
      </w:r>
      <w:r>
        <w:t xml:space="preserve"> transcription levels, and to a lesser ext</w:t>
      </w:r>
      <w:r>
        <w:t xml:space="preserve">ent </w:t>
      </w:r>
      <w:r>
        <w:rPr>
          <w:i/>
        </w:rPr>
        <w:t>egl-9</w:t>
      </w:r>
      <w:r>
        <w:t xml:space="preserve"> levels were increased by mutations in </w:t>
      </w:r>
      <w:r>
        <w:rPr>
          <w:i/>
        </w:rPr>
        <w:t>egl-9</w:t>
      </w:r>
      <w:r>
        <w:t xml:space="preserve">, </w:t>
      </w:r>
      <w:r>
        <w:rPr>
          <w:i/>
        </w:rPr>
        <w:t>rhy-1</w:t>
      </w:r>
      <w:r>
        <w:t xml:space="preserve"> and </w:t>
      </w:r>
      <w:r>
        <w:rPr>
          <w:i/>
        </w:rPr>
        <w:t>vhl-1</w:t>
      </w:r>
      <w:r>
        <w:t xml:space="preserve">. This suggests that </w:t>
      </w:r>
      <w:r>
        <w:rPr>
          <w:i/>
        </w:rPr>
        <w:t>hif-1</w:t>
      </w:r>
      <w:r>
        <w:t xml:space="preserve"> is a positive regulator of </w:t>
      </w:r>
      <w:r>
        <w:rPr>
          <w:i/>
        </w:rPr>
        <w:t>rhy-1</w:t>
      </w:r>
      <w:r>
        <w:t xml:space="preserve">. Given that </w:t>
      </w:r>
      <w:r>
        <w:rPr>
          <w:i/>
        </w:rPr>
        <w:t>rhy-1</w:t>
      </w:r>
      <w:r>
        <w:t xml:space="preserve"> post-translationally controls </w:t>
      </w:r>
      <w:r>
        <w:rPr>
          <w:i/>
        </w:rPr>
        <w:t>egl-9</w:t>
      </w:r>
      <w:r>
        <w:t xml:space="preserve"> , it is unlikely that the increase in </w:t>
      </w:r>
      <w:r>
        <w:rPr>
          <w:i/>
        </w:rPr>
        <w:t>egl-9</w:t>
      </w:r>
      <w:r>
        <w:t xml:space="preserve"> is driven by the increase in</w:t>
      </w:r>
      <w:r>
        <w:t xml:space="preserve"> </w:t>
      </w:r>
      <w:r>
        <w:rPr>
          <w:i/>
        </w:rPr>
        <w:t>rhy-1</w:t>
      </w:r>
      <w:r>
        <w:t xml:space="preserve"> levels. Therefore, our experiment also suggests that </w:t>
      </w:r>
      <w:r>
        <w:rPr>
          <w:i/>
        </w:rPr>
        <w:t>hif-1</w:t>
      </w:r>
      <w:r>
        <w:t xml:space="preserve"> is a positive regulator of </w:t>
      </w:r>
      <w:r>
        <w:rPr>
          <w:i/>
        </w:rPr>
        <w:t>egl-9</w:t>
      </w:r>
      <w:r>
        <w:t xml:space="preserve">. On the other hand, we also discovered that mutation of </w:t>
      </w:r>
      <w:r>
        <w:rPr>
          <w:i/>
        </w:rPr>
        <w:t>hif-1</w:t>
      </w:r>
      <w:r>
        <w:t xml:space="preserve"> increased levels of </w:t>
      </w:r>
      <w:r>
        <w:rPr>
          <w:i/>
        </w:rPr>
        <w:t>rhy-1</w:t>
      </w:r>
      <w:r>
        <w:t xml:space="preserve">. This suggests that </w:t>
      </w:r>
      <w:r>
        <w:rPr>
          <w:i/>
        </w:rPr>
        <w:t>hif-1</w:t>
      </w:r>
      <w:r>
        <w:t xml:space="preserve"> is also a negative regulator of </w:t>
      </w:r>
      <w:r>
        <w:rPr>
          <w:i/>
        </w:rPr>
        <w:t>rhy-1</w:t>
      </w:r>
      <w:r>
        <w:t xml:space="preserve">. One </w:t>
      </w:r>
      <w:r>
        <w:t xml:space="preserve">potential mechanism through which </w:t>
      </w:r>
      <w:r>
        <w:rPr>
          <w:i/>
        </w:rPr>
        <w:t>hif-1</w:t>
      </w:r>
      <w:r>
        <w:t xml:space="preserve"> could be both a positive and a negative regulator would be for hydroxylation of </w:t>
      </w:r>
      <w:r>
        <w:rPr>
          <w:i/>
        </w:rPr>
        <w:t>hif-1</w:t>
      </w:r>
      <w:r>
        <w:t xml:space="preserve"> to change its activity. Under this mechanism, loss of </w:t>
      </w:r>
      <w:r>
        <w:rPr>
          <w:i/>
        </w:rPr>
        <w:t>hif-1</w:t>
      </w:r>
      <w:r>
        <w:t xml:space="preserve"> hydroxylation leads to activation of </w:t>
      </w:r>
      <w:r>
        <w:rPr>
          <w:i/>
        </w:rPr>
        <w:t>rhy-1</w:t>
      </w:r>
      <w:r>
        <w:t xml:space="preserve"> and </w:t>
      </w:r>
      <w:r>
        <w:rPr>
          <w:i/>
        </w:rPr>
        <w:t>egl-9</w:t>
      </w:r>
      <w:r>
        <w:t xml:space="preserve"> as a homeostatic </w:t>
      </w:r>
      <w:r>
        <w:t>mechanism, whereas excessive hydroxylation causes inhibition of these genes.</w:t>
      </w:r>
    </w:p>
    <w:p w14:paraId="4D4DDD0F" w14:textId="77777777" w:rsidR="00680AA9" w:rsidRDefault="00087BC4">
      <w:pPr>
        <w:pStyle w:val="BodyText"/>
      </w:pPr>
      <w:r>
        <w:t xml:space="preserve">Whereas loss of hydroxylation seems to lead to overexpression of </w:t>
      </w:r>
      <w:r>
        <w:rPr>
          <w:i/>
        </w:rPr>
        <w:t>rhy-1</w:t>
      </w:r>
      <w:r>
        <w:t xml:space="preserve"> and </w:t>
      </w:r>
      <w:r>
        <w:rPr>
          <w:i/>
        </w:rPr>
        <w:t>egl-9</w:t>
      </w:r>
      <w:r>
        <w:t xml:space="preserve">, there is no change in </w:t>
      </w:r>
      <w:r>
        <w:rPr>
          <w:i/>
        </w:rPr>
        <w:t>hif-1</w:t>
      </w:r>
      <w:r>
        <w:t xml:space="preserve"> levels. The only change in expression level of this gene occurs in th</w:t>
      </w:r>
      <w:r>
        <w:t xml:space="preserve">e </w:t>
      </w:r>
      <w:r>
        <w:rPr>
          <w:i/>
        </w:rPr>
        <w:t>hif-1</w:t>
      </w:r>
      <w:r>
        <w:t xml:space="preserve"> mutant</w:t>
      </w:r>
      <w:r>
        <w:rPr>
          <w:rStyle w:val="FootnoteReference"/>
        </w:rPr>
        <w:footnoteReference w:id="1"/>
      </w:r>
      <w:r>
        <w:t xml:space="preserve">. Therefore, we postulate that </w:t>
      </w:r>
      <w:r>
        <w:rPr>
          <w:i/>
        </w:rPr>
        <w:t>hif-1</w:t>
      </w:r>
      <w:r>
        <w:t xml:space="preserve"> positively autoregulates itself only in its non-hydroxylated state. We propose that increasing HIF-1 levels through inactivation of EGL-9 does not increase </w:t>
      </w:r>
      <w:r>
        <w:rPr>
          <w:i/>
        </w:rPr>
        <w:t>hif-1</w:t>
      </w:r>
      <w:r>
        <w:t xml:space="preserve"> mRNA levels because </w:t>
      </w:r>
      <w:r>
        <w:rPr>
          <w:i/>
        </w:rPr>
        <w:t>hif-1</w:t>
      </w:r>
      <w:r>
        <w:t xml:space="preserve"> is already autoa</w:t>
      </w:r>
      <w:r>
        <w:t>ctivating at its maximum rate under normoxia, which should happen if HIF-1 has a very strong tendency to autoactivate.</w:t>
      </w:r>
    </w:p>
    <w:p w14:paraId="3F2662F7" w14:textId="77777777" w:rsidR="00680AA9" w:rsidRDefault="00087BC4">
      <w:pPr>
        <w:pStyle w:val="BodyText"/>
      </w:pPr>
      <w:r>
        <w:t xml:space="preserve">Performing the </w:t>
      </w:r>
      <w:r>
        <w:rPr>
          <w:i/>
        </w:rPr>
        <w:t>in silico</w:t>
      </w:r>
      <w:r>
        <w:t xml:space="preserve"> experiment with the </w:t>
      </w:r>
      <w:r>
        <w:rPr>
          <w:i/>
        </w:rPr>
        <w:t>egl-9</w:t>
      </w:r>
      <w:r>
        <w:t>;</w:t>
      </w:r>
      <w:r>
        <w:rPr>
          <w:i/>
        </w:rPr>
        <w:t>vhl-1</w:t>
      </w:r>
      <w:r>
        <w:t xml:space="preserve"> double mutant shows a similar increase in activity of the two genes in question.</w:t>
      </w:r>
      <w:r>
        <w:t xml:space="preserve"> This provides confirmatory evidence that </w:t>
      </w:r>
      <w:r>
        <w:rPr>
          <w:i/>
        </w:rPr>
        <w:t>hif-1</w:t>
      </w:r>
      <w:r>
        <w:t xml:space="preserve"> up-regulates </w:t>
      </w:r>
      <w:r>
        <w:rPr>
          <w:i/>
        </w:rPr>
        <w:t>egl-9</w:t>
      </w:r>
      <w:r>
        <w:t xml:space="preserve">, but also suggests that </w:t>
      </w:r>
      <w:r>
        <w:rPr>
          <w:i/>
        </w:rPr>
        <w:t>egl-9</w:t>
      </w:r>
      <w:r>
        <w:t xml:space="preserve"> and </w:t>
      </w:r>
      <w:r>
        <w:rPr>
          <w:i/>
        </w:rPr>
        <w:t>vhl-1</w:t>
      </w:r>
      <w:r>
        <w:t xml:space="preserve"> are epistatic to one another. Such epistasis can only occur in one of two ways: Either the genes are acting linearly, or they are acting in AND gated</w:t>
      </w:r>
      <w:r>
        <w:t xml:space="preserve"> fashion, with both genes required to mediate an effect. Similarly, the </w:t>
      </w:r>
      <w:r>
        <w:rPr>
          <w:i/>
        </w:rPr>
        <w:t>egl-9</w:t>
      </w:r>
      <w:r>
        <w:t>;</w:t>
      </w:r>
      <w:r>
        <w:rPr>
          <w:i/>
        </w:rPr>
        <w:t>hif-1</w:t>
      </w:r>
      <w:r>
        <w:t xml:space="preserve"> double mutant exhibits the same expression profile as </w:t>
      </w:r>
      <w:r>
        <w:rPr>
          <w:i/>
        </w:rPr>
        <w:t>hif-1</w:t>
      </w:r>
      <w:r>
        <w:t xml:space="preserve">, which means </w:t>
      </w:r>
      <w:r>
        <w:rPr>
          <w:i/>
        </w:rPr>
        <w:t>egl-9</w:t>
      </w:r>
      <w:r>
        <w:t xml:space="preserve"> is an inhibitor of </w:t>
      </w:r>
      <w:r>
        <w:rPr>
          <w:i/>
        </w:rPr>
        <w:t>hif-1</w:t>
      </w:r>
      <w:r>
        <w:t>.</w:t>
      </w:r>
    </w:p>
    <w:p w14:paraId="3EAF6164" w14:textId="77777777" w:rsidR="00680AA9" w:rsidRDefault="00087BC4">
      <w:pPr>
        <w:pStyle w:val="FigurewithCaption"/>
      </w:pPr>
      <w:r>
        <w:rPr>
          <w:noProof/>
        </w:rPr>
        <w:lastRenderedPageBreak/>
        <w:drawing>
          <wp:inline distT="0" distB="0" distL="0" distR="0" wp14:anchorId="281D77BF" wp14:editId="0D87B341">
            <wp:extent cx="3810000" cy="254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qpcr.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693813FD" w14:textId="77777777" w:rsidR="00680AA9" w:rsidRDefault="00087BC4">
      <w:pPr>
        <w:pStyle w:val="ImageCaption"/>
      </w:pPr>
      <w:r>
        <w:rPr>
          <w:b/>
        </w:rPr>
        <w:t>Top</w:t>
      </w:r>
      <w:r>
        <w:t xml:space="preserve">: </w:t>
      </w:r>
      <w:r>
        <w:t>In silico</w:t>
      </w:r>
      <w:r>
        <w:t xml:space="preserve"> qPCR results. </w:t>
      </w:r>
      <w:r>
        <w:t>nhr-57</w:t>
      </w:r>
      <w:r>
        <w:t xml:space="preserve"> is an expression reporter tha</w:t>
      </w:r>
      <w:r>
        <w:t xml:space="preserve">t has been used previously to identify </w:t>
      </w:r>
      <w:r>
        <w:t>hif-1</w:t>
      </w:r>
      <w:r>
        <w:t xml:space="preserve"> regulators . The </w:t>
      </w:r>
      <w:r>
        <w:t>nhr-57</w:t>
      </w:r>
      <w:r>
        <w:t xml:space="preserve"> mRNA levels replicate what is observed in the literature and serves as a quality control for our dataset. </w:t>
      </w:r>
      <w:r>
        <w:t>lam-3</w:t>
      </w:r>
      <w:r>
        <w:t xml:space="preserve"> is a negative control that should not be involved in this pathway. Changes </w:t>
      </w:r>
      <w:r>
        <w:t xml:space="preserve">in the hypoxia pathway suggest that </w:t>
      </w:r>
      <w:r>
        <w:t>hif-1</w:t>
      </w:r>
      <w:r>
        <w:t xml:space="preserve"> activates </w:t>
      </w:r>
      <w:r>
        <w:t>rhy-1</w:t>
      </w:r>
      <w:r>
        <w:t xml:space="preserve">, and possibly </w:t>
      </w:r>
      <w:r>
        <w:t>egl-9</w:t>
      </w:r>
      <w:r>
        <w:t xml:space="preserve">, when it is not hydroxylated. </w:t>
      </w:r>
      <w:r>
        <w:t>hif-1</w:t>
      </w:r>
      <w:r>
        <w:t xml:space="preserve"> also appears to autoactivate in a hydroxylation-dependent manner.</w:t>
      </w:r>
    </w:p>
    <w:p w14:paraId="2763C8DF" w14:textId="77777777" w:rsidR="00680AA9" w:rsidRDefault="00087BC4">
      <w:pPr>
        <w:pStyle w:val="FigurewithCaption"/>
      </w:pPr>
      <w:r>
        <w:rPr>
          <w:noProof/>
        </w:rPr>
        <w:drawing>
          <wp:inline distT="0" distB="0" distL="0" distR="0" wp14:anchorId="29F4886D" wp14:editId="25227FD6">
            <wp:extent cx="2451735" cy="254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functional_distance.pdf"/>
                    <pic:cNvPicPr>
                      <a:picLocks noChangeAspect="1" noChangeArrowheads="1"/>
                    </pic:cNvPicPr>
                  </pic:nvPicPr>
                  <pic:blipFill>
                    <a:blip r:embed="rId13"/>
                    <a:stretch>
                      <a:fillRect/>
                    </a:stretch>
                  </pic:blipFill>
                  <pic:spPr bwMode="auto">
                    <a:xfrm>
                      <a:off x="0" y="0"/>
                      <a:ext cx="2451735" cy="2540000"/>
                    </a:xfrm>
                    <a:prstGeom prst="rect">
                      <a:avLst/>
                    </a:prstGeom>
                    <a:noFill/>
                    <a:ln w="9525">
                      <a:noFill/>
                      <a:headEnd/>
                      <a:tailEnd/>
                    </a:ln>
                  </pic:spPr>
                </pic:pic>
              </a:graphicData>
            </a:graphic>
          </wp:inline>
        </w:drawing>
      </w:r>
      <w:bookmarkStart w:id="4" w:name="_GoBack"/>
      <w:bookmarkEnd w:id="4"/>
    </w:p>
    <w:p w14:paraId="3A1DE56F" w14:textId="77777777" w:rsidR="00680AA9" w:rsidRDefault="00087BC4">
      <w:pPr>
        <w:pStyle w:val="ImageCaption"/>
      </w:pPr>
      <w:r>
        <w:t>Top: Pairwise weighted correlations between transcriptomes can be used to infer functional distance between interacting genetic partners. Pairwise correlations are ordered by increasing network distance between genes. Correlations were weighted by the frac</w:t>
      </w:r>
      <w:r>
        <w:t xml:space="preserve">tion of genes that overlapped between the two genes being compared. Notice that correlations involving the </w:t>
      </w:r>
      <w:r>
        <w:t>fog-2</w:t>
      </w:r>
      <w:r>
        <w:t xml:space="preserve"> negative control are very near zero. Error bars represent standard deviation of the weighted correlation. Bottom: Simplified schematic of the h</w:t>
      </w:r>
      <w:r>
        <w:t>ypoxia pathway shown to illustrate functional distance between genes in the pathway.</w:t>
      </w:r>
    </w:p>
    <w:p w14:paraId="27F7A5AC" w14:textId="77777777" w:rsidR="00680AA9" w:rsidRDefault="00087BC4">
      <w:pPr>
        <w:pStyle w:val="BodyText"/>
      </w:pPr>
      <w:r>
        <w:t xml:space="preserve">In summary, the </w:t>
      </w:r>
      <w:r>
        <w:rPr>
          <w:i/>
        </w:rPr>
        <w:t>in silico</w:t>
      </w:r>
      <w:r>
        <w:t xml:space="preserve"> qPCR results suggest that </w:t>
      </w:r>
      <w:r>
        <w:rPr>
          <w:i/>
        </w:rPr>
        <w:t>egl-9</w:t>
      </w:r>
      <w:r>
        <w:t xml:space="preserve"> and </w:t>
      </w:r>
      <w:r>
        <w:rPr>
          <w:i/>
        </w:rPr>
        <w:t>vhl-1</w:t>
      </w:r>
      <w:r>
        <w:t xml:space="preserve"> act in concert to inhibit </w:t>
      </w:r>
      <w:r>
        <w:rPr>
          <w:i/>
        </w:rPr>
        <w:t>hif-1</w:t>
      </w:r>
      <w:r>
        <w:t>. Likewise, these results taken together with the transcriptome-wide cro</w:t>
      </w:r>
      <w:r>
        <w:t xml:space="preserve">ss-patterns </w:t>
      </w:r>
      <w:r>
        <w:lastRenderedPageBreak/>
        <w:t xml:space="preserve">that emerge from pairwise comparisons between genes in the hypoxia pathway suggest that there are positive and negative feedback loops feeding into </w:t>
      </w:r>
      <w:r>
        <w:rPr>
          <w:i/>
        </w:rPr>
        <w:t>rhy-1</w:t>
      </w:r>
      <w:r>
        <w:t xml:space="preserve"> and possibly </w:t>
      </w:r>
      <w:r>
        <w:rPr>
          <w:i/>
        </w:rPr>
        <w:t>egl-9</w:t>
      </w:r>
      <w:r>
        <w:t xml:space="preserve">. These feedack loops explain why </w:t>
      </w:r>
      <w:r>
        <w:rPr>
          <w:i/>
        </w:rPr>
        <w:t>hif-1</w:t>
      </w:r>
      <w:r>
        <w:t xml:space="preserve"> is positively transcriptomically</w:t>
      </w:r>
      <w:r>
        <w:t xml:space="preserve"> correlated with </w:t>
      </w:r>
      <w:r>
        <w:rPr>
          <w:i/>
        </w:rPr>
        <w:t>egl-9</w:t>
      </w:r>
      <w:r>
        <w:t>.</w:t>
      </w:r>
    </w:p>
    <w:p w14:paraId="629B82DC" w14:textId="77777777" w:rsidR="00680AA9" w:rsidRDefault="00087BC4">
      <w:pPr>
        <w:pStyle w:val="Heading2"/>
      </w:pPr>
      <w:bookmarkStart w:id="5" w:name="sub:Epistasis"/>
      <w:bookmarkEnd w:id="5"/>
      <w:r>
        <w:t>Epistasis effects can be detected and quantified.</w:t>
      </w:r>
    </w:p>
    <w:p w14:paraId="02F827CA" w14:textId="77777777" w:rsidR="00680AA9" w:rsidRDefault="00087BC4">
      <w:pPr>
        <w:pStyle w:val="FirstParagraph"/>
      </w:pPr>
      <w:r>
        <w:t xml:space="preserve">To discover whether there is evidence of </w:t>
      </w:r>
      <w:r>
        <w:rPr>
          <w:i/>
        </w:rPr>
        <w:t>egl-9</w:t>
      </w:r>
      <w:r>
        <w:t xml:space="preserve"> and </w:t>
      </w:r>
      <w:r>
        <w:rPr>
          <w:i/>
        </w:rPr>
        <w:t>vhl-1</w:t>
      </w:r>
      <w:r>
        <w:t xml:space="preserve"> acting independently of each other in our dataset, we identified the genes that were shared between each single mutant and th</w:t>
      </w:r>
      <w:r>
        <w:t xml:space="preserve">e double mutant </w:t>
      </w:r>
      <w:r>
        <w:rPr>
          <w:i/>
        </w:rPr>
        <w:t>egl-9</w:t>
      </w:r>
      <w:r>
        <w:t>;</w:t>
      </w:r>
      <w:r>
        <w:rPr>
          <w:i/>
        </w:rPr>
        <w:t>vhl-1</w:t>
      </w:r>
      <w:r>
        <w:t xml:space="preserve">. If two genes act, for example, in a linear manner, then the double mutant should exhibit an identical phenotype to each single mutant. To test such a relationship, we can plot the change in </w:t>
      </w:r>
      <m:oMath>
        <m:r>
          <w:rPr>
            <w:rFonts w:ascii="Cambria Math" w:hAnsi="Cambria Math"/>
          </w:rPr>
          <m:t>β</m:t>
        </m:r>
      </m:oMath>
      <w:r>
        <w:t xml:space="preserve"> coefficients between a single and </w:t>
      </w:r>
      <w:r>
        <w:t xml:space="preserve">double mutant versus the </w:t>
      </w:r>
      <m:oMath>
        <m:r>
          <w:rPr>
            <w:rFonts w:ascii="Cambria Math" w:hAnsi="Cambria Math"/>
          </w:rPr>
          <m:t>β</m:t>
        </m:r>
      </m:oMath>
      <w:r>
        <w:t xml:space="preserve"> coefficient in the respective single mutant and fitting a weighted linear regression to measure the slope of best fit. Genes that act in a linear pathway should yield lines with a slope of 0. Genes that have some additive flavor</w:t>
      </w:r>
      <w:r>
        <w:t xml:space="preserve"> should have slopes greater than 0. Suppression, a hallmark of inhibition, should yield a slope less than 0.</w:t>
      </w:r>
    </w:p>
    <w:p w14:paraId="051B1926" w14:textId="77777777" w:rsidR="00680AA9" w:rsidRDefault="00087BC4">
      <w:pPr>
        <w:pStyle w:val="BodyText"/>
      </w:pPr>
      <w:r>
        <w:t xml:space="preserve">We observe that the </w:t>
      </w:r>
      <w:r>
        <w:rPr>
          <w:i/>
        </w:rPr>
        <w:t>egl-9</w:t>
      </w:r>
      <w:r>
        <w:t>;</w:t>
      </w:r>
      <w:r>
        <w:rPr>
          <w:i/>
        </w:rPr>
        <w:t>vhl-1</w:t>
      </w:r>
      <w:r>
        <w:t xml:space="preserve"> mutant has an identical phenotype to the </w:t>
      </w:r>
      <w:r>
        <w:rPr>
          <w:i/>
        </w:rPr>
        <w:t>egl-9</w:t>
      </w:r>
      <w:r>
        <w:t xml:space="preserve"> single mutant (slope = 0; see Fig. [tab:double_mutant_comparison]). </w:t>
      </w:r>
      <w:r>
        <w:t xml:space="preserve">On the other hand, </w:t>
      </w:r>
      <w:r>
        <w:rPr>
          <w:i/>
        </w:rPr>
        <w:t>vhl-1</w:t>
      </w:r>
      <w:r>
        <w:t xml:space="preserve"> has a positive slope, indicating that </w:t>
      </w:r>
      <w:r>
        <w:rPr>
          <w:i/>
        </w:rPr>
        <w:t>egl-9</w:t>
      </w:r>
      <w:r>
        <w:t xml:space="preserve"> is additive to </w:t>
      </w:r>
      <w:r>
        <w:rPr>
          <w:i/>
        </w:rPr>
        <w:t>vhl-1</w:t>
      </w:r>
      <w:r>
        <w:t xml:space="preserve">. Such partial additivity can be explained if </w:t>
      </w:r>
      <w:r>
        <w:rPr>
          <w:i/>
        </w:rPr>
        <w:t>egl-9</w:t>
      </w:r>
      <w:r>
        <w:t xml:space="preserve"> is inhibiting </w:t>
      </w:r>
      <w:r>
        <w:rPr>
          <w:i/>
        </w:rPr>
        <w:t>hif-1</w:t>
      </w:r>
      <w:r>
        <w:t xml:space="preserve"> in a </w:t>
      </w:r>
      <w:r>
        <w:rPr>
          <w:i/>
        </w:rPr>
        <w:t>vhl-1</w:t>
      </w:r>
      <w:r>
        <w:t xml:space="preserve">-dependent as well as a </w:t>
      </w:r>
      <w:r>
        <w:rPr>
          <w:i/>
        </w:rPr>
        <w:t>vhl-1</w:t>
      </w:r>
      <w:r>
        <w:t>-independent manner .</w:t>
      </w:r>
    </w:p>
    <w:p w14:paraId="7BA07316" w14:textId="77777777" w:rsidR="00680AA9" w:rsidRDefault="00087BC4">
      <w:pPr>
        <w:pStyle w:val="TableCaption"/>
      </w:pPr>
      <w:r>
        <w:t>Response Modeling of Double Mutant</w:t>
      </w:r>
      <w:r>
        <w:t>s to Single Mutants</w:t>
      </w:r>
    </w:p>
    <w:tbl>
      <w:tblPr>
        <w:tblW w:w="0" w:type="pct"/>
        <w:tblLook w:val="07E0" w:firstRow="1" w:lastRow="1" w:firstColumn="1" w:lastColumn="1" w:noHBand="1" w:noVBand="1"/>
        <w:tblCaption w:val="Response Modeling of Double Mutants to Single Mutants"/>
      </w:tblPr>
      <w:tblGrid>
        <w:gridCol w:w="1743"/>
        <w:gridCol w:w="1632"/>
        <w:gridCol w:w="844"/>
        <w:gridCol w:w="797"/>
        <w:gridCol w:w="983"/>
      </w:tblGrid>
      <w:tr w:rsidR="00680AA9" w14:paraId="6F3364F7" w14:textId="77777777">
        <w:tc>
          <w:tcPr>
            <w:tcW w:w="0" w:type="auto"/>
            <w:tcBorders>
              <w:bottom w:val="single" w:sz="0" w:space="0" w:color="auto"/>
            </w:tcBorders>
            <w:vAlign w:val="bottom"/>
          </w:tcPr>
          <w:p w14:paraId="556C113C" w14:textId="77777777" w:rsidR="00680AA9" w:rsidRDefault="00087BC4">
            <w:pPr>
              <w:pStyle w:val="Compact"/>
            </w:pPr>
            <w:r>
              <w:t>Double Mutant</w:t>
            </w:r>
          </w:p>
        </w:tc>
        <w:tc>
          <w:tcPr>
            <w:tcW w:w="0" w:type="auto"/>
            <w:tcBorders>
              <w:bottom w:val="single" w:sz="0" w:space="0" w:color="auto"/>
            </w:tcBorders>
            <w:vAlign w:val="bottom"/>
          </w:tcPr>
          <w:p w14:paraId="2DDE1E43" w14:textId="77777777" w:rsidR="00680AA9" w:rsidRDefault="00087BC4">
            <w:pPr>
              <w:pStyle w:val="Compact"/>
            </w:pPr>
            <w:r>
              <w:t>Single Mutant</w:t>
            </w:r>
          </w:p>
        </w:tc>
        <w:tc>
          <w:tcPr>
            <w:tcW w:w="0" w:type="auto"/>
            <w:tcBorders>
              <w:bottom w:val="single" w:sz="0" w:space="0" w:color="auto"/>
            </w:tcBorders>
            <w:vAlign w:val="bottom"/>
          </w:tcPr>
          <w:p w14:paraId="3D3BC6A8" w14:textId="77777777" w:rsidR="00680AA9" w:rsidRDefault="00087BC4">
            <w:pPr>
              <w:pStyle w:val="Compact"/>
              <w:jc w:val="right"/>
            </w:pPr>
            <m:oMathPara>
              <m:oMath>
                <m:r>
                  <w:rPr>
                    <w:rFonts w:ascii="Cambria Math" w:hAnsi="Cambria Math"/>
                  </w:rPr>
                  <m:t>Δ</m:t>
                </m:r>
              </m:oMath>
            </m:oMathPara>
          </w:p>
        </w:tc>
        <w:tc>
          <w:tcPr>
            <w:tcW w:w="0" w:type="auto"/>
            <w:tcBorders>
              <w:bottom w:val="single" w:sz="0" w:space="0" w:color="auto"/>
            </w:tcBorders>
            <w:vAlign w:val="bottom"/>
          </w:tcPr>
          <w:p w14:paraId="3940FE76" w14:textId="77777777" w:rsidR="00680AA9" w:rsidRDefault="00087BC4">
            <w:pPr>
              <w:pStyle w:val="Compact"/>
              <w:jc w:val="right"/>
            </w:pPr>
            <w:r>
              <w:t>SEM</w:t>
            </w:r>
          </w:p>
        </w:tc>
        <w:tc>
          <w:tcPr>
            <w:tcW w:w="0" w:type="auto"/>
            <w:tcBorders>
              <w:bottom w:val="single" w:sz="0" w:space="0" w:color="auto"/>
            </w:tcBorders>
            <w:vAlign w:val="bottom"/>
          </w:tcPr>
          <w:p w14:paraId="0D6ED022" w14:textId="77777777" w:rsidR="00680AA9" w:rsidRDefault="00087BC4">
            <w:pPr>
              <w:pStyle w:val="Compact"/>
              <w:jc w:val="right"/>
            </w:pPr>
            <w:r>
              <w:t>p-value</w:t>
            </w:r>
          </w:p>
        </w:tc>
      </w:tr>
      <w:tr w:rsidR="00680AA9" w14:paraId="0F7AD2CC" w14:textId="77777777">
        <w:tc>
          <w:tcPr>
            <w:tcW w:w="0" w:type="auto"/>
          </w:tcPr>
          <w:p w14:paraId="21B555E9" w14:textId="77777777" w:rsidR="00680AA9" w:rsidRDefault="00087BC4">
            <w:pPr>
              <w:pStyle w:val="Compact"/>
            </w:pPr>
            <w:r>
              <w:t xml:space="preserve">1. </w:t>
            </w:r>
            <w:r>
              <w:rPr>
                <w:i/>
              </w:rPr>
              <w:t>egl-9</w:t>
            </w:r>
            <w:r>
              <w:t>;</w:t>
            </w:r>
            <w:r>
              <w:rPr>
                <w:i/>
              </w:rPr>
              <w:t>vhl-1</w:t>
            </w:r>
          </w:p>
        </w:tc>
        <w:tc>
          <w:tcPr>
            <w:tcW w:w="0" w:type="auto"/>
          </w:tcPr>
          <w:p w14:paraId="44ADA0FD" w14:textId="77777777" w:rsidR="00680AA9" w:rsidRDefault="00087BC4">
            <w:pPr>
              <w:pStyle w:val="Compact"/>
            </w:pPr>
            <w:r>
              <w:rPr>
                <w:i/>
              </w:rPr>
              <w:t>egl-9</w:t>
            </w:r>
          </w:p>
        </w:tc>
        <w:tc>
          <w:tcPr>
            <w:tcW w:w="0" w:type="auto"/>
          </w:tcPr>
          <w:p w14:paraId="5405DF7A" w14:textId="77777777" w:rsidR="00680AA9" w:rsidRDefault="00087BC4">
            <w:pPr>
              <w:pStyle w:val="Compact"/>
              <w:jc w:val="right"/>
            </w:pPr>
            <m:oMathPara>
              <m:oMath>
                <m:r>
                  <w:rPr>
                    <w:rFonts w:ascii="Cambria Math" w:hAnsi="Cambria Math"/>
                  </w:rPr>
                  <m:t>0.0</m:t>
                </m:r>
              </m:oMath>
            </m:oMathPara>
          </w:p>
        </w:tc>
        <w:tc>
          <w:tcPr>
            <w:tcW w:w="0" w:type="auto"/>
          </w:tcPr>
          <w:p w14:paraId="005B35CC" w14:textId="77777777" w:rsidR="00680AA9" w:rsidRDefault="00087BC4">
            <w:pPr>
              <w:pStyle w:val="Compact"/>
              <w:jc w:val="right"/>
            </w:pPr>
            <m:oMathPara>
              <m:oMath>
                <m:r>
                  <w:rPr>
                    <w:rFonts w:ascii="Cambria Math" w:hAnsi="Cambria Math"/>
                  </w:rPr>
                  <m:t>0.01</m:t>
                </m:r>
              </m:oMath>
            </m:oMathPara>
          </w:p>
        </w:tc>
        <w:tc>
          <w:tcPr>
            <w:tcW w:w="0" w:type="auto"/>
          </w:tcPr>
          <w:p w14:paraId="462B8ADB" w14:textId="77777777" w:rsidR="00680AA9" w:rsidRDefault="00087BC4">
            <w:pPr>
              <w:pStyle w:val="Compact"/>
              <w:jc w:val="right"/>
            </w:pPr>
            <m:oMathPara>
              <m:oMath>
                <m:r>
                  <w:rPr>
                    <w:rFonts w:ascii="Cambria Math" w:hAnsi="Cambria Math"/>
                  </w:rPr>
                  <m:t>0.81</m:t>
                </m:r>
              </m:oMath>
            </m:oMathPara>
          </w:p>
        </w:tc>
      </w:tr>
      <w:tr w:rsidR="00680AA9" w14:paraId="618680A4" w14:textId="77777777">
        <w:tc>
          <w:tcPr>
            <w:tcW w:w="0" w:type="auto"/>
          </w:tcPr>
          <w:p w14:paraId="75F598CC" w14:textId="77777777" w:rsidR="00680AA9" w:rsidRDefault="00087BC4">
            <w:pPr>
              <w:pStyle w:val="Compact"/>
            </w:pPr>
            <w:r>
              <w:t xml:space="preserve">2. </w:t>
            </w:r>
            <w:r>
              <w:rPr>
                <w:i/>
              </w:rPr>
              <w:t>egl-9</w:t>
            </w:r>
            <w:r>
              <w:t>;</w:t>
            </w:r>
            <w:r>
              <w:rPr>
                <w:i/>
              </w:rPr>
              <w:t>vhl-1</w:t>
            </w:r>
          </w:p>
        </w:tc>
        <w:tc>
          <w:tcPr>
            <w:tcW w:w="0" w:type="auto"/>
          </w:tcPr>
          <w:p w14:paraId="69F3CF41" w14:textId="77777777" w:rsidR="00680AA9" w:rsidRDefault="00087BC4">
            <w:pPr>
              <w:pStyle w:val="Compact"/>
            </w:pPr>
            <w:r>
              <w:rPr>
                <w:i/>
              </w:rPr>
              <w:t>vhl-1</w:t>
            </w:r>
          </w:p>
        </w:tc>
        <w:tc>
          <w:tcPr>
            <w:tcW w:w="0" w:type="auto"/>
          </w:tcPr>
          <w:p w14:paraId="4962E846" w14:textId="77777777" w:rsidR="00680AA9" w:rsidRDefault="00087BC4">
            <w:pPr>
              <w:pStyle w:val="Compact"/>
              <w:jc w:val="right"/>
            </w:pPr>
            <m:oMathPara>
              <m:oMath>
                <m:r>
                  <w:rPr>
                    <w:rFonts w:ascii="Cambria Math" w:hAnsi="Cambria Math"/>
                  </w:rPr>
                  <m:t>0.28</m:t>
                </m:r>
              </m:oMath>
            </m:oMathPara>
          </w:p>
        </w:tc>
        <w:tc>
          <w:tcPr>
            <w:tcW w:w="0" w:type="auto"/>
          </w:tcPr>
          <w:p w14:paraId="7275A257" w14:textId="77777777" w:rsidR="00680AA9" w:rsidRDefault="00087BC4">
            <w:pPr>
              <w:pStyle w:val="Compact"/>
              <w:jc w:val="right"/>
            </w:pPr>
            <m:oMathPara>
              <m:oMath>
                <m:r>
                  <w:rPr>
                    <w:rFonts w:ascii="Cambria Math" w:hAnsi="Cambria Math"/>
                  </w:rPr>
                  <m:t>0.033</m:t>
                </m:r>
              </m:oMath>
            </m:oMathPara>
          </w:p>
        </w:tc>
        <w:tc>
          <w:tcPr>
            <w:tcW w:w="0" w:type="auto"/>
          </w:tcPr>
          <w:p w14:paraId="25E1C670" w14:textId="77777777" w:rsidR="00680AA9" w:rsidRDefault="00087BC4">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15</m:t>
                    </m:r>
                  </m:sup>
                </m:sSup>
              </m:oMath>
            </m:oMathPara>
          </w:p>
        </w:tc>
      </w:tr>
      <w:tr w:rsidR="00680AA9" w14:paraId="753B3A74" w14:textId="77777777">
        <w:tc>
          <w:tcPr>
            <w:tcW w:w="0" w:type="auto"/>
          </w:tcPr>
          <w:p w14:paraId="0001F823" w14:textId="77777777" w:rsidR="00680AA9" w:rsidRDefault="00087BC4">
            <w:pPr>
              <w:pStyle w:val="Compact"/>
            </w:pPr>
            <w:r>
              <w:t xml:space="preserve">3. </w:t>
            </w:r>
            <w:r>
              <w:rPr>
                <w:i/>
              </w:rPr>
              <w:t>egl-9</w:t>
            </w:r>
            <w:r>
              <w:t>;</w:t>
            </w:r>
            <w:r>
              <w:rPr>
                <w:i/>
              </w:rPr>
              <w:t>hif-1</w:t>
            </w:r>
          </w:p>
        </w:tc>
        <w:tc>
          <w:tcPr>
            <w:tcW w:w="0" w:type="auto"/>
          </w:tcPr>
          <w:p w14:paraId="6699010C" w14:textId="77777777" w:rsidR="00680AA9" w:rsidRDefault="00087BC4">
            <w:pPr>
              <w:pStyle w:val="Compact"/>
            </w:pPr>
            <w:r>
              <w:rPr>
                <w:i/>
              </w:rPr>
              <w:t>egl-9</w:t>
            </w:r>
          </w:p>
        </w:tc>
        <w:tc>
          <w:tcPr>
            <w:tcW w:w="0" w:type="auto"/>
          </w:tcPr>
          <w:p w14:paraId="16CA1B41" w14:textId="77777777" w:rsidR="00680AA9" w:rsidRDefault="00087BC4">
            <w:pPr>
              <w:pStyle w:val="Compact"/>
              <w:jc w:val="right"/>
            </w:pPr>
            <m:oMathPara>
              <m:oMath>
                <m:r>
                  <w:rPr>
                    <w:rFonts w:ascii="Cambria Math" w:hAnsi="Cambria Math"/>
                  </w:rPr>
                  <m:t>-</m:t>
                </m:r>
                <m:r>
                  <w:rPr>
                    <w:rFonts w:ascii="Cambria Math" w:hAnsi="Cambria Math"/>
                  </w:rPr>
                  <m:t>0.85</m:t>
                </m:r>
              </m:oMath>
            </m:oMathPara>
          </w:p>
        </w:tc>
        <w:tc>
          <w:tcPr>
            <w:tcW w:w="0" w:type="auto"/>
          </w:tcPr>
          <w:p w14:paraId="6284518C" w14:textId="77777777" w:rsidR="00680AA9" w:rsidRDefault="00087BC4">
            <w:pPr>
              <w:pStyle w:val="Compact"/>
              <w:jc w:val="right"/>
            </w:pPr>
            <m:oMathPara>
              <m:oMath>
                <m:r>
                  <w:rPr>
                    <w:rFonts w:ascii="Cambria Math" w:hAnsi="Cambria Math"/>
                  </w:rPr>
                  <m:t>0.074</m:t>
                </m:r>
              </m:oMath>
            </m:oMathPara>
          </w:p>
        </w:tc>
        <w:tc>
          <w:tcPr>
            <w:tcW w:w="0" w:type="auto"/>
          </w:tcPr>
          <w:p w14:paraId="093945E6" w14:textId="77777777" w:rsidR="00680AA9" w:rsidRDefault="00087BC4">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13</m:t>
                    </m:r>
                  </m:sup>
                </m:sSup>
              </m:oMath>
            </m:oMathPara>
          </w:p>
        </w:tc>
      </w:tr>
      <w:tr w:rsidR="00680AA9" w14:paraId="44392186" w14:textId="77777777">
        <w:tc>
          <w:tcPr>
            <w:tcW w:w="0" w:type="auto"/>
          </w:tcPr>
          <w:p w14:paraId="7C3E734A" w14:textId="77777777" w:rsidR="00680AA9" w:rsidRDefault="00087BC4">
            <w:pPr>
              <w:pStyle w:val="Compact"/>
            </w:pPr>
            <w:r>
              <w:t xml:space="preserve">4. </w:t>
            </w:r>
            <w:r>
              <w:rPr>
                <w:i/>
              </w:rPr>
              <w:t>egl-9</w:t>
            </w:r>
            <w:r>
              <w:t>;</w:t>
            </w:r>
            <w:r>
              <w:rPr>
                <w:i/>
              </w:rPr>
              <w:t>hif-1</w:t>
            </w:r>
          </w:p>
        </w:tc>
        <w:tc>
          <w:tcPr>
            <w:tcW w:w="0" w:type="auto"/>
          </w:tcPr>
          <w:p w14:paraId="02D9E788" w14:textId="77777777" w:rsidR="00680AA9" w:rsidRDefault="00087BC4">
            <w:pPr>
              <w:pStyle w:val="Compact"/>
            </w:pPr>
            <w:r>
              <w:rPr>
                <w:i/>
              </w:rPr>
              <w:t>hif-1</w:t>
            </w:r>
          </w:p>
        </w:tc>
        <w:tc>
          <w:tcPr>
            <w:tcW w:w="0" w:type="auto"/>
          </w:tcPr>
          <w:p w14:paraId="7C93F371" w14:textId="77777777" w:rsidR="00680AA9" w:rsidRDefault="00087BC4">
            <w:pPr>
              <w:pStyle w:val="Compact"/>
              <w:jc w:val="right"/>
            </w:pPr>
            <m:oMathPara>
              <m:oMath>
                <m:r>
                  <w:rPr>
                    <w:rFonts w:ascii="Cambria Math" w:hAnsi="Cambria Math"/>
                  </w:rPr>
                  <m:t>-</m:t>
                </m:r>
                <m:r>
                  <w:rPr>
                    <w:rFonts w:ascii="Cambria Math" w:hAnsi="Cambria Math"/>
                  </w:rPr>
                  <m:t>0.18</m:t>
                </m:r>
              </m:oMath>
            </m:oMathPara>
          </w:p>
        </w:tc>
        <w:tc>
          <w:tcPr>
            <w:tcW w:w="0" w:type="auto"/>
          </w:tcPr>
          <w:p w14:paraId="52EF283E" w14:textId="77777777" w:rsidR="00680AA9" w:rsidRDefault="00087BC4">
            <w:pPr>
              <w:pStyle w:val="Compact"/>
              <w:jc w:val="right"/>
            </w:pPr>
            <m:oMathPara>
              <m:oMath>
                <m:r>
                  <w:rPr>
                    <w:rFonts w:ascii="Cambria Math" w:hAnsi="Cambria Math"/>
                  </w:rPr>
                  <m:t>0.10</m:t>
                </m:r>
              </m:oMath>
            </m:oMathPara>
          </w:p>
        </w:tc>
        <w:tc>
          <w:tcPr>
            <w:tcW w:w="0" w:type="auto"/>
          </w:tcPr>
          <w:p w14:paraId="3BE7BC8C" w14:textId="77777777" w:rsidR="00680AA9" w:rsidRDefault="00087BC4">
            <w:pPr>
              <w:pStyle w:val="Compact"/>
              <w:jc w:val="right"/>
            </w:pPr>
            <m:oMathPara>
              <m:oMath>
                <m:r>
                  <w:rPr>
                    <w:rFonts w:ascii="Cambria Math" w:hAnsi="Cambria Math"/>
                  </w:rPr>
                  <m:t>0.097</m:t>
                </m:r>
              </m:oMath>
            </m:oMathPara>
          </w:p>
        </w:tc>
      </w:tr>
    </w:tbl>
    <w:p w14:paraId="5EC7E346" w14:textId="77777777" w:rsidR="00680AA9" w:rsidRDefault="00087BC4">
      <w:pPr>
        <w:pStyle w:val="BodyText"/>
      </w:pPr>
      <w:r>
        <w:t>[tab:double_mutant_comparison]</w:t>
      </w:r>
    </w:p>
    <w:p w14:paraId="3566ED37" w14:textId="77777777" w:rsidR="00680AA9" w:rsidRDefault="00087BC4">
      <w:pPr>
        <w:pStyle w:val="BodyText"/>
      </w:pPr>
      <w:r>
        <w:t xml:space="preserve">On the other hand, comparison of the </w:t>
      </w:r>
      <w:r>
        <w:rPr>
          <w:i/>
        </w:rPr>
        <w:t>egl-9</w:t>
      </w:r>
      <w:r>
        <w:t>;</w:t>
      </w:r>
      <w:r>
        <w:rPr>
          <w:i/>
        </w:rPr>
        <w:t>hif-1</w:t>
      </w:r>
      <w:r>
        <w:t xml:space="preserve"> double mutant showed suppression of the </w:t>
      </w:r>
      <w:r>
        <w:rPr>
          <w:i/>
        </w:rPr>
        <w:t>egl-9</w:t>
      </w:r>
      <w:r>
        <w:t xml:space="preserve"> transcriptomic phenotype. This suppression is expressed in various ways. First, the double mutant shows less statistically significantly differentially expressed</w:t>
      </w:r>
      <w:r>
        <w:t xml:space="preserve"> genes than either single mutant. Secondly, these genes change less on average than they do in </w:t>
      </w:r>
      <w:r>
        <w:rPr>
          <w:i/>
        </w:rPr>
        <w:t>egl-9</w:t>
      </w:r>
      <w:r>
        <w:t xml:space="preserve">, but the average change is the same as </w:t>
      </w:r>
      <w:r>
        <w:rPr>
          <w:i/>
        </w:rPr>
        <w:t>hif-1</w:t>
      </w:r>
      <w:r>
        <w:t>.</w:t>
      </w:r>
    </w:p>
    <w:p w14:paraId="48A72954" w14:textId="77777777" w:rsidR="00680AA9" w:rsidRDefault="00087BC4">
      <w:pPr>
        <w:pStyle w:val="Heading2"/>
      </w:pPr>
      <w:bookmarkStart w:id="6" w:name="sub:decorrelation"/>
      <w:bookmarkEnd w:id="6"/>
      <w:r>
        <w:t>Transcriptomic decorrelation can be used to infer functional distance</w:t>
      </w:r>
    </w:p>
    <w:p w14:paraId="4FE946E5" w14:textId="77777777" w:rsidR="00680AA9" w:rsidRDefault="00087BC4">
      <w:pPr>
        <w:pStyle w:val="FirstParagraph"/>
      </w:pPr>
      <w:r>
        <w:t>We were interested in figuring out whet</w:t>
      </w:r>
      <w:r>
        <w:t xml:space="preserve">her RNA-seq could be used to identify functional interactions within a genetic pathway. Although there is no </w:t>
      </w:r>
      <w:r>
        <w:rPr>
          <w:i/>
        </w:rPr>
        <w:t>a priori</w:t>
      </w:r>
      <w:r>
        <w:t xml:space="preserve"> reason why global gene expression should reflect functional interactions, the strength of the unweighted correlations between genes in the</w:t>
      </w:r>
      <w:r>
        <w:t xml:space="preserve"> hypoxia pathway made us wonder how much information can be extracted from this dataset.</w:t>
      </w:r>
    </w:p>
    <w:p w14:paraId="43518EB1" w14:textId="77777777" w:rsidR="00680AA9" w:rsidRDefault="00087BC4">
      <w:pPr>
        <w:pStyle w:val="BodyText"/>
      </w:pPr>
      <w:r>
        <w:lastRenderedPageBreak/>
        <w:t>We investigated the possibility that transcriptomic signals might contain relevant information about the degrees of separation by weighting the robust bayesian regress</w:t>
      </w:r>
      <w:r>
        <w:t xml:space="preserve">ion of each pairwise analysis by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detected</m:t>
            </m:r>
          </m:sub>
        </m:sSub>
      </m:oMath>
      <w:r>
        <w:t>. We then plotted the weighted correlation of each gene pair, ordered by increasing functional distance (see Fig. [fig:decorrelation]). In every case, we see that the weighted correlation decreases monot</w:t>
      </w:r>
      <w:r>
        <w:t xml:space="preserve">onically due mainly, but not exclusively, to decreasing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oMath>
      <w:r>
        <w:t>. We believe that this result is not due to random noise or insufficiently deep sequencing. Instead, we propose a framework in which every gene is regulated by multiple different molecular sp</w:t>
      </w:r>
      <w:r>
        <w:t>ecies. Even in unbranched pathways, this would induce progressive decorrelation between genes.</w:t>
      </w:r>
    </w:p>
    <w:p w14:paraId="2ADBEB6D" w14:textId="77777777" w:rsidR="00680AA9" w:rsidRDefault="00087BC4">
      <w:pPr>
        <w:pStyle w:val="Heading2"/>
      </w:pPr>
      <w:bookmarkStart w:id="7" w:name="sub:new_biology"/>
      <w:bookmarkEnd w:id="7"/>
      <w:r>
        <w:t>Identification of novel targets and biological processes in the hypoxia response</w:t>
      </w:r>
    </w:p>
    <w:p w14:paraId="51E3873E" w14:textId="77777777" w:rsidR="00680AA9" w:rsidRDefault="00087BC4">
      <w:pPr>
        <w:pStyle w:val="FirstParagraph"/>
      </w:pPr>
      <w:r>
        <w:t>So far, our analysis has focused mainly on extracting genetic relationships betw</w:t>
      </w:r>
      <w:r>
        <w:t xml:space="preserve">een the set of mutants we sequenced. It has not escaped our attention that our dataset also provides us with a unique view of the </w:t>
      </w:r>
      <w:r>
        <w:rPr>
          <w:i/>
        </w:rPr>
        <w:t>hif-1</w:t>
      </w:r>
      <w:r>
        <w:t xml:space="preserve">-dependent response in </w:t>
      </w:r>
      <w:r>
        <w:rPr>
          <w:i/>
        </w:rPr>
        <w:t>C. elegans</w:t>
      </w:r>
      <w:r>
        <w:t>. In total, we identified 3211 differentially expressed genes that are altered in any of</w:t>
      </w:r>
      <w:r>
        <w:t xml:space="preserve"> the hypoxia pathway mutants. Of these 3211 genes, 53 genes were differentially expressed in all the hypoxia mutants. Because of the extensive feedback between </w:t>
      </w:r>
      <w:r>
        <w:rPr>
          <w:i/>
        </w:rPr>
        <w:t>hif-1</w:t>
      </w:r>
      <w:r>
        <w:t xml:space="preserve"> and </w:t>
      </w:r>
      <w:r>
        <w:rPr>
          <w:i/>
        </w:rPr>
        <w:t>egl-9</w:t>
      </w:r>
      <w:r>
        <w:t>, we expected to identify a small subset of genes that were up-regulated or down-</w:t>
      </w:r>
      <w:r>
        <w:t xml:space="preserve">regulated consistently in every hypoxia mutant except the </w:t>
      </w:r>
      <w:r>
        <w:rPr>
          <w:i/>
        </w:rPr>
        <w:t>egl-9</w:t>
      </w:r>
      <w:r>
        <w:t>;</w:t>
      </w:r>
      <w:r>
        <w:rPr>
          <w:i/>
        </w:rPr>
        <w:t>hif-1</w:t>
      </w:r>
      <w:r>
        <w:t xml:space="preserve"> double mutant. We identified 10 genes that were up-regulated in this manner, and 13 genes that were down-regulated (see SI for gene identities). These genes likely constitute a core resp</w:t>
      </w:r>
      <w:r>
        <w:t xml:space="preserve">onse around the circuit in question, and their behaviour should reflect the genetic relationships the best. Indeed, graphing these genes shows beautiful agreement with predictions (see </w:t>
      </w:r>
      <w:hyperlink r:id="rId14">
        <w:r>
          <w:rPr>
            <w:rStyle w:val="Hyperlink"/>
          </w:rPr>
          <w:t>www.wormlabcaltec</w:t>
        </w:r>
        <w:r>
          <w:rPr>
            <w:rStyle w:val="Hyperlink"/>
          </w:rPr>
          <w:t>h.github.io/mprsq</w:t>
        </w:r>
      </w:hyperlink>
      <w:r>
        <w:t xml:space="preserve"> for interactive graphics).</w:t>
      </w:r>
    </w:p>
    <w:p w14:paraId="20C83CC7" w14:textId="77777777" w:rsidR="00680AA9" w:rsidRDefault="00087BC4">
      <w:pPr>
        <w:pStyle w:val="BodyText"/>
      </w:pPr>
      <w:r>
        <w:t>In order to identify affected biological processes, we performed an in-house gene ontology enrichment analysis using annotations provided by WormBase, followng the procedure shown in TEA . Top enriched terms inc</w:t>
      </w:r>
      <w:r>
        <w:t xml:space="preserve">luded ‘hydrolase activity’ (869 observed hits; 7.8 fold change;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‘organic anion transport’ (803 hits; 7.5;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‘spliceosomal complex’ (647 hits; 8.2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‘SAM-depdendent methyltransferase activity’ </w:t>
      </w:r>
      <w:r>
        <w:t xml:space="preserve">(1215 hits; 6.6;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and ‘cell division’ (1251 hits; 7.9;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In mammals, the mammalian target of rapamycin pathway, which is intimately associated with the hypoxia pathway, has been previously linked to osmotic stress responses .</w:t>
      </w:r>
      <w:r>
        <w:t xml:space="preserve"> Our findings also suggest that the </w:t>
      </w:r>
      <w:r>
        <w:rPr>
          <w:i/>
        </w:rPr>
        <w:t>hif-1</w:t>
      </w:r>
      <w:r>
        <w:t>-dependent response causes important changes in chromatin structure via activation or recruitment of chromatin remodelling factors.</w:t>
      </w:r>
    </w:p>
    <w:p w14:paraId="3CD05D4F" w14:textId="77777777" w:rsidR="00680AA9" w:rsidRDefault="00087BC4">
      <w:pPr>
        <w:pStyle w:val="BodyText"/>
      </w:pPr>
      <w:r>
        <w:t xml:space="preserve">We also attempted to identify direct targets of the genes we studied. </w:t>
      </w:r>
      <w:r>
        <w:rPr>
          <w:i/>
        </w:rPr>
        <w:t>vhl-1</w:t>
      </w:r>
      <w:r>
        <w:t xml:space="preserve"> targets</w:t>
      </w:r>
      <w:r>
        <w:t xml:space="preserve"> were particularly easy to isolate: because </w:t>
      </w:r>
      <w:r>
        <w:rPr>
          <w:i/>
        </w:rPr>
        <w:t>vhl-1</w:t>
      </w:r>
      <w:r>
        <w:t xml:space="preserve"> has a direct role in protein degradation, direction of change is known; and because </w:t>
      </w:r>
      <w:r>
        <w:rPr>
          <w:i/>
        </w:rPr>
        <w:t>vhl-1</w:t>
      </w:r>
      <w:r>
        <w:t xml:space="preserve"> does not seem to participate in the </w:t>
      </w:r>
      <w:r>
        <w:rPr>
          <w:i/>
        </w:rPr>
        <w:t>rhy-1</w:t>
      </w:r>
      <w:r>
        <w:t xml:space="preserve">, </w:t>
      </w:r>
      <w:r>
        <w:rPr>
          <w:i/>
        </w:rPr>
        <w:t>egl-9</w:t>
      </w:r>
      <w:r>
        <w:t xml:space="preserve">, </w:t>
      </w:r>
      <w:r>
        <w:rPr>
          <w:i/>
        </w:rPr>
        <w:t>hif-1</w:t>
      </w:r>
      <w:r>
        <w:t xml:space="preserve"> feedback circuit, it is easy to isolate targets for that are</w:t>
      </w:r>
      <w:r>
        <w:t xml:space="preserve"> </w:t>
      </w:r>
      <w:r>
        <w:rPr>
          <w:i/>
        </w:rPr>
        <w:t>hif-1</w:t>
      </w:r>
      <w:r>
        <w:t xml:space="preserve">-independent. We found 25 genes that are putative candidates for </w:t>
      </w:r>
      <w:r>
        <w:rPr>
          <w:i/>
        </w:rPr>
        <w:t>vhl-1</w:t>
      </w:r>
      <w:r>
        <w:t xml:space="preserve">-targeted degradation. These 25 genes include </w:t>
      </w:r>
      <w:r>
        <w:rPr>
          <w:i/>
        </w:rPr>
        <w:t>pole-1</w:t>
      </w:r>
      <w:r>
        <w:t xml:space="preserve">, an ortholog of human polymerase </w:t>
      </w:r>
      <m:oMath>
        <m:r>
          <w:rPr>
            <w:rFonts w:ascii="Cambria Math" w:hAnsi="Cambria Math"/>
          </w:rPr>
          <m:t>ϵ</m:t>
        </m:r>
      </m:oMath>
      <w:r>
        <w:t xml:space="preserve"> catalytic subunit; </w:t>
      </w:r>
      <w:r>
        <w:rPr>
          <w:i/>
        </w:rPr>
        <w:t>F33H2.6</w:t>
      </w:r>
      <w:r>
        <w:t>, an ortholog of the human regulator of microtubule dynamics 1 (R</w:t>
      </w:r>
      <w:r>
        <w:t xml:space="preserve">MDN1); and many solute carriers. Reflecting </w:t>
      </w:r>
      <w:r>
        <w:lastRenderedPageBreak/>
        <w:t xml:space="preserve">this, enriched GO terms were ‘ion binding’, ‘growth’, ‘cell division’, ‘cell projection assembly’ as well as ‘ion binding’ and ‘divalent metal ion transport’. </w:t>
      </w:r>
      <w:r>
        <w:rPr>
          <w:i/>
        </w:rPr>
        <w:t>vhl-1</w:t>
      </w:r>
      <w:r>
        <w:t xml:space="preserve"> has been previously implicated as a controller </w:t>
      </w:r>
      <w:r>
        <w:t xml:space="preserve">of mitotic fidelity in renal cell carcinoma . Our findings support a role of </w:t>
      </w:r>
      <w:r>
        <w:rPr>
          <w:i/>
        </w:rPr>
        <w:t>vhl-1</w:t>
      </w:r>
      <w:r>
        <w:t xml:space="preserve"> in chromosomal integrity and mitotic fidelity. Recent reports also suggest that solute carriers may be associated with poor prognosis in clear-cell renal carcinoma .</w:t>
      </w:r>
    </w:p>
    <w:p w14:paraId="20987053" w14:textId="77777777" w:rsidR="00680AA9" w:rsidRDefault="00087BC4">
      <w:pPr>
        <w:pStyle w:val="BodyText"/>
      </w:pPr>
      <w:r>
        <w:t>We iden</w:t>
      </w:r>
      <w:r>
        <w:t xml:space="preserve">tified 133 genes that are activated by HIF-1. We verified that the genes we identified are actually </w:t>
      </w:r>
      <w:r>
        <w:rPr>
          <w:i/>
        </w:rPr>
        <w:t>hif-1</w:t>
      </w:r>
      <w:r>
        <w:t xml:space="preserve"> targets by searching for a set of 20 gold-standard genes from the literature  in our gene-set (see SI), and found that </w:t>
      </w:r>
      <w:r>
        <w:rPr>
          <w:i/>
        </w:rPr>
        <w:t>hif-1</w:t>
      </w:r>
      <w:r>
        <w:t xml:space="preserve"> targets were significantl</w:t>
      </w:r>
      <w:r>
        <w:t>y enriched in these genes (</w:t>
      </w:r>
      <m:oMath>
        <m:r>
          <w:rPr>
            <w:rFonts w:ascii="Cambria Math" w:hAnsi="Cambria Math"/>
          </w:rPr>
          <m:t>p</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xml:space="preserve">). GO term enrichment indicated that this list was associated with ‘cell division’, ‘SAM methyltransferase activity’ and ‘cellular modified amino acid metabolic processes’. A full list of </w:t>
      </w:r>
      <w:r>
        <w:rPr>
          <w:i/>
        </w:rPr>
        <w:t>hif-1</w:t>
      </w:r>
      <w:r>
        <w:t xml:space="preserve"> targets can be found in S.I.</w:t>
      </w:r>
      <w:r>
        <w:t>.</w:t>
      </w:r>
    </w:p>
    <w:p w14:paraId="1319E4B7" w14:textId="77777777" w:rsidR="00680AA9" w:rsidRDefault="00087BC4">
      <w:pPr>
        <w:pStyle w:val="Heading1"/>
      </w:pPr>
      <w:bookmarkStart w:id="8" w:name="discussion"/>
      <w:bookmarkEnd w:id="8"/>
      <w:r>
        <w:t>Discussion</w:t>
      </w:r>
    </w:p>
    <w:p w14:paraId="6367FBAC" w14:textId="77777777" w:rsidR="00680AA9" w:rsidRDefault="00087BC4">
      <w:pPr>
        <w:pStyle w:val="FigurewithCaption"/>
      </w:pPr>
      <w:r>
        <w:rPr>
          <w:noProof/>
        </w:rPr>
        <w:drawing>
          <wp:inline distT="0" distB="0" distL="0" distR="0" wp14:anchorId="378EFE19" wp14:editId="03B6D842">
            <wp:extent cx="3810000" cy="254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s/new_model.pd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14:paraId="272EE25B" w14:textId="77777777" w:rsidR="00680AA9" w:rsidRDefault="00087BC4">
      <w:pPr>
        <w:pStyle w:val="ImageCaption"/>
      </w:pPr>
      <w:r>
        <w:t>Top: Previous model. Bottom: Current model derived from RNA-seq data.</w:t>
      </w:r>
    </w:p>
    <w:p w14:paraId="4CAE93FA" w14:textId="77777777" w:rsidR="00680AA9" w:rsidRDefault="00087BC4">
      <w:pPr>
        <w:pStyle w:val="BodyText"/>
      </w:pPr>
      <w:r>
        <w:t xml:space="preserve">Previous work has established a circuit in which </w:t>
      </w:r>
      <w:r>
        <w:rPr>
          <w:i/>
        </w:rPr>
        <w:t>rhy-1</w:t>
      </w:r>
      <w:r>
        <w:t xml:space="preserve"> activates </w:t>
      </w:r>
      <w:r>
        <w:rPr>
          <w:i/>
        </w:rPr>
        <w:t>egl-9</w:t>
      </w:r>
      <w:r>
        <w:t xml:space="preserve"> in a linear pathway, and </w:t>
      </w:r>
      <w:r>
        <w:rPr>
          <w:i/>
        </w:rPr>
        <w:t>egl-9</w:t>
      </w:r>
      <w:r>
        <w:t xml:space="preserve"> inhibits </w:t>
      </w:r>
      <w:r>
        <w:rPr>
          <w:i/>
        </w:rPr>
        <w:t>hif-1</w:t>
      </w:r>
      <w:r>
        <w:t xml:space="preserve"> in an oxygen-dependent manner. Hydroxylated HIF-1 can </w:t>
      </w:r>
      <w:r>
        <w:t xml:space="preserve">then be degraded in a </w:t>
      </w:r>
      <w:r>
        <w:rPr>
          <w:i/>
        </w:rPr>
        <w:t>vhl-1</w:t>
      </w:r>
      <w:r>
        <w:t xml:space="preserve">-dependent manner. There is also evidence that </w:t>
      </w:r>
      <w:r>
        <w:rPr>
          <w:i/>
        </w:rPr>
        <w:t>egl-9</w:t>
      </w:r>
      <w:r>
        <w:t xml:space="preserve"> and </w:t>
      </w:r>
      <w:r>
        <w:rPr>
          <w:i/>
        </w:rPr>
        <w:t>rhy-1</w:t>
      </w:r>
      <w:r>
        <w:t xml:space="preserve"> are in turn activated by </w:t>
      </w:r>
      <w:r>
        <w:rPr>
          <w:i/>
        </w:rPr>
        <w:t>hif-1</w:t>
      </w:r>
      <w:r>
        <w:t xml:space="preserve"> . Finally, there is evidence that although the interaction between </w:t>
      </w:r>
      <w:r>
        <w:rPr>
          <w:i/>
        </w:rPr>
        <w:t>egl-9</w:t>
      </w:r>
      <w:r>
        <w:t xml:space="preserve"> and </w:t>
      </w:r>
      <w:r>
        <w:rPr>
          <w:i/>
        </w:rPr>
        <w:t>vhl-1</w:t>
      </w:r>
      <w:r>
        <w:t xml:space="preserve"> is important for </w:t>
      </w:r>
      <w:r>
        <w:rPr>
          <w:i/>
        </w:rPr>
        <w:t>hif-1</w:t>
      </w:r>
      <w:r>
        <w:t xml:space="preserve"> repression, </w:t>
      </w:r>
      <w:r>
        <w:rPr>
          <w:i/>
        </w:rPr>
        <w:t>egl-9</w:t>
      </w:r>
      <w:r>
        <w:t xml:space="preserve"> can also ac</w:t>
      </w:r>
      <w:r>
        <w:t>t in a non-</w:t>
      </w:r>
      <w:r>
        <w:rPr>
          <w:i/>
        </w:rPr>
        <w:t>vhl-1</w:t>
      </w:r>
      <w:r>
        <w:t xml:space="preserve"> dependent manner (see Fig. [fig:newmodel] top).</w:t>
      </w:r>
    </w:p>
    <w:p w14:paraId="606FAC45" w14:textId="77777777" w:rsidR="00680AA9" w:rsidRDefault="00087BC4">
      <w:pPr>
        <w:pStyle w:val="BodyText"/>
      </w:pPr>
      <w:r>
        <w:t xml:space="preserve">From our data, we were able to impute the positive regulatory relationship between </w:t>
      </w:r>
      <w:r>
        <w:rPr>
          <w:i/>
        </w:rPr>
        <w:t>egl-9</w:t>
      </w:r>
      <w:r>
        <w:t xml:space="preserve"> and </w:t>
      </w:r>
      <w:r>
        <w:rPr>
          <w:i/>
        </w:rPr>
        <w:t>rhy-1</w:t>
      </w:r>
      <w:r>
        <w:t>. We would not have been able to infer the order of the regulation without additional informa</w:t>
      </w:r>
      <w:r>
        <w:t xml:space="preserve">tion. Using clustering as a proxy for phenotype, we were able to infer the relationship between </w:t>
      </w:r>
      <w:r>
        <w:rPr>
          <w:i/>
        </w:rPr>
        <w:t>egl-9</w:t>
      </w:r>
      <w:r>
        <w:t xml:space="preserve"> and </w:t>
      </w:r>
      <w:r>
        <w:rPr>
          <w:i/>
        </w:rPr>
        <w:t>hif-1</w:t>
      </w:r>
      <w:r>
        <w:t xml:space="preserve">. We were also able to infer a positive (linear or AND) relationship between </w:t>
      </w:r>
      <w:r>
        <w:rPr>
          <w:i/>
        </w:rPr>
        <w:t>egl-9</w:t>
      </w:r>
      <w:r>
        <w:t xml:space="preserve"> and </w:t>
      </w:r>
      <w:r>
        <w:rPr>
          <w:i/>
        </w:rPr>
        <w:t>vhl-1</w:t>
      </w:r>
      <w:r>
        <w:t xml:space="preserve"> </w:t>
      </w:r>
      <w:r>
        <w:t xml:space="preserve">using clustering. Alternatively, we gained the same information by performing </w:t>
      </w:r>
      <w:r>
        <w:rPr>
          <w:i/>
        </w:rPr>
        <w:t>in silico</w:t>
      </w:r>
      <w:r>
        <w:t xml:space="preserve"> qPCR on the genes under study. </w:t>
      </w:r>
      <w:r>
        <w:rPr>
          <w:i/>
        </w:rPr>
        <w:t>In silico</w:t>
      </w:r>
      <w:r>
        <w:t xml:space="preserve"> qPCR also revealed that </w:t>
      </w:r>
      <w:r>
        <w:rPr>
          <w:i/>
        </w:rPr>
        <w:t>hif-1</w:t>
      </w:r>
      <w:r>
        <w:t xml:space="preserve"> has two states with different activities: Non-hydroxylated HIF-1 </w:t>
      </w:r>
      <w:r>
        <w:lastRenderedPageBreak/>
        <w:t xml:space="preserve">increases levels of </w:t>
      </w:r>
      <w:r>
        <w:rPr>
          <w:i/>
        </w:rPr>
        <w:t>rhy-1</w:t>
      </w:r>
      <w:r>
        <w:t>, and h</w:t>
      </w:r>
      <w:r>
        <w:t xml:space="preserve">ydroxylated HIF-1 inhibits </w:t>
      </w:r>
      <w:r>
        <w:rPr>
          <w:i/>
        </w:rPr>
        <w:t>rhy-1</w:t>
      </w:r>
      <w:r>
        <w:t xml:space="preserve"> and possibly </w:t>
      </w:r>
      <w:r>
        <w:rPr>
          <w:i/>
        </w:rPr>
        <w:t>egl-9</w:t>
      </w:r>
      <w:r>
        <w:t xml:space="preserve"> as well, although the double mutant did not recapitulate that interaction. We also revealed that </w:t>
      </w:r>
      <w:r>
        <w:rPr>
          <w:i/>
        </w:rPr>
        <w:t>hif-1</w:t>
      </w:r>
      <w:r>
        <w:t xml:space="preserve"> is an autoregulator.</w:t>
      </w:r>
    </w:p>
    <w:p w14:paraId="3730B3BA" w14:textId="77777777" w:rsidR="00680AA9" w:rsidRDefault="00087BC4">
      <w:pPr>
        <w:pStyle w:val="BodyText"/>
      </w:pPr>
      <w:r>
        <w:t>These discoveries are consistent with a homeostatic circuit. By autoregulating i</w:t>
      </w:r>
      <w:r>
        <w:t xml:space="preserve">tself, </w:t>
      </w:r>
      <w:r>
        <w:rPr>
          <w:i/>
        </w:rPr>
        <w:t>hif-1</w:t>
      </w:r>
      <w:r>
        <w:t xml:space="preserve"> can mantain appropriate protein levels both in normoxic and hypoxic conditions. Inhibition of </w:t>
      </w:r>
      <w:r>
        <w:rPr>
          <w:i/>
        </w:rPr>
        <w:t>rhy-1</w:t>
      </w:r>
      <w:r>
        <w:t xml:space="preserve">, and possibly of </w:t>
      </w:r>
      <w:r>
        <w:rPr>
          <w:i/>
        </w:rPr>
        <w:t>egl-9</w:t>
      </w:r>
      <w:r>
        <w:t>, ensures that an appropriate equilibrium is maintained between hydroxylated and non-hydroxylated protein, which may have</w:t>
      </w:r>
      <w:r>
        <w:t xml:space="preserve"> functional consequences for the cell if both forms are active.</w:t>
      </w:r>
    </w:p>
    <w:p w14:paraId="626BA62F" w14:textId="77777777" w:rsidR="00680AA9" w:rsidRDefault="00087BC4">
      <w:pPr>
        <w:pStyle w:val="BodyText"/>
      </w:pPr>
      <w:r>
        <w:t xml:space="preserve">In addition to these biological findings, our dataset allows us to generate predictions of genes that may be under direct </w:t>
      </w:r>
      <w:r>
        <w:rPr>
          <w:i/>
        </w:rPr>
        <w:t>hif-1</w:t>
      </w:r>
      <w:r>
        <w:t xml:space="preserve"> regulation. Assuming that non-hydroxylated HIF-1 has different a</w:t>
      </w:r>
      <w:r>
        <w:t xml:space="preserve">ctivities from hydroxylated HIF-1, we identified 5 genes that are candidates for activation by hydroxylated HIF-1. These genes have been implicated in the </w:t>
      </w:r>
      <w:r>
        <w:rPr>
          <w:i/>
        </w:rPr>
        <w:t>C. elegans</w:t>
      </w:r>
      <w:r>
        <w:t xml:space="preserve"> immune response, or have behavioural phenotypes, underscoring the importance of </w:t>
      </w:r>
      <w:r>
        <w:rPr>
          <w:i/>
        </w:rPr>
        <w:t>hif-1</w:t>
      </w:r>
      <w:r>
        <w:t xml:space="preserve"> in n</w:t>
      </w:r>
      <w:r>
        <w:t>eurobiology and immunology . We have shown that transcriptomes contain sufficient information to be used as semi-quantitative phenotypes in metazoans. These phenotypes can be interpreted globally via correlation tests, clustering or other probabilistic met</w:t>
      </w:r>
      <w:r>
        <w:t>hods; alternatively, they can be used to query single reporter genes in a manner similar to qPCR today. Transcriptomic phenotypes have distinct advantages over physical traits. Firstly, due to their increased complexity, the genotype-phenotype mapping dege</w:t>
      </w:r>
      <w:r>
        <w:t>neracy ought to be greatly reduced, which facilitates predictions of genetic interaction. Secondly, genes that result in subtle or no visible traits when mutated may have strong (detectable), reproducible phenotypes at the transcriptomic level, which would</w:t>
      </w:r>
      <w:r>
        <w:t xml:space="preserve"> make the study of small-effect genes significantly easier. Finally, as we have shown, transcriptomic phenotypes can capture distinct interaction modes in a single experiment, making it possible to infer complex regulatory relationships between genes. With</w:t>
      </w:r>
      <w:r>
        <w:t xml:space="preserve"> the advent of fast pseudo-alignment tools and ever cheaper sequencing techniques, biologists should consider using global transcriptomes as a tool beyond hypothesis generation or target acquisition.</w:t>
      </w:r>
    </w:p>
    <w:sectPr w:rsidR="00680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4FCE1" w14:textId="77777777" w:rsidR="00087BC4" w:rsidRDefault="00087BC4">
      <w:pPr>
        <w:spacing w:after="0"/>
      </w:pPr>
      <w:r>
        <w:separator/>
      </w:r>
    </w:p>
  </w:endnote>
  <w:endnote w:type="continuationSeparator" w:id="0">
    <w:p w14:paraId="294BF215" w14:textId="77777777" w:rsidR="00087BC4" w:rsidRDefault="00087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28194" w14:textId="77777777" w:rsidR="00087BC4" w:rsidRDefault="00087BC4">
      <w:r>
        <w:separator/>
      </w:r>
    </w:p>
  </w:footnote>
  <w:footnote w:type="continuationSeparator" w:id="0">
    <w:p w14:paraId="3AAE9457" w14:textId="77777777" w:rsidR="00087BC4" w:rsidRDefault="00087BC4">
      <w:r>
        <w:continuationSeparator/>
      </w:r>
    </w:p>
  </w:footnote>
  <w:footnote w:id="1">
    <w:p w14:paraId="6B07EC50" w14:textId="77777777" w:rsidR="00680AA9" w:rsidRDefault="00087BC4">
      <w:pPr>
        <w:pStyle w:val="FootnoteText"/>
      </w:pPr>
      <w:r>
        <w:rPr>
          <w:rStyle w:val="FootnoteReference"/>
        </w:rPr>
        <w:footnoteRef/>
      </w:r>
      <w:r>
        <w:t xml:space="preserve"> We cannot discard the possibility that this decrease in mRNA levels is not due to NMD or some other decay mechanism, but we consider such a large change unlikely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1785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C3BC24E"/>
    <w:multiLevelType w:val="multilevel"/>
    <w:tmpl w:val="0C544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7BC4"/>
    <w:rsid w:val="001F47E9"/>
    <w:rsid w:val="004E29B3"/>
    <w:rsid w:val="00590D07"/>
    <w:rsid w:val="00680AA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32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yperlink" Target="www.wormlabcaltech.github.io/mprsq" TargetMode="External"/><Relationship Id="rId15" Type="http://schemas.openxmlformats.org/officeDocument/2006/relationships/image" Target="media/image7.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ww.wormlabcaltech.github.io/mprsq" TargetMode="External"/><Relationship Id="rId8" Type="http://schemas.openxmlformats.org/officeDocument/2006/relationships/image" Target="media/image1.emf"/><Relationship Id="rId9" Type="http://schemas.openxmlformats.org/officeDocument/2006/relationships/image" Target="media/image2.jpe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4094</Words>
  <Characters>23338</Characters>
  <Application>Microsoft Macintosh Word</Application>
  <DocSecurity>0</DocSecurity>
  <Lines>194</Lines>
  <Paragraphs>54</Paragraphs>
  <ScaleCrop>false</ScaleCrop>
  <LinksUpToDate>false</LinksUpToDate>
  <CharactersWithSpaces>27378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Analysis of a Metazoan Pathway using Transcriptomic Phenotypes</dc:title>
  <dc:creator>David Angeles-Albores; Carmie Puckett Robinson; Brian Williams; Igor Antoshechkin; Paul W Sternberg</dc:creator>
  <cp:lastModifiedBy>Angeles Albores, David</cp:lastModifiedBy>
  <cp:revision>2</cp:revision>
  <dcterms:created xsi:type="dcterms:W3CDTF">2016-09-29T07:00:00Z</dcterms:created>
  <dcterms:modified xsi:type="dcterms:W3CDTF">2016-09-29T07:04:00Z</dcterms:modified>
</cp:coreProperties>
</file>