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THE LAW ENFORCEMENT, PUBLIC TRANSPORT ACCOUNTABILITY, AND COUNTY SHERIFF SERVICES ACT, 2026</w:t>
      </w:r>
    </w:p>
    <w:p>
      <w:pPr>
        <w:pStyle w:val="BodyText"/>
        <w:bidi w:val="0"/>
        <w:jc w:val="start"/>
        <w:rPr/>
      </w:pPr>
      <w:r>
        <w:rPr>
          <w:rStyle w:val="Strong"/>
        </w:rPr>
        <w:t>AN ACT of Parliament</w:t>
      </w:r>
      <w:r>
        <w:rPr/>
        <w:t xml:space="preserve"> to reform policing and enforcement in accordance with the Constitution of Kenya, 2010; to establish a dual State and County law enforcement system; to create a unified but sector-sensitive demerit accountability framework for individuals, commercial operators, and institutions; to regulate public service vehicle (PSV) compliance through cooperative structures; to provide for hybrid physical-and-resilient enforcement systems; and for connected purposes.</w:t>
      </w:r>
    </w:p>
    <w:p>
      <w:pPr>
        <w:pStyle w:val="HorizontalLine"/>
        <w:bidi w:val="0"/>
        <w:jc w:val="start"/>
        <w:rPr/>
      </w:pPr>
      <w:r>
        <w:rPr/>
      </w:r>
    </w:p>
    <w:p>
      <w:pPr>
        <w:pStyle w:val="Heading2"/>
        <w:bidi w:val="0"/>
        <w:jc w:val="start"/>
        <w:rPr/>
      </w:pPr>
      <w:r>
        <w:rPr/>
        <w:t>PART I – PRELIMINARY</w:t>
      </w:r>
    </w:p>
    <w:p>
      <w:pPr>
        <w:pStyle w:val="Heading3"/>
        <w:bidi w:val="0"/>
        <w:jc w:val="start"/>
        <w:rPr/>
      </w:pPr>
      <w:r>
        <w:rPr/>
        <w:t>1. Short Title and Commencement</w:t>
      </w:r>
    </w:p>
    <w:p>
      <w:pPr>
        <w:pStyle w:val="BodyText"/>
        <w:bidi w:val="0"/>
        <w:jc w:val="start"/>
        <w:rPr/>
      </w:pPr>
      <w:r>
        <w:rPr/>
        <w:t xml:space="preserve">This Act may be cited as the </w:t>
      </w:r>
      <w:r>
        <w:rPr>
          <w:rStyle w:val="Strong"/>
        </w:rPr>
        <w:t>Law Enforcement, Public Transport Accountability, and County Sheriff Services Act, 2026</w:t>
      </w:r>
      <w:r>
        <w:rPr/>
        <w:t xml:space="preserve"> and shall come into force upon publication in the Gazette.</w:t>
      </w:r>
    </w:p>
    <w:p>
      <w:pPr>
        <w:pStyle w:val="HorizontalLine"/>
        <w:bidi w:val="0"/>
        <w:jc w:val="start"/>
        <w:rPr/>
      </w:pPr>
      <w:r>
        <w:rPr/>
      </w:r>
    </w:p>
    <w:p>
      <w:pPr>
        <w:pStyle w:val="Heading3"/>
        <w:bidi w:val="0"/>
        <w:jc w:val="start"/>
        <w:rPr/>
      </w:pPr>
      <w:r>
        <w:rPr/>
        <w:t>2. Constitutional Foundation</w:t>
      </w:r>
    </w:p>
    <w:p>
      <w:pPr>
        <w:pStyle w:val="BodyText"/>
        <w:bidi w:val="0"/>
        <w:jc w:val="start"/>
        <w:rPr/>
      </w:pPr>
      <w:r>
        <w:rPr/>
        <w:t>This Act shall be interpreted in accordance with:</w:t>
        <w:br/>
        <w:t>(a) the Constitution of Kenya, 2010;</w:t>
        <w:br/>
        <w:t>(b) devolution under Chapter Eleven;</w:t>
        <w:br/>
        <w:t>(c) fair administrative action under Article 47;</w:t>
        <w:br/>
        <w:t>(d) rights of accused persons under Articles 49 and 50;</w:t>
        <w:br/>
        <w:t>(e) leadership and integrity under Chapter Six; and</w:t>
        <w:br/>
        <w:t>(f) national security principles under Article 238.</w:t>
      </w:r>
    </w:p>
    <w:p>
      <w:pPr>
        <w:pStyle w:val="HorizontalLine"/>
        <w:bidi w:val="0"/>
        <w:jc w:val="start"/>
        <w:rPr/>
      </w:pPr>
      <w:r>
        <w:rPr/>
      </w:r>
    </w:p>
    <w:p>
      <w:pPr>
        <w:pStyle w:val="Heading3"/>
        <w:bidi w:val="0"/>
        <w:jc w:val="start"/>
        <w:rPr/>
      </w:pPr>
      <w:r>
        <w:rPr/>
        <w:t>3. Objects and Purpose</w:t>
      </w:r>
    </w:p>
    <w:p>
      <w:pPr>
        <w:pStyle w:val="BodyText"/>
        <w:bidi w:val="0"/>
        <w:jc w:val="start"/>
        <w:rPr/>
      </w:pPr>
      <w:r>
        <w:rPr/>
        <w:t>The purpose of this Act is to:</w:t>
        <w:br/>
        <w:t>(a) separate State Police and County Sheriff functions;</w:t>
        <w:br/>
        <w:t>(b) professionalise enforcement services;</w:t>
        <w:br/>
        <w:t>(c) reduce corruption and collusion in policing and PSV systems;</w:t>
        <w:br/>
        <w:t>(d) establish portable, individual-based accountability;</w:t>
        <w:br/>
        <w:t>(e) extend PSV-style accountability logic to broader enforcement;</w:t>
        <w:br/>
        <w:t>(f) introduce hybrid physical-resilient enforcement systems; and</w:t>
        <w:br/>
        <w:t>(g) strengthen lawful compliance through structured incentives and penalties.</w:t>
      </w:r>
    </w:p>
    <w:p>
      <w:pPr>
        <w:pStyle w:val="HorizontalLine"/>
        <w:bidi w:val="0"/>
        <w:jc w:val="start"/>
        <w:rPr/>
      </w:pPr>
      <w:r>
        <w:rPr/>
      </w:r>
    </w:p>
    <w:p>
      <w:pPr>
        <w:pStyle w:val="Heading3"/>
        <w:bidi w:val="0"/>
        <w:jc w:val="start"/>
        <w:rPr/>
      </w:pPr>
      <w:r>
        <w:rPr/>
        <w:t>4. Interpretation</w:t>
      </w:r>
    </w:p>
    <w:p>
      <w:pPr>
        <w:pStyle w:val="BodyText"/>
        <w:bidi w:val="0"/>
        <w:jc w:val="start"/>
        <w:rPr/>
      </w:pPr>
      <w:r>
        <w:rPr/>
        <w:t>In this Act—</w:t>
      </w:r>
    </w:p>
    <w:p>
      <w:pPr>
        <w:pStyle w:val="BodyText"/>
        <w:numPr>
          <w:ilvl w:val="0"/>
          <w:numId w:val="2"/>
        </w:numPr>
        <w:tabs>
          <w:tab w:val="left" w:pos="709" w:leader="none"/>
        </w:tabs>
        <w:bidi w:val="0"/>
        <w:ind w:hanging="283" w:start="709"/>
        <w:jc w:val="start"/>
        <w:rPr/>
      </w:pPr>
      <w:r>
        <w:rPr>
          <w:rStyle w:val="Strong"/>
        </w:rPr>
        <w:t>“</w:t>
      </w:r>
      <w:r>
        <w:rPr>
          <w:rStyle w:val="Strong"/>
        </w:rPr>
        <w:t>State Police”</w:t>
      </w:r>
      <w:r>
        <w:rPr/>
        <w:t xml:space="preserve"> means the national police service responsible for national and inter-county security.</w:t>
      </w:r>
    </w:p>
    <w:p>
      <w:pPr>
        <w:pStyle w:val="BodyText"/>
        <w:numPr>
          <w:ilvl w:val="0"/>
          <w:numId w:val="2"/>
        </w:numPr>
        <w:tabs>
          <w:tab w:val="left" w:pos="709" w:leader="none"/>
        </w:tabs>
        <w:bidi w:val="0"/>
        <w:ind w:hanging="283" w:start="709"/>
        <w:jc w:val="start"/>
        <w:rPr/>
      </w:pPr>
      <w:r>
        <w:rPr>
          <w:rStyle w:val="Strong"/>
        </w:rPr>
        <w:t>“</w:t>
      </w:r>
      <w:r>
        <w:rPr>
          <w:rStyle w:val="Strong"/>
        </w:rPr>
        <w:t>County Sheriff Service”</w:t>
      </w:r>
      <w:r>
        <w:rPr/>
        <w:t xml:space="preserve"> means the county-level enforcement, traffic, and public order service.</w:t>
      </w:r>
    </w:p>
    <w:p>
      <w:pPr>
        <w:pStyle w:val="BodyText"/>
        <w:numPr>
          <w:ilvl w:val="0"/>
          <w:numId w:val="2"/>
        </w:numPr>
        <w:tabs>
          <w:tab w:val="left" w:pos="709" w:leader="none"/>
        </w:tabs>
        <w:bidi w:val="0"/>
        <w:ind w:hanging="283" w:start="709"/>
        <w:jc w:val="start"/>
        <w:rPr/>
      </w:pPr>
      <w:r>
        <w:rPr>
          <w:rStyle w:val="Strong"/>
        </w:rPr>
        <w:t>“</w:t>
      </w:r>
      <w:r>
        <w:rPr>
          <w:rStyle w:val="Strong"/>
        </w:rPr>
        <w:t>PSV”</w:t>
      </w:r>
      <w:r>
        <w:rPr/>
        <w:t xml:space="preserve"> means Public Service Vehicle licensed under Kenyan law.</w:t>
      </w:r>
    </w:p>
    <w:p>
      <w:pPr>
        <w:pStyle w:val="BodyText"/>
        <w:numPr>
          <w:ilvl w:val="0"/>
          <w:numId w:val="2"/>
        </w:numPr>
        <w:tabs>
          <w:tab w:val="left" w:pos="709" w:leader="none"/>
        </w:tabs>
        <w:bidi w:val="0"/>
        <w:ind w:hanging="283" w:start="709"/>
        <w:jc w:val="start"/>
        <w:rPr/>
      </w:pPr>
      <w:r>
        <w:rPr>
          <w:rStyle w:val="Strong"/>
        </w:rPr>
        <w:t>“</w:t>
      </w:r>
      <w:r>
        <w:rPr>
          <w:rStyle w:val="Strong"/>
        </w:rPr>
        <w:t>Sacco”</w:t>
      </w:r>
      <w:r>
        <w:rPr/>
        <w:t xml:space="preserve"> means any cooperative or licensed PSV operator association.</w:t>
      </w:r>
    </w:p>
    <w:p>
      <w:pPr>
        <w:pStyle w:val="BodyText"/>
        <w:numPr>
          <w:ilvl w:val="0"/>
          <w:numId w:val="2"/>
        </w:numPr>
        <w:tabs>
          <w:tab w:val="left" w:pos="709" w:leader="none"/>
        </w:tabs>
        <w:bidi w:val="0"/>
        <w:ind w:hanging="283" w:start="709"/>
        <w:jc w:val="start"/>
        <w:rPr/>
      </w:pPr>
      <w:r>
        <w:rPr>
          <w:rStyle w:val="Strong"/>
        </w:rPr>
        <w:t>“</w:t>
      </w:r>
      <w:r>
        <w:rPr>
          <w:rStyle w:val="Strong"/>
        </w:rPr>
        <w:t>Demerit”</w:t>
      </w:r>
      <w:r>
        <w:rPr/>
        <w:t xml:space="preserve"> means a recorded penalty assigned to an individual or institution under this Act.</w:t>
      </w:r>
    </w:p>
    <w:p>
      <w:pPr>
        <w:pStyle w:val="BodyText"/>
        <w:numPr>
          <w:ilvl w:val="0"/>
          <w:numId w:val="2"/>
        </w:numPr>
        <w:tabs>
          <w:tab w:val="left" w:pos="709" w:leader="none"/>
        </w:tabs>
        <w:bidi w:val="0"/>
        <w:ind w:hanging="283" w:start="709"/>
        <w:jc w:val="start"/>
        <w:rPr/>
      </w:pPr>
      <w:r>
        <w:rPr>
          <w:rStyle w:val="Strong"/>
        </w:rPr>
        <w:t>“</w:t>
      </w:r>
      <w:r>
        <w:rPr>
          <w:rStyle w:val="Strong"/>
        </w:rPr>
        <w:t>Alderman Board”</w:t>
      </w:r>
      <w:r>
        <w:rPr/>
        <w:t xml:space="preserve"> means a randomly selected citizen tribunal for review of enforcement disputes.</w:t>
      </w:r>
    </w:p>
    <w:p>
      <w:pPr>
        <w:pStyle w:val="HorizontalLine"/>
        <w:bidi w:val="0"/>
        <w:jc w:val="start"/>
        <w:rPr/>
      </w:pPr>
      <w:r>
        <w:rPr/>
      </w:r>
    </w:p>
    <w:p>
      <w:pPr>
        <w:pStyle w:val="Heading2"/>
        <w:bidi w:val="0"/>
        <w:jc w:val="start"/>
        <w:rPr/>
      </w:pPr>
      <w:r>
        <w:rPr/>
        <w:t>PART II – STATE AND COUNTY LAW ENFORCEMENT STRUCTURE</w:t>
      </w:r>
    </w:p>
    <w:p>
      <w:pPr>
        <w:pStyle w:val="Heading3"/>
        <w:bidi w:val="0"/>
        <w:jc w:val="start"/>
        <w:rPr/>
      </w:pPr>
      <w:r>
        <w:rPr/>
        <w:t>5. Separation of Functions</w:t>
      </w:r>
    </w:p>
    <w:p>
      <w:pPr>
        <w:pStyle w:val="BodyText"/>
        <w:bidi w:val="0"/>
        <w:jc w:val="start"/>
        <w:rPr/>
      </w:pPr>
      <w:r>
        <w:rPr/>
        <w:t>(1) Law enforcement shall consist of:</w:t>
        <w:br/>
        <w:t>(a) State Police; and</w:t>
        <w:br/>
        <w:t>(b) County Sheriff Services.</w:t>
      </w:r>
    </w:p>
    <w:p>
      <w:pPr>
        <w:pStyle w:val="BodyText"/>
        <w:bidi w:val="0"/>
        <w:jc w:val="start"/>
        <w:rPr/>
      </w:pPr>
      <w:r>
        <w:rPr/>
        <w:t>(2) State Police shall handle:</w:t>
      </w:r>
    </w:p>
    <w:p>
      <w:pPr>
        <w:pStyle w:val="BodyText"/>
        <w:numPr>
          <w:ilvl w:val="0"/>
          <w:numId w:val="3"/>
        </w:numPr>
        <w:tabs>
          <w:tab w:val="left" w:pos="709" w:leader="none"/>
        </w:tabs>
        <w:bidi w:val="0"/>
        <w:ind w:hanging="283" w:start="709"/>
        <w:jc w:val="start"/>
        <w:rPr/>
      </w:pPr>
      <w:r>
        <w:rPr/>
        <w:t>national security;</w:t>
      </w:r>
    </w:p>
    <w:p>
      <w:pPr>
        <w:pStyle w:val="BodyText"/>
        <w:numPr>
          <w:ilvl w:val="0"/>
          <w:numId w:val="3"/>
        </w:numPr>
        <w:tabs>
          <w:tab w:val="left" w:pos="709" w:leader="none"/>
        </w:tabs>
        <w:bidi w:val="0"/>
        <w:ind w:hanging="283" w:start="709"/>
        <w:jc w:val="start"/>
        <w:rPr/>
      </w:pPr>
      <w:r>
        <w:rPr/>
        <w:t>terrorism and organised crime;</w:t>
      </w:r>
    </w:p>
    <w:p>
      <w:pPr>
        <w:pStyle w:val="BodyText"/>
        <w:numPr>
          <w:ilvl w:val="0"/>
          <w:numId w:val="3"/>
        </w:numPr>
        <w:tabs>
          <w:tab w:val="left" w:pos="709" w:leader="none"/>
        </w:tabs>
        <w:bidi w:val="0"/>
        <w:ind w:hanging="283" w:start="709"/>
        <w:jc w:val="start"/>
        <w:rPr/>
      </w:pPr>
      <w:r>
        <w:rPr/>
        <w:t>border and inter-county crime;</w:t>
      </w:r>
    </w:p>
    <w:p>
      <w:pPr>
        <w:pStyle w:val="BodyText"/>
        <w:numPr>
          <w:ilvl w:val="0"/>
          <w:numId w:val="3"/>
        </w:numPr>
        <w:tabs>
          <w:tab w:val="left" w:pos="709" w:leader="none"/>
        </w:tabs>
        <w:bidi w:val="0"/>
        <w:ind w:hanging="283" w:start="709"/>
        <w:jc w:val="start"/>
        <w:rPr/>
      </w:pPr>
      <w:r>
        <w:rPr/>
        <w:t>specialised investigations.</w:t>
      </w:r>
    </w:p>
    <w:p>
      <w:pPr>
        <w:pStyle w:val="BodyText"/>
        <w:bidi w:val="0"/>
        <w:jc w:val="start"/>
        <w:rPr/>
      </w:pPr>
      <w:r>
        <w:rPr/>
        <w:t>(3) County Sheriff Services shall handle:</w:t>
      </w:r>
    </w:p>
    <w:p>
      <w:pPr>
        <w:pStyle w:val="BodyText"/>
        <w:numPr>
          <w:ilvl w:val="0"/>
          <w:numId w:val="4"/>
        </w:numPr>
        <w:tabs>
          <w:tab w:val="left" w:pos="709" w:leader="none"/>
        </w:tabs>
        <w:bidi w:val="0"/>
        <w:ind w:hanging="283" w:start="709"/>
        <w:jc w:val="start"/>
        <w:rPr/>
      </w:pPr>
      <w:r>
        <w:rPr/>
        <w:t>traffic enforcement;</w:t>
      </w:r>
    </w:p>
    <w:p>
      <w:pPr>
        <w:pStyle w:val="BodyText"/>
        <w:numPr>
          <w:ilvl w:val="0"/>
          <w:numId w:val="4"/>
        </w:numPr>
        <w:tabs>
          <w:tab w:val="left" w:pos="709" w:leader="none"/>
        </w:tabs>
        <w:bidi w:val="0"/>
        <w:ind w:hanging="283" w:start="709"/>
        <w:jc w:val="start"/>
        <w:rPr/>
      </w:pPr>
      <w:r>
        <w:rPr/>
        <w:t>PSV regulation and roadside compliance;</w:t>
      </w:r>
    </w:p>
    <w:p>
      <w:pPr>
        <w:pStyle w:val="BodyText"/>
        <w:numPr>
          <w:ilvl w:val="0"/>
          <w:numId w:val="4"/>
        </w:numPr>
        <w:tabs>
          <w:tab w:val="left" w:pos="709" w:leader="none"/>
        </w:tabs>
        <w:bidi w:val="0"/>
        <w:ind w:hanging="283" w:start="709"/>
        <w:jc w:val="start"/>
        <w:rPr/>
      </w:pPr>
      <w:r>
        <w:rPr/>
        <w:t>public order;</w:t>
      </w:r>
    </w:p>
    <w:p>
      <w:pPr>
        <w:pStyle w:val="BodyText"/>
        <w:numPr>
          <w:ilvl w:val="0"/>
          <w:numId w:val="4"/>
        </w:numPr>
        <w:tabs>
          <w:tab w:val="left" w:pos="709" w:leader="none"/>
        </w:tabs>
        <w:bidi w:val="0"/>
        <w:ind w:hanging="283" w:start="709"/>
        <w:jc w:val="start"/>
        <w:rPr/>
      </w:pPr>
      <w:r>
        <w:rPr/>
        <w:t>local enforcement of County and national laws at operational level.</w:t>
      </w:r>
    </w:p>
    <w:p>
      <w:pPr>
        <w:pStyle w:val="HorizontalLine"/>
        <w:bidi w:val="0"/>
        <w:jc w:val="start"/>
        <w:rPr/>
      </w:pPr>
      <w:r>
        <w:rPr/>
      </w:r>
    </w:p>
    <w:p>
      <w:pPr>
        <w:pStyle w:val="Heading3"/>
        <w:bidi w:val="0"/>
        <w:jc w:val="start"/>
        <w:rPr/>
      </w:pPr>
      <w:r>
        <w:rPr/>
        <w:t>6. County Sheriff Governance Model</w:t>
      </w:r>
    </w:p>
    <w:p>
      <w:pPr>
        <w:pStyle w:val="BodyText"/>
        <w:bidi w:val="0"/>
        <w:jc w:val="start"/>
        <w:rPr/>
      </w:pPr>
      <w:r>
        <w:rPr/>
        <w:t xml:space="preserve">(1) Each County shall establish a </w:t>
      </w:r>
      <w:r>
        <w:rPr>
          <w:rStyle w:val="Strong"/>
        </w:rPr>
        <w:t>County Sheriff Service</w:t>
      </w:r>
      <w:r>
        <w:rPr/>
        <w:t>.</w:t>
      </w:r>
    </w:p>
    <w:p>
      <w:pPr>
        <w:pStyle w:val="BodyText"/>
        <w:bidi w:val="0"/>
        <w:jc w:val="start"/>
        <w:rPr/>
      </w:pPr>
      <w:r>
        <w:rPr/>
        <w:t xml:space="preserve">(2) Each County shall also establish a </w:t>
      </w:r>
      <w:r>
        <w:rPr>
          <w:rStyle w:val="Strong"/>
        </w:rPr>
        <w:t>County Attorney-Sheriff Executive Office</w:t>
      </w:r>
      <w:r>
        <w:rPr/>
        <w:t>, where:</w:t>
      </w:r>
    </w:p>
    <w:p>
      <w:pPr>
        <w:pStyle w:val="BodyText"/>
        <w:numPr>
          <w:ilvl w:val="0"/>
          <w:numId w:val="5"/>
        </w:numPr>
        <w:tabs>
          <w:tab w:val="left" w:pos="709" w:leader="none"/>
        </w:tabs>
        <w:bidi w:val="0"/>
        <w:ind w:hanging="283" w:start="709"/>
        <w:jc w:val="start"/>
        <w:rPr/>
      </w:pPr>
      <w:r>
        <w:rPr/>
        <w:t>the Sheriff and County Attorney are elected on a joint ticket.</w:t>
      </w:r>
    </w:p>
    <w:p>
      <w:pPr>
        <w:pStyle w:val="BodyText"/>
        <w:bidi w:val="0"/>
        <w:jc w:val="start"/>
        <w:rPr/>
      </w:pPr>
      <w:r>
        <w:rPr/>
        <w:t>(3) The County Sheriff Service shall be jointly accountable to:</w:t>
      </w:r>
    </w:p>
    <w:p>
      <w:pPr>
        <w:pStyle w:val="BodyText"/>
        <w:numPr>
          <w:ilvl w:val="0"/>
          <w:numId w:val="6"/>
        </w:numPr>
        <w:tabs>
          <w:tab w:val="left" w:pos="709" w:leader="none"/>
        </w:tabs>
        <w:bidi w:val="0"/>
        <w:ind w:hanging="283" w:start="709"/>
        <w:jc w:val="start"/>
        <w:rPr/>
      </w:pPr>
      <w:r>
        <w:rPr/>
        <w:t>County Government; and</w:t>
      </w:r>
    </w:p>
    <w:p>
      <w:pPr>
        <w:pStyle w:val="BodyText"/>
        <w:numPr>
          <w:ilvl w:val="0"/>
          <w:numId w:val="6"/>
        </w:numPr>
        <w:tabs>
          <w:tab w:val="left" w:pos="709" w:leader="none"/>
        </w:tabs>
        <w:bidi w:val="0"/>
        <w:ind w:hanging="283" w:start="709"/>
        <w:jc w:val="start"/>
        <w:rPr/>
      </w:pPr>
      <w:r>
        <w:rPr/>
        <w:t>National oversight institutions.</w:t>
      </w:r>
    </w:p>
    <w:p>
      <w:pPr>
        <w:pStyle w:val="HorizontalLine"/>
        <w:bidi w:val="0"/>
        <w:jc w:val="start"/>
        <w:rPr/>
      </w:pPr>
      <w:r>
        <w:rPr/>
      </w:r>
    </w:p>
    <w:p>
      <w:pPr>
        <w:pStyle w:val="Heading3"/>
        <w:bidi w:val="0"/>
        <w:jc w:val="start"/>
        <w:rPr/>
      </w:pPr>
      <w:r>
        <w:rPr/>
        <w:t>7. Funding Structure</w:t>
      </w:r>
    </w:p>
    <w:p>
      <w:pPr>
        <w:pStyle w:val="BodyText"/>
        <w:bidi w:val="0"/>
        <w:jc w:val="start"/>
        <w:rPr/>
      </w:pPr>
      <w:r>
        <w:rPr/>
        <w:t>(1) County Sheriff Services shall be funded:</w:t>
      </w:r>
    </w:p>
    <w:p>
      <w:pPr>
        <w:pStyle w:val="BodyText"/>
        <w:numPr>
          <w:ilvl w:val="0"/>
          <w:numId w:val="7"/>
        </w:numPr>
        <w:tabs>
          <w:tab w:val="left" w:pos="709" w:leader="none"/>
        </w:tabs>
        <w:bidi w:val="0"/>
        <w:ind w:hanging="283" w:start="709"/>
        <w:jc w:val="start"/>
        <w:rPr/>
      </w:pPr>
      <w:r>
        <w:rPr/>
        <w:t>50% by National Government; and</w:t>
      </w:r>
    </w:p>
    <w:p>
      <w:pPr>
        <w:pStyle w:val="BodyText"/>
        <w:numPr>
          <w:ilvl w:val="0"/>
          <w:numId w:val="7"/>
        </w:numPr>
        <w:tabs>
          <w:tab w:val="left" w:pos="709" w:leader="none"/>
        </w:tabs>
        <w:bidi w:val="0"/>
        <w:ind w:hanging="283" w:start="709"/>
        <w:jc w:val="start"/>
        <w:rPr/>
      </w:pPr>
      <w:r>
        <w:rPr/>
        <w:t>50% by County Governments.</w:t>
      </w:r>
    </w:p>
    <w:p>
      <w:pPr>
        <w:pStyle w:val="BodyText"/>
        <w:bidi w:val="0"/>
        <w:jc w:val="start"/>
        <w:rPr/>
      </w:pPr>
      <w:r>
        <w:rPr/>
        <w:t>(2) All funds shall be subject to audit by national and county audit institutions.</w:t>
      </w:r>
    </w:p>
    <w:p>
      <w:pPr>
        <w:pStyle w:val="HorizontalLine"/>
        <w:bidi w:val="0"/>
        <w:jc w:val="start"/>
        <w:rPr/>
      </w:pPr>
      <w:r>
        <w:rPr/>
      </w:r>
    </w:p>
    <w:p>
      <w:pPr>
        <w:pStyle w:val="Heading3"/>
        <w:bidi w:val="0"/>
        <w:jc w:val="start"/>
        <w:rPr/>
      </w:pPr>
      <w:r>
        <w:rPr/>
        <w:t>8. Joint Coordination Council</w:t>
      </w:r>
    </w:p>
    <w:p>
      <w:pPr>
        <w:pStyle w:val="BodyText"/>
        <w:bidi w:val="0"/>
        <w:jc w:val="start"/>
        <w:rPr/>
      </w:pPr>
      <w:r>
        <w:rPr/>
        <w:t>A Joint Council shall coordinate:</w:t>
      </w:r>
    </w:p>
    <w:p>
      <w:pPr>
        <w:pStyle w:val="BodyText"/>
        <w:numPr>
          <w:ilvl w:val="0"/>
          <w:numId w:val="8"/>
        </w:numPr>
        <w:tabs>
          <w:tab w:val="left" w:pos="709" w:leader="none"/>
        </w:tabs>
        <w:bidi w:val="0"/>
        <w:ind w:hanging="283" w:start="709"/>
        <w:jc w:val="start"/>
        <w:rPr/>
      </w:pPr>
      <w:r>
        <w:rPr/>
        <w:t>policing standards;</w:t>
      </w:r>
    </w:p>
    <w:p>
      <w:pPr>
        <w:pStyle w:val="BodyText"/>
        <w:numPr>
          <w:ilvl w:val="0"/>
          <w:numId w:val="8"/>
        </w:numPr>
        <w:tabs>
          <w:tab w:val="left" w:pos="709" w:leader="none"/>
        </w:tabs>
        <w:bidi w:val="0"/>
        <w:ind w:hanging="283" w:start="709"/>
        <w:jc w:val="start"/>
        <w:rPr/>
      </w:pPr>
      <w:r>
        <w:rPr/>
        <w:t>inter-county operations;</w:t>
      </w:r>
    </w:p>
    <w:p>
      <w:pPr>
        <w:pStyle w:val="BodyText"/>
        <w:numPr>
          <w:ilvl w:val="0"/>
          <w:numId w:val="8"/>
        </w:numPr>
        <w:tabs>
          <w:tab w:val="left" w:pos="709" w:leader="none"/>
        </w:tabs>
        <w:bidi w:val="0"/>
        <w:ind w:hanging="283" w:start="709"/>
        <w:jc w:val="start"/>
        <w:rPr/>
      </w:pPr>
      <w:r>
        <w:rPr/>
        <w:t>transport enforcement rules;</w:t>
      </w:r>
    </w:p>
    <w:p>
      <w:pPr>
        <w:pStyle w:val="BodyText"/>
        <w:numPr>
          <w:ilvl w:val="0"/>
          <w:numId w:val="8"/>
        </w:numPr>
        <w:tabs>
          <w:tab w:val="left" w:pos="709" w:leader="none"/>
        </w:tabs>
        <w:bidi w:val="0"/>
        <w:ind w:hanging="283" w:start="709"/>
        <w:jc w:val="start"/>
        <w:rPr/>
      </w:pPr>
      <w:r>
        <w:rPr/>
        <w:t>anti-corruption audits.</w:t>
      </w:r>
    </w:p>
    <w:p>
      <w:pPr>
        <w:pStyle w:val="HorizontalLine"/>
        <w:bidi w:val="0"/>
        <w:jc w:val="start"/>
        <w:rPr/>
      </w:pPr>
      <w:r>
        <w:rPr/>
      </w:r>
    </w:p>
    <w:p>
      <w:pPr>
        <w:pStyle w:val="Heading2"/>
        <w:bidi w:val="0"/>
        <w:jc w:val="start"/>
        <w:rPr/>
      </w:pPr>
      <w:r>
        <w:rPr/>
        <w:t>PART III – INDIVIDUAL DEMERIT SYSTEM (UNIFIED ACCOUNTABILITY)</w:t>
      </w:r>
    </w:p>
    <w:p>
      <w:pPr>
        <w:pStyle w:val="Heading3"/>
        <w:bidi w:val="0"/>
        <w:jc w:val="start"/>
        <w:rPr/>
      </w:pPr>
      <w:r>
        <w:rPr/>
        <w:t>9. Principle of Portable Accountability</w:t>
      </w:r>
    </w:p>
    <w:p>
      <w:pPr>
        <w:pStyle w:val="BodyText"/>
        <w:bidi w:val="0"/>
        <w:jc w:val="start"/>
        <w:rPr/>
      </w:pPr>
      <w:r>
        <w:rPr/>
        <w:t>(1) Demerits shall attach to the individual permanently unless expired under law.</w:t>
        <w:br/>
        <w:t>(2) Demerits shall apply across:</w:t>
      </w:r>
    </w:p>
    <w:p>
      <w:pPr>
        <w:pStyle w:val="BodyText"/>
        <w:numPr>
          <w:ilvl w:val="0"/>
          <w:numId w:val="9"/>
        </w:numPr>
        <w:tabs>
          <w:tab w:val="left" w:pos="709" w:leader="none"/>
        </w:tabs>
        <w:bidi w:val="0"/>
        <w:ind w:hanging="283" w:start="709"/>
        <w:jc w:val="start"/>
        <w:rPr/>
      </w:pPr>
      <w:r>
        <w:rPr/>
        <w:t>counties;</w:t>
      </w:r>
    </w:p>
    <w:p>
      <w:pPr>
        <w:pStyle w:val="BodyText"/>
        <w:numPr>
          <w:ilvl w:val="0"/>
          <w:numId w:val="9"/>
        </w:numPr>
        <w:tabs>
          <w:tab w:val="left" w:pos="709" w:leader="none"/>
        </w:tabs>
        <w:bidi w:val="0"/>
        <w:ind w:hanging="283" w:start="709"/>
        <w:jc w:val="start"/>
        <w:rPr/>
      </w:pPr>
      <w:r>
        <w:rPr/>
        <w:t>employers;</w:t>
      </w:r>
    </w:p>
    <w:p>
      <w:pPr>
        <w:pStyle w:val="BodyText"/>
        <w:numPr>
          <w:ilvl w:val="0"/>
          <w:numId w:val="9"/>
        </w:numPr>
        <w:tabs>
          <w:tab w:val="left" w:pos="709" w:leader="none"/>
        </w:tabs>
        <w:bidi w:val="0"/>
        <w:ind w:hanging="283" w:start="709"/>
        <w:jc w:val="start"/>
        <w:rPr/>
      </w:pPr>
      <w:r>
        <w:rPr/>
        <w:t>vehicles;</w:t>
      </w:r>
    </w:p>
    <w:p>
      <w:pPr>
        <w:pStyle w:val="BodyText"/>
        <w:numPr>
          <w:ilvl w:val="0"/>
          <w:numId w:val="9"/>
        </w:numPr>
        <w:tabs>
          <w:tab w:val="left" w:pos="709" w:leader="none"/>
        </w:tabs>
        <w:bidi w:val="0"/>
        <w:ind w:hanging="283" w:start="709"/>
        <w:jc w:val="start"/>
        <w:rPr/>
      </w:pPr>
      <w:r>
        <w:rPr/>
        <w:t>cooperatives;</w:t>
      </w:r>
    </w:p>
    <w:p>
      <w:pPr>
        <w:pStyle w:val="BodyText"/>
        <w:numPr>
          <w:ilvl w:val="0"/>
          <w:numId w:val="9"/>
        </w:numPr>
        <w:tabs>
          <w:tab w:val="left" w:pos="709" w:leader="none"/>
        </w:tabs>
        <w:bidi w:val="0"/>
        <w:ind w:hanging="283" w:start="709"/>
        <w:jc w:val="start"/>
        <w:rPr/>
      </w:pPr>
      <w:r>
        <w:rPr/>
        <w:t>public or private driving.</w:t>
      </w:r>
    </w:p>
    <w:p>
      <w:pPr>
        <w:pStyle w:val="HorizontalLine"/>
        <w:bidi w:val="0"/>
        <w:jc w:val="start"/>
        <w:rPr/>
      </w:pPr>
      <w:r>
        <w:rPr/>
      </w:r>
    </w:p>
    <w:p>
      <w:pPr>
        <w:pStyle w:val="Heading3"/>
        <w:bidi w:val="0"/>
        <w:jc w:val="start"/>
        <w:rPr/>
      </w:pPr>
      <w:r>
        <w:rPr/>
        <w:t>10. Private Driving Demerits</w:t>
      </w:r>
    </w:p>
    <w:p>
      <w:pPr>
        <w:pStyle w:val="BodyText"/>
        <w:bidi w:val="0"/>
        <w:jc w:val="start"/>
        <w:rPr/>
      </w:pPr>
      <w:r>
        <w:rPr/>
        <w:t>(1) Individuals accrue demerits for:</w:t>
      </w:r>
    </w:p>
    <w:p>
      <w:pPr>
        <w:pStyle w:val="BodyText"/>
        <w:numPr>
          <w:ilvl w:val="0"/>
          <w:numId w:val="10"/>
        </w:numPr>
        <w:tabs>
          <w:tab w:val="left" w:pos="709" w:leader="none"/>
        </w:tabs>
        <w:bidi w:val="0"/>
        <w:ind w:hanging="283" w:start="709"/>
        <w:jc w:val="start"/>
        <w:rPr/>
      </w:pPr>
      <w:r>
        <w:rPr/>
        <w:t>speeding;</w:t>
      </w:r>
    </w:p>
    <w:p>
      <w:pPr>
        <w:pStyle w:val="BodyText"/>
        <w:numPr>
          <w:ilvl w:val="0"/>
          <w:numId w:val="10"/>
        </w:numPr>
        <w:tabs>
          <w:tab w:val="left" w:pos="709" w:leader="none"/>
        </w:tabs>
        <w:bidi w:val="0"/>
        <w:ind w:hanging="283" w:start="709"/>
        <w:jc w:val="start"/>
        <w:rPr/>
      </w:pPr>
      <w:r>
        <w:rPr/>
        <w:t>reckless driving;</w:t>
      </w:r>
    </w:p>
    <w:p>
      <w:pPr>
        <w:pStyle w:val="BodyText"/>
        <w:numPr>
          <w:ilvl w:val="0"/>
          <w:numId w:val="10"/>
        </w:numPr>
        <w:tabs>
          <w:tab w:val="left" w:pos="709" w:leader="none"/>
        </w:tabs>
        <w:bidi w:val="0"/>
        <w:ind w:hanging="283" w:start="709"/>
        <w:jc w:val="start"/>
        <w:rPr/>
      </w:pPr>
      <w:r>
        <w:rPr/>
        <w:t>intoxicated driving;</w:t>
      </w:r>
    </w:p>
    <w:p>
      <w:pPr>
        <w:pStyle w:val="BodyText"/>
        <w:numPr>
          <w:ilvl w:val="0"/>
          <w:numId w:val="10"/>
        </w:numPr>
        <w:tabs>
          <w:tab w:val="left" w:pos="709" w:leader="none"/>
        </w:tabs>
        <w:bidi w:val="0"/>
        <w:ind w:hanging="283" w:start="709"/>
        <w:jc w:val="start"/>
        <w:rPr/>
      </w:pPr>
      <w:r>
        <w:rPr/>
        <w:t>corruption;</w:t>
      </w:r>
    </w:p>
    <w:p>
      <w:pPr>
        <w:pStyle w:val="BodyText"/>
        <w:numPr>
          <w:ilvl w:val="0"/>
          <w:numId w:val="10"/>
        </w:numPr>
        <w:tabs>
          <w:tab w:val="left" w:pos="709" w:leader="none"/>
        </w:tabs>
        <w:bidi w:val="0"/>
        <w:ind w:hanging="283" w:start="709"/>
        <w:jc w:val="start"/>
        <w:rPr/>
      </w:pPr>
      <w:r>
        <w:rPr/>
        <w:t>obstruction of enforcement.</w:t>
      </w:r>
    </w:p>
    <w:p>
      <w:pPr>
        <w:pStyle w:val="BodyText"/>
        <w:bidi w:val="0"/>
        <w:jc w:val="start"/>
        <w:rPr/>
      </w:pPr>
      <w:r>
        <w:rPr/>
        <w:t>(2) Thresholds:</w:t>
      </w:r>
    </w:p>
    <w:p>
      <w:pPr>
        <w:pStyle w:val="BodyText"/>
        <w:numPr>
          <w:ilvl w:val="0"/>
          <w:numId w:val="11"/>
        </w:numPr>
        <w:tabs>
          <w:tab w:val="left" w:pos="709" w:leader="none"/>
        </w:tabs>
        <w:bidi w:val="0"/>
        <w:ind w:hanging="283" w:start="709"/>
        <w:jc w:val="start"/>
        <w:rPr/>
      </w:pPr>
      <w:r>
        <w:rPr>
          <w:rStyle w:val="Strong"/>
        </w:rPr>
        <w:t>5 demerits/year → 1-month suspension</w:t>
      </w:r>
    </w:p>
    <w:p>
      <w:pPr>
        <w:pStyle w:val="BodyText"/>
        <w:numPr>
          <w:ilvl w:val="0"/>
          <w:numId w:val="11"/>
        </w:numPr>
        <w:tabs>
          <w:tab w:val="left" w:pos="709" w:leader="none"/>
        </w:tabs>
        <w:bidi w:val="0"/>
        <w:ind w:hanging="283" w:start="709"/>
        <w:jc w:val="start"/>
        <w:rPr/>
      </w:pPr>
      <w:r>
        <w:rPr>
          <w:rStyle w:val="Strong"/>
        </w:rPr>
        <w:t>20 demerits/year → 6-month suspension or enhanced penalty</w:t>
      </w:r>
    </w:p>
    <w:p>
      <w:pPr>
        <w:pStyle w:val="BodyText"/>
        <w:bidi w:val="0"/>
        <w:jc w:val="start"/>
        <w:rPr/>
      </w:pPr>
      <w:r>
        <w:rPr/>
        <w:t>(3) Driving under suspension resets demerit count and triggers criminal liability.</w:t>
      </w:r>
    </w:p>
    <w:p>
      <w:pPr>
        <w:pStyle w:val="HorizontalLine"/>
        <w:bidi w:val="0"/>
        <w:jc w:val="start"/>
        <w:rPr/>
      </w:pPr>
      <w:r>
        <w:rPr/>
      </w:r>
    </w:p>
    <w:p>
      <w:pPr>
        <w:pStyle w:val="Heading3"/>
        <w:bidi w:val="0"/>
        <w:jc w:val="start"/>
        <w:rPr/>
      </w:pPr>
      <w:r>
        <w:rPr/>
        <w:t>11. Commercial Driving (PSV) Enhanced Liability</w:t>
      </w:r>
    </w:p>
    <w:p>
      <w:pPr>
        <w:pStyle w:val="BodyText"/>
        <w:bidi w:val="0"/>
        <w:jc w:val="start"/>
        <w:rPr/>
      </w:pPr>
      <w:r>
        <w:rPr/>
        <w:t>(1) PSV operators are subject to elevated standards.</w:t>
      </w:r>
    </w:p>
    <w:p>
      <w:pPr>
        <w:pStyle w:val="BodyText"/>
        <w:bidi w:val="0"/>
        <w:jc w:val="start"/>
        <w:rPr/>
      </w:pPr>
      <w:r>
        <w:rPr/>
        <w:t>(2) Additional consequences:</w:t>
      </w:r>
    </w:p>
    <w:p>
      <w:pPr>
        <w:pStyle w:val="BodyText"/>
        <w:numPr>
          <w:ilvl w:val="0"/>
          <w:numId w:val="12"/>
        </w:numPr>
        <w:tabs>
          <w:tab w:val="left" w:pos="709" w:leader="none"/>
        </w:tabs>
        <w:bidi w:val="0"/>
        <w:ind w:hanging="283" w:start="709"/>
        <w:jc w:val="start"/>
        <w:rPr/>
      </w:pPr>
      <w:r>
        <w:rPr/>
        <w:t>5 demerits → 1-week PSV suspension</w:t>
      </w:r>
    </w:p>
    <w:p>
      <w:pPr>
        <w:pStyle w:val="BodyText"/>
        <w:numPr>
          <w:ilvl w:val="0"/>
          <w:numId w:val="12"/>
        </w:numPr>
        <w:tabs>
          <w:tab w:val="left" w:pos="709" w:leader="none"/>
        </w:tabs>
        <w:bidi w:val="0"/>
        <w:ind w:hanging="283" w:start="709"/>
        <w:jc w:val="start"/>
        <w:rPr/>
      </w:pPr>
      <w:r>
        <w:rPr/>
        <w:t>20 demerits → 1-year PSV suspension</w:t>
      </w:r>
    </w:p>
    <w:p>
      <w:pPr>
        <w:pStyle w:val="BodyText"/>
        <w:bidi w:val="0"/>
        <w:jc w:val="start"/>
        <w:rPr/>
      </w:pPr>
      <w:r>
        <w:rPr/>
        <w:t>(3) These apply regardless of Sacco or employer changes.</w:t>
      </w:r>
    </w:p>
    <w:p>
      <w:pPr>
        <w:pStyle w:val="HorizontalLine"/>
        <w:bidi w:val="0"/>
        <w:jc w:val="start"/>
        <w:rPr/>
      </w:pPr>
      <w:r>
        <w:rPr/>
      </w:r>
    </w:p>
    <w:p>
      <w:pPr>
        <w:pStyle w:val="Heading3"/>
        <w:bidi w:val="0"/>
        <w:jc w:val="start"/>
        <w:rPr/>
      </w:pPr>
      <w:r>
        <w:rPr/>
        <w:t>12. Sacco Portability Rule</w:t>
      </w:r>
    </w:p>
    <w:p>
      <w:pPr>
        <w:pStyle w:val="BodyText"/>
        <w:bidi w:val="0"/>
        <w:jc w:val="start"/>
        <w:rPr/>
      </w:pPr>
      <w:r>
        <w:rPr/>
        <w:t>(1) A driver’s demerits:</w:t>
      </w:r>
    </w:p>
    <w:p>
      <w:pPr>
        <w:pStyle w:val="BodyText"/>
        <w:numPr>
          <w:ilvl w:val="0"/>
          <w:numId w:val="13"/>
        </w:numPr>
        <w:tabs>
          <w:tab w:val="left" w:pos="709" w:leader="none"/>
        </w:tabs>
        <w:bidi w:val="0"/>
        <w:ind w:hanging="283" w:start="709"/>
        <w:jc w:val="start"/>
        <w:rPr/>
      </w:pPr>
      <w:r>
        <w:rPr/>
        <w:t>remain personal; and</w:t>
      </w:r>
    </w:p>
    <w:p>
      <w:pPr>
        <w:pStyle w:val="BodyText"/>
        <w:numPr>
          <w:ilvl w:val="0"/>
          <w:numId w:val="13"/>
        </w:numPr>
        <w:tabs>
          <w:tab w:val="left" w:pos="709" w:leader="none"/>
        </w:tabs>
        <w:bidi w:val="0"/>
        <w:ind w:hanging="283" w:start="709"/>
        <w:jc w:val="start"/>
        <w:rPr/>
      </w:pPr>
      <w:r>
        <w:rPr/>
        <w:t xml:space="preserve">transfer into any Sacco they join as a </w:t>
      </w:r>
      <w:r>
        <w:rPr>
          <w:rStyle w:val="Strong"/>
        </w:rPr>
        <w:t>risk exposure factor</w:t>
      </w:r>
      <w:r>
        <w:rPr/>
        <w:t>.</w:t>
      </w:r>
    </w:p>
    <w:p>
      <w:pPr>
        <w:pStyle w:val="BodyText"/>
        <w:bidi w:val="0"/>
        <w:jc w:val="start"/>
        <w:rPr/>
      </w:pPr>
      <w:r>
        <w:rPr/>
        <w:t>(2) A Sacco knowingly hiring high-risk operators assumes shared liability exposure.</w:t>
      </w:r>
    </w:p>
    <w:p>
      <w:pPr>
        <w:pStyle w:val="HorizontalLine"/>
        <w:bidi w:val="0"/>
        <w:jc w:val="start"/>
        <w:rPr/>
      </w:pPr>
      <w:r>
        <w:rPr/>
      </w:r>
    </w:p>
    <w:p>
      <w:pPr>
        <w:pStyle w:val="Heading2"/>
        <w:bidi w:val="0"/>
        <w:jc w:val="start"/>
        <w:rPr/>
      </w:pPr>
      <w:r>
        <w:rPr/>
        <w:t>PART IV – PSV SACCO LIABILITY SYSTEM</w:t>
      </w:r>
    </w:p>
    <w:p>
      <w:pPr>
        <w:pStyle w:val="Heading3"/>
        <w:bidi w:val="0"/>
        <w:jc w:val="start"/>
        <w:rPr/>
      </w:pPr>
      <w:r>
        <w:rPr/>
        <w:t>13. Sacco Recognition</w:t>
      </w:r>
    </w:p>
    <w:p>
      <w:pPr>
        <w:pStyle w:val="BodyText"/>
        <w:bidi w:val="0"/>
        <w:jc w:val="start"/>
        <w:rPr/>
      </w:pPr>
      <w:r>
        <w:rPr/>
        <w:t>Saccos are recognised as:</w:t>
      </w:r>
    </w:p>
    <w:p>
      <w:pPr>
        <w:pStyle w:val="BodyText"/>
        <w:numPr>
          <w:ilvl w:val="0"/>
          <w:numId w:val="14"/>
        </w:numPr>
        <w:tabs>
          <w:tab w:val="left" w:pos="709" w:leader="none"/>
        </w:tabs>
        <w:bidi w:val="0"/>
        <w:ind w:hanging="283" w:start="709"/>
        <w:jc w:val="start"/>
        <w:rPr/>
      </w:pPr>
      <w:r>
        <w:rPr/>
        <w:t>operational compliance units for PSV regulation.</w:t>
      </w:r>
    </w:p>
    <w:p>
      <w:pPr>
        <w:pStyle w:val="HorizontalLine"/>
        <w:bidi w:val="0"/>
        <w:jc w:val="start"/>
        <w:rPr/>
      </w:pPr>
      <w:r>
        <w:rPr/>
      </w:r>
    </w:p>
    <w:p>
      <w:pPr>
        <w:pStyle w:val="Heading3"/>
        <w:bidi w:val="0"/>
        <w:jc w:val="start"/>
        <w:rPr/>
      </w:pPr>
      <w:r>
        <w:rPr/>
        <w:t>14. Pooled Sacco Demerits</w:t>
      </w:r>
    </w:p>
    <w:p>
      <w:pPr>
        <w:pStyle w:val="BodyText"/>
        <w:bidi w:val="0"/>
        <w:jc w:val="start"/>
        <w:rPr/>
      </w:pPr>
      <w:r>
        <w:rPr/>
        <w:t>(1) Each PSV offence generates:</w:t>
      </w:r>
    </w:p>
    <w:p>
      <w:pPr>
        <w:pStyle w:val="BodyText"/>
        <w:numPr>
          <w:ilvl w:val="0"/>
          <w:numId w:val="15"/>
        </w:numPr>
        <w:tabs>
          <w:tab w:val="left" w:pos="709" w:leader="none"/>
        </w:tabs>
        <w:bidi w:val="0"/>
        <w:ind w:hanging="283" w:start="709"/>
        <w:jc w:val="start"/>
        <w:rPr/>
      </w:pPr>
      <w:r>
        <w:rPr/>
        <w:t>1 personal demerit; and</w:t>
      </w:r>
    </w:p>
    <w:p>
      <w:pPr>
        <w:pStyle w:val="BodyText"/>
        <w:numPr>
          <w:ilvl w:val="0"/>
          <w:numId w:val="15"/>
        </w:numPr>
        <w:tabs>
          <w:tab w:val="left" w:pos="709" w:leader="none"/>
        </w:tabs>
        <w:bidi w:val="0"/>
        <w:ind w:hanging="283" w:start="709"/>
        <w:jc w:val="start"/>
        <w:rPr/>
      </w:pPr>
      <w:r>
        <w:rPr/>
        <w:t>1 Sacco pooled demerit.</w:t>
      </w:r>
    </w:p>
    <w:p>
      <w:pPr>
        <w:pStyle w:val="BodyText"/>
        <w:bidi w:val="0"/>
        <w:jc w:val="start"/>
        <w:rPr/>
      </w:pPr>
      <w:r>
        <w:rPr/>
        <w:t>(2) Thresholds:</w:t>
      </w:r>
    </w:p>
    <w:p>
      <w:pPr>
        <w:pStyle w:val="BodyText"/>
        <w:numPr>
          <w:ilvl w:val="0"/>
          <w:numId w:val="16"/>
        </w:numPr>
        <w:tabs>
          <w:tab w:val="left" w:pos="709" w:leader="none"/>
        </w:tabs>
        <w:bidi w:val="0"/>
        <w:ind w:hanging="283" w:start="709"/>
        <w:jc w:val="start"/>
        <w:rPr/>
      </w:pPr>
      <w:r>
        <w:rPr/>
        <w:t>50 → warning + audit</w:t>
      </w:r>
    </w:p>
    <w:p>
      <w:pPr>
        <w:pStyle w:val="BodyText"/>
        <w:numPr>
          <w:ilvl w:val="0"/>
          <w:numId w:val="16"/>
        </w:numPr>
        <w:tabs>
          <w:tab w:val="left" w:pos="709" w:leader="none"/>
        </w:tabs>
        <w:bidi w:val="0"/>
        <w:ind w:hanging="283" w:start="709"/>
        <w:jc w:val="start"/>
        <w:rPr/>
      </w:pPr>
      <w:r>
        <w:rPr/>
        <w:t>100 → 7-day suspension</w:t>
      </w:r>
    </w:p>
    <w:p>
      <w:pPr>
        <w:pStyle w:val="BodyText"/>
        <w:numPr>
          <w:ilvl w:val="0"/>
          <w:numId w:val="16"/>
        </w:numPr>
        <w:tabs>
          <w:tab w:val="left" w:pos="709" w:leader="none"/>
        </w:tabs>
        <w:bidi w:val="0"/>
        <w:ind w:hanging="283" w:start="709"/>
        <w:jc w:val="start"/>
        <w:rPr/>
      </w:pPr>
      <w:r>
        <w:rPr/>
        <w:t>150 → licence review or restructuring</w:t>
      </w:r>
    </w:p>
    <w:p>
      <w:pPr>
        <w:pStyle w:val="HorizontalLine"/>
        <w:bidi w:val="0"/>
        <w:jc w:val="start"/>
        <w:rPr/>
      </w:pPr>
      <w:r>
        <w:rPr/>
      </w:r>
    </w:p>
    <w:p>
      <w:pPr>
        <w:pStyle w:val="Heading3"/>
        <w:bidi w:val="0"/>
        <w:jc w:val="start"/>
        <w:rPr/>
      </w:pPr>
      <w:r>
        <w:rPr/>
        <w:t>15. Anti-Circumvention</w:t>
      </w:r>
    </w:p>
    <w:p>
      <w:pPr>
        <w:pStyle w:val="BodyText"/>
        <w:bidi w:val="0"/>
        <w:jc w:val="start"/>
        <w:rPr/>
      </w:pPr>
      <w:r>
        <w:rPr/>
        <w:t>No Sacco may avoid liability by:</w:t>
      </w:r>
    </w:p>
    <w:p>
      <w:pPr>
        <w:pStyle w:val="BodyText"/>
        <w:numPr>
          <w:ilvl w:val="0"/>
          <w:numId w:val="17"/>
        </w:numPr>
        <w:tabs>
          <w:tab w:val="left" w:pos="709" w:leader="none"/>
        </w:tabs>
        <w:bidi w:val="0"/>
        <w:ind w:hanging="283" w:start="709"/>
        <w:jc w:val="start"/>
        <w:rPr/>
      </w:pPr>
      <w:r>
        <w:rPr/>
        <w:t>re-registration;</w:t>
      </w:r>
    </w:p>
    <w:p>
      <w:pPr>
        <w:pStyle w:val="BodyText"/>
        <w:numPr>
          <w:ilvl w:val="0"/>
          <w:numId w:val="17"/>
        </w:numPr>
        <w:tabs>
          <w:tab w:val="left" w:pos="709" w:leader="none"/>
        </w:tabs>
        <w:bidi w:val="0"/>
        <w:ind w:hanging="283" w:start="709"/>
        <w:jc w:val="start"/>
        <w:rPr/>
      </w:pPr>
      <w:r>
        <w:rPr/>
        <w:t>fragmentation;</w:t>
      </w:r>
    </w:p>
    <w:p>
      <w:pPr>
        <w:pStyle w:val="BodyText"/>
        <w:numPr>
          <w:ilvl w:val="0"/>
          <w:numId w:val="17"/>
        </w:numPr>
        <w:tabs>
          <w:tab w:val="left" w:pos="709" w:leader="none"/>
        </w:tabs>
        <w:bidi w:val="0"/>
        <w:ind w:hanging="283" w:start="709"/>
        <w:jc w:val="start"/>
        <w:rPr/>
      </w:pPr>
      <w:r>
        <w:rPr/>
        <w:t>proxy ownership transfers.</w:t>
      </w:r>
    </w:p>
    <w:p>
      <w:pPr>
        <w:pStyle w:val="BodyText"/>
        <w:bidi w:val="0"/>
        <w:jc w:val="start"/>
        <w:rPr/>
      </w:pPr>
      <w:r>
        <w:rPr/>
        <w:t>Successor Saccos inherit liability for 24 months.</w:t>
      </w:r>
    </w:p>
    <w:p>
      <w:pPr>
        <w:pStyle w:val="HorizontalLine"/>
        <w:bidi w:val="0"/>
        <w:jc w:val="start"/>
        <w:rPr/>
      </w:pPr>
      <w:r>
        <w:rPr/>
      </w:r>
    </w:p>
    <w:p>
      <w:pPr>
        <w:pStyle w:val="Heading2"/>
        <w:bidi w:val="0"/>
        <w:jc w:val="start"/>
        <w:rPr/>
      </w:pPr>
      <w:r>
        <w:rPr/>
        <w:t>PART V – EXTENSION TO GENERAL LAW ENFORCEMENT</w:t>
      </w:r>
    </w:p>
    <w:p>
      <w:pPr>
        <w:pStyle w:val="Heading3"/>
        <w:bidi w:val="0"/>
        <w:jc w:val="start"/>
        <w:rPr/>
      </w:pPr>
      <w:r>
        <w:rPr/>
        <w:t>16. Sector Expansion Principle</w:t>
      </w:r>
    </w:p>
    <w:p>
      <w:pPr>
        <w:pStyle w:val="BodyText"/>
        <w:bidi w:val="0"/>
        <w:jc w:val="start"/>
        <w:rPr/>
      </w:pPr>
      <w:r>
        <w:rPr/>
        <w:t>(1) The PSV accountability model shall apply mutatis mutandis to:</w:t>
      </w:r>
    </w:p>
    <w:p>
      <w:pPr>
        <w:pStyle w:val="BodyText"/>
        <w:numPr>
          <w:ilvl w:val="0"/>
          <w:numId w:val="18"/>
        </w:numPr>
        <w:tabs>
          <w:tab w:val="left" w:pos="709" w:leader="none"/>
        </w:tabs>
        <w:bidi w:val="0"/>
        <w:ind w:hanging="283" w:start="709"/>
        <w:jc w:val="start"/>
        <w:rPr/>
      </w:pPr>
      <w:r>
        <w:rPr/>
        <w:t>sanitation enforcement;</w:t>
      </w:r>
    </w:p>
    <w:p>
      <w:pPr>
        <w:pStyle w:val="BodyText"/>
        <w:numPr>
          <w:ilvl w:val="0"/>
          <w:numId w:val="18"/>
        </w:numPr>
        <w:tabs>
          <w:tab w:val="left" w:pos="709" w:leader="none"/>
        </w:tabs>
        <w:bidi w:val="0"/>
        <w:ind w:hanging="283" w:start="709"/>
        <w:jc w:val="start"/>
        <w:rPr/>
      </w:pPr>
      <w:r>
        <w:rPr/>
        <w:t>commercial licensing;</w:t>
      </w:r>
    </w:p>
    <w:p>
      <w:pPr>
        <w:pStyle w:val="BodyText"/>
        <w:numPr>
          <w:ilvl w:val="0"/>
          <w:numId w:val="18"/>
        </w:numPr>
        <w:tabs>
          <w:tab w:val="left" w:pos="709" w:leader="none"/>
        </w:tabs>
        <w:bidi w:val="0"/>
        <w:ind w:hanging="283" w:start="709"/>
        <w:jc w:val="start"/>
        <w:rPr/>
      </w:pPr>
      <w:r>
        <w:rPr/>
        <w:t>building compliance;</w:t>
      </w:r>
    </w:p>
    <w:p>
      <w:pPr>
        <w:pStyle w:val="BodyText"/>
        <w:numPr>
          <w:ilvl w:val="0"/>
          <w:numId w:val="18"/>
        </w:numPr>
        <w:tabs>
          <w:tab w:val="left" w:pos="709" w:leader="none"/>
        </w:tabs>
        <w:bidi w:val="0"/>
        <w:ind w:hanging="283" w:start="709"/>
        <w:jc w:val="start"/>
        <w:rPr/>
      </w:pPr>
      <w:r>
        <w:rPr/>
        <w:t>environmental fines;</w:t>
      </w:r>
    </w:p>
    <w:p>
      <w:pPr>
        <w:pStyle w:val="BodyText"/>
        <w:numPr>
          <w:ilvl w:val="0"/>
          <w:numId w:val="18"/>
        </w:numPr>
        <w:tabs>
          <w:tab w:val="left" w:pos="709" w:leader="none"/>
        </w:tabs>
        <w:bidi w:val="0"/>
        <w:ind w:hanging="283" w:start="709"/>
        <w:jc w:val="start"/>
        <w:rPr/>
      </w:pPr>
      <w:r>
        <w:rPr/>
        <w:t>traffic enforcement generally.</w:t>
      </w:r>
    </w:p>
    <w:p>
      <w:pPr>
        <w:pStyle w:val="BodyText"/>
        <w:bidi w:val="0"/>
        <w:jc w:val="start"/>
        <w:rPr/>
      </w:pPr>
      <w:r>
        <w:rPr/>
        <w:t>(2) Any regulated sector may adopt:</w:t>
      </w:r>
    </w:p>
    <w:p>
      <w:pPr>
        <w:pStyle w:val="BodyText"/>
        <w:numPr>
          <w:ilvl w:val="0"/>
          <w:numId w:val="19"/>
        </w:numPr>
        <w:tabs>
          <w:tab w:val="left" w:pos="709" w:leader="none"/>
        </w:tabs>
        <w:bidi w:val="0"/>
        <w:ind w:hanging="283" w:start="709"/>
        <w:jc w:val="start"/>
        <w:rPr/>
      </w:pPr>
      <w:r>
        <w:rPr/>
        <w:t>individual demerits;</w:t>
      </w:r>
    </w:p>
    <w:p>
      <w:pPr>
        <w:pStyle w:val="BodyText"/>
        <w:numPr>
          <w:ilvl w:val="0"/>
          <w:numId w:val="19"/>
        </w:numPr>
        <w:tabs>
          <w:tab w:val="left" w:pos="709" w:leader="none"/>
        </w:tabs>
        <w:bidi w:val="0"/>
        <w:ind w:hanging="283" w:start="709"/>
        <w:jc w:val="start"/>
        <w:rPr/>
      </w:pPr>
      <w:r>
        <w:rPr/>
        <w:t>institutional pooled liability;</w:t>
      </w:r>
    </w:p>
    <w:p>
      <w:pPr>
        <w:pStyle w:val="BodyText"/>
        <w:numPr>
          <w:ilvl w:val="0"/>
          <w:numId w:val="19"/>
        </w:numPr>
        <w:tabs>
          <w:tab w:val="left" w:pos="709" w:leader="none"/>
        </w:tabs>
        <w:bidi w:val="0"/>
        <w:ind w:hanging="283" w:start="709"/>
        <w:jc w:val="start"/>
        <w:rPr/>
      </w:pPr>
      <w:r>
        <w:rPr/>
        <w:t>portability of penalties.</w:t>
      </w:r>
    </w:p>
    <w:p>
      <w:pPr>
        <w:pStyle w:val="HorizontalLine"/>
        <w:bidi w:val="0"/>
        <w:jc w:val="start"/>
        <w:rPr/>
      </w:pPr>
      <w:r>
        <w:rPr/>
      </w:r>
    </w:p>
    <w:p>
      <w:pPr>
        <w:pStyle w:val="Heading2"/>
        <w:bidi w:val="0"/>
        <w:jc w:val="start"/>
        <w:rPr/>
      </w:pPr>
      <w:r>
        <w:rPr/>
        <w:t>PART VI – HYBRID ENFORCEMENT SYSTEM</w:t>
      </w:r>
    </w:p>
    <w:p>
      <w:pPr>
        <w:pStyle w:val="Heading3"/>
        <w:bidi w:val="0"/>
        <w:jc w:val="start"/>
        <w:rPr/>
      </w:pPr>
      <w:r>
        <w:rPr/>
        <w:t>17. Hybrid Physical-Resilient Enforcement</w:t>
      </w:r>
    </w:p>
    <w:p>
      <w:pPr>
        <w:pStyle w:val="BodyText"/>
        <w:bidi w:val="0"/>
        <w:jc w:val="start"/>
        <w:rPr/>
      </w:pPr>
      <w:r>
        <w:rPr/>
        <w:t>(1) Enforcement shall operate through:</w:t>
      </w:r>
    </w:p>
    <w:p>
      <w:pPr>
        <w:pStyle w:val="BodyText"/>
        <w:numPr>
          <w:ilvl w:val="0"/>
          <w:numId w:val="20"/>
        </w:numPr>
        <w:tabs>
          <w:tab w:val="left" w:pos="709" w:leader="none"/>
        </w:tabs>
        <w:bidi w:val="0"/>
        <w:ind w:hanging="283" w:start="709"/>
        <w:jc w:val="start"/>
        <w:rPr/>
      </w:pPr>
      <w:r>
        <w:rPr/>
        <w:t>physical records;</w:t>
      </w:r>
    </w:p>
    <w:p>
      <w:pPr>
        <w:pStyle w:val="BodyText"/>
        <w:numPr>
          <w:ilvl w:val="0"/>
          <w:numId w:val="20"/>
        </w:numPr>
        <w:tabs>
          <w:tab w:val="left" w:pos="709" w:leader="none"/>
        </w:tabs>
        <w:bidi w:val="0"/>
        <w:ind w:hanging="283" w:start="709"/>
        <w:jc w:val="start"/>
        <w:rPr/>
      </w:pPr>
      <w:r>
        <w:rPr/>
        <w:t>written tickets;</w:t>
      </w:r>
    </w:p>
    <w:p>
      <w:pPr>
        <w:pStyle w:val="BodyText"/>
        <w:numPr>
          <w:ilvl w:val="0"/>
          <w:numId w:val="20"/>
        </w:numPr>
        <w:tabs>
          <w:tab w:val="left" w:pos="709" w:leader="none"/>
        </w:tabs>
        <w:bidi w:val="0"/>
        <w:ind w:hanging="283" w:start="709"/>
        <w:jc w:val="start"/>
        <w:rPr/>
      </w:pPr>
      <w:r>
        <w:rPr/>
        <w:t>decentralised registers;</w:t>
      </w:r>
    </w:p>
    <w:p>
      <w:pPr>
        <w:pStyle w:val="BodyText"/>
        <w:numPr>
          <w:ilvl w:val="0"/>
          <w:numId w:val="20"/>
        </w:numPr>
        <w:tabs>
          <w:tab w:val="left" w:pos="709" w:leader="none"/>
        </w:tabs>
        <w:bidi w:val="0"/>
        <w:ind w:hanging="283" w:start="709"/>
        <w:jc w:val="start"/>
        <w:rPr/>
      </w:pPr>
      <w:r>
        <w:rPr/>
        <w:t>digital audit overlays.</w:t>
      </w:r>
    </w:p>
    <w:p>
      <w:pPr>
        <w:pStyle w:val="BodyText"/>
        <w:bidi w:val="0"/>
        <w:jc w:val="start"/>
        <w:rPr/>
      </w:pPr>
      <w:r>
        <w:rPr/>
        <w:t>(2) No system shall rely exclusively on:</w:t>
      </w:r>
    </w:p>
    <w:p>
      <w:pPr>
        <w:pStyle w:val="BodyText"/>
        <w:numPr>
          <w:ilvl w:val="0"/>
          <w:numId w:val="21"/>
        </w:numPr>
        <w:tabs>
          <w:tab w:val="left" w:pos="709" w:leader="none"/>
        </w:tabs>
        <w:bidi w:val="0"/>
        <w:ind w:hanging="283" w:start="709"/>
        <w:jc w:val="start"/>
        <w:rPr/>
      </w:pPr>
      <w:r>
        <w:rPr/>
        <w:t>cloud infrastructure;</w:t>
      </w:r>
    </w:p>
    <w:p>
      <w:pPr>
        <w:pStyle w:val="BodyText"/>
        <w:numPr>
          <w:ilvl w:val="0"/>
          <w:numId w:val="21"/>
        </w:numPr>
        <w:tabs>
          <w:tab w:val="left" w:pos="709" w:leader="none"/>
        </w:tabs>
        <w:bidi w:val="0"/>
        <w:ind w:hanging="283" w:start="709"/>
        <w:jc w:val="start"/>
        <w:rPr/>
      </w:pPr>
      <w:r>
        <w:rPr/>
        <w:t>internet connectivity;</w:t>
      </w:r>
    </w:p>
    <w:p>
      <w:pPr>
        <w:pStyle w:val="BodyText"/>
        <w:numPr>
          <w:ilvl w:val="0"/>
          <w:numId w:val="21"/>
        </w:numPr>
        <w:tabs>
          <w:tab w:val="left" w:pos="709" w:leader="none"/>
        </w:tabs>
        <w:bidi w:val="0"/>
        <w:ind w:hanging="283" w:start="709"/>
        <w:jc w:val="start"/>
        <w:rPr/>
      </w:pPr>
      <w:r>
        <w:rPr/>
        <w:t>proprietary systems.</w:t>
      </w:r>
    </w:p>
    <w:p>
      <w:pPr>
        <w:pStyle w:val="HorizontalLine"/>
        <w:bidi w:val="0"/>
        <w:jc w:val="start"/>
        <w:rPr/>
      </w:pPr>
      <w:r>
        <w:rPr/>
      </w:r>
    </w:p>
    <w:p>
      <w:pPr>
        <w:pStyle w:val="Heading3"/>
        <w:bidi w:val="0"/>
        <w:jc w:val="start"/>
        <w:rPr/>
      </w:pPr>
      <w:r>
        <w:rPr/>
        <w:t>18. Validity of Physical Records</w:t>
      </w:r>
    </w:p>
    <w:p>
      <w:pPr>
        <w:pStyle w:val="BodyText"/>
        <w:bidi w:val="0"/>
        <w:jc w:val="start"/>
        <w:rPr/>
      </w:pPr>
      <w:r>
        <w:rPr/>
        <w:t>Physical tickets and registers remain valid even if:</w:t>
      </w:r>
    </w:p>
    <w:p>
      <w:pPr>
        <w:pStyle w:val="BodyText"/>
        <w:numPr>
          <w:ilvl w:val="0"/>
          <w:numId w:val="22"/>
        </w:numPr>
        <w:tabs>
          <w:tab w:val="left" w:pos="709" w:leader="none"/>
        </w:tabs>
        <w:bidi w:val="0"/>
        <w:ind w:hanging="283" w:start="709"/>
        <w:jc w:val="start"/>
        <w:rPr/>
      </w:pPr>
      <w:r>
        <w:rPr/>
        <w:t>digital systems fail;</w:t>
      </w:r>
    </w:p>
    <w:p>
      <w:pPr>
        <w:pStyle w:val="BodyText"/>
        <w:numPr>
          <w:ilvl w:val="0"/>
          <w:numId w:val="22"/>
        </w:numPr>
        <w:tabs>
          <w:tab w:val="left" w:pos="709" w:leader="none"/>
        </w:tabs>
        <w:bidi w:val="0"/>
        <w:ind w:hanging="283" w:start="709"/>
        <w:jc w:val="start"/>
        <w:rPr/>
      </w:pPr>
      <w:r>
        <w:rPr/>
        <w:t>networks are unavailable;</w:t>
      </w:r>
    </w:p>
    <w:p>
      <w:pPr>
        <w:pStyle w:val="BodyText"/>
        <w:numPr>
          <w:ilvl w:val="0"/>
          <w:numId w:val="22"/>
        </w:numPr>
        <w:tabs>
          <w:tab w:val="left" w:pos="709" w:leader="none"/>
        </w:tabs>
        <w:bidi w:val="0"/>
        <w:ind w:hanging="283" w:start="709"/>
        <w:jc w:val="start"/>
        <w:rPr/>
      </w:pPr>
      <w:r>
        <w:rPr/>
        <w:t>cyber incidents occur.</w:t>
      </w:r>
    </w:p>
    <w:p>
      <w:pPr>
        <w:pStyle w:val="HorizontalLine"/>
        <w:bidi w:val="0"/>
        <w:jc w:val="start"/>
        <w:rPr/>
      </w:pPr>
      <w:r>
        <w:rPr/>
      </w:r>
    </w:p>
    <w:p>
      <w:pPr>
        <w:pStyle w:val="Heading2"/>
        <w:bidi w:val="0"/>
        <w:jc w:val="start"/>
        <w:rPr/>
      </w:pPr>
      <w:r>
        <w:rPr/>
        <w:t>PART VII – TICKETING AND DUE PROCESS</w:t>
      </w:r>
    </w:p>
    <w:p>
      <w:pPr>
        <w:pStyle w:val="Heading3"/>
        <w:bidi w:val="0"/>
        <w:jc w:val="start"/>
        <w:rPr/>
      </w:pPr>
      <w:r>
        <w:rPr/>
        <w:t>19. On-the-Spot Tickets</w:t>
      </w:r>
    </w:p>
    <w:p>
      <w:pPr>
        <w:pStyle w:val="BodyText"/>
        <w:bidi w:val="0"/>
        <w:jc w:val="start"/>
        <w:rPr/>
      </w:pPr>
      <w:r>
        <w:rPr/>
        <w:t>(1) Officers may issue immediate tickets.</w:t>
      </w:r>
    </w:p>
    <w:p>
      <w:pPr>
        <w:pStyle w:val="BodyText"/>
        <w:bidi w:val="0"/>
        <w:jc w:val="start"/>
        <w:rPr/>
      </w:pPr>
      <w:r>
        <w:rPr/>
        <w:t>(2) Payment is:</w:t>
      </w:r>
    </w:p>
    <w:p>
      <w:pPr>
        <w:pStyle w:val="BodyText"/>
        <w:numPr>
          <w:ilvl w:val="0"/>
          <w:numId w:val="23"/>
        </w:numPr>
        <w:tabs>
          <w:tab w:val="left" w:pos="709" w:leader="none"/>
        </w:tabs>
        <w:bidi w:val="0"/>
        <w:ind w:hanging="283" w:start="709"/>
        <w:jc w:val="start"/>
        <w:rPr/>
      </w:pPr>
      <w:r>
        <w:rPr/>
        <w:t>10% of statutory fine if paid early;</w:t>
      </w:r>
    </w:p>
    <w:p>
      <w:pPr>
        <w:pStyle w:val="BodyText"/>
        <w:numPr>
          <w:ilvl w:val="0"/>
          <w:numId w:val="23"/>
        </w:numPr>
        <w:tabs>
          <w:tab w:val="left" w:pos="709" w:leader="none"/>
        </w:tabs>
        <w:bidi w:val="0"/>
        <w:ind w:hanging="283" w:start="709"/>
        <w:jc w:val="start"/>
        <w:rPr/>
      </w:pPr>
      <w:r>
        <w:rPr/>
        <w:t>full fine if upheld in review.</w:t>
      </w:r>
    </w:p>
    <w:p>
      <w:pPr>
        <w:pStyle w:val="HorizontalLine"/>
        <w:bidi w:val="0"/>
        <w:jc w:val="start"/>
        <w:rPr/>
      </w:pPr>
      <w:r>
        <w:rPr/>
      </w:r>
    </w:p>
    <w:p>
      <w:pPr>
        <w:pStyle w:val="Heading3"/>
        <w:bidi w:val="0"/>
        <w:jc w:val="start"/>
        <w:rPr/>
      </w:pPr>
      <w:r>
        <w:rPr/>
        <w:t>20. Citizen Rights</w:t>
      </w:r>
    </w:p>
    <w:p>
      <w:pPr>
        <w:pStyle w:val="BodyText"/>
        <w:bidi w:val="0"/>
        <w:jc w:val="start"/>
        <w:rPr/>
      </w:pPr>
      <w:r>
        <w:rPr/>
        <w:t>Every person has the right to:</w:t>
      </w:r>
    </w:p>
    <w:p>
      <w:pPr>
        <w:pStyle w:val="BodyText"/>
        <w:numPr>
          <w:ilvl w:val="0"/>
          <w:numId w:val="24"/>
        </w:numPr>
        <w:tabs>
          <w:tab w:val="left" w:pos="709" w:leader="none"/>
        </w:tabs>
        <w:bidi w:val="0"/>
        <w:ind w:hanging="283" w:start="709"/>
        <w:jc w:val="start"/>
        <w:rPr/>
      </w:pPr>
      <w:r>
        <w:rPr/>
        <w:t>contest tickets;</w:t>
      </w:r>
    </w:p>
    <w:p>
      <w:pPr>
        <w:pStyle w:val="BodyText"/>
        <w:numPr>
          <w:ilvl w:val="0"/>
          <w:numId w:val="24"/>
        </w:numPr>
        <w:tabs>
          <w:tab w:val="left" w:pos="709" w:leader="none"/>
        </w:tabs>
        <w:bidi w:val="0"/>
        <w:ind w:hanging="283" w:start="709"/>
        <w:jc w:val="start"/>
        <w:rPr/>
      </w:pPr>
      <w:r>
        <w:rPr/>
        <w:t>access evidence;</w:t>
      </w:r>
    </w:p>
    <w:p>
      <w:pPr>
        <w:pStyle w:val="BodyText"/>
        <w:numPr>
          <w:ilvl w:val="0"/>
          <w:numId w:val="24"/>
        </w:numPr>
        <w:tabs>
          <w:tab w:val="left" w:pos="709" w:leader="none"/>
        </w:tabs>
        <w:bidi w:val="0"/>
        <w:ind w:hanging="283" w:start="709"/>
        <w:jc w:val="start"/>
        <w:rPr/>
      </w:pPr>
      <w:r>
        <w:rPr/>
        <w:t>appeal to court or Alderman Board;</w:t>
      </w:r>
    </w:p>
    <w:p>
      <w:pPr>
        <w:pStyle w:val="BodyText"/>
        <w:numPr>
          <w:ilvl w:val="0"/>
          <w:numId w:val="24"/>
        </w:numPr>
        <w:tabs>
          <w:tab w:val="left" w:pos="709" w:leader="none"/>
        </w:tabs>
        <w:bidi w:val="0"/>
        <w:ind w:hanging="283" w:start="709"/>
        <w:jc w:val="start"/>
        <w:rPr/>
      </w:pPr>
      <w:r>
        <w:rPr/>
        <w:t>judicial review.</w:t>
      </w:r>
    </w:p>
    <w:p>
      <w:pPr>
        <w:pStyle w:val="BodyText"/>
        <w:bidi w:val="0"/>
        <w:jc w:val="start"/>
        <w:rPr/>
      </w:pPr>
      <w:r>
        <w:rPr/>
        <w:t>No enforcement may rely solely on unverifiable digital data.</w:t>
      </w:r>
    </w:p>
    <w:p>
      <w:pPr>
        <w:pStyle w:val="HorizontalLine"/>
        <w:bidi w:val="0"/>
        <w:jc w:val="start"/>
        <w:rPr/>
      </w:pPr>
      <w:r>
        <w:rPr/>
      </w:r>
    </w:p>
    <w:p>
      <w:pPr>
        <w:pStyle w:val="Heading2"/>
        <w:bidi w:val="0"/>
        <w:jc w:val="start"/>
        <w:rPr/>
      </w:pPr>
      <w:r>
        <w:rPr/>
        <w:t>PART VIII – INSTITUTIONAL INCENTIVES</w:t>
      </w:r>
    </w:p>
    <w:p>
      <w:pPr>
        <w:pStyle w:val="Heading3"/>
        <w:bidi w:val="0"/>
        <w:jc w:val="start"/>
        <w:rPr/>
      </w:pPr>
      <w:r>
        <w:rPr/>
        <w:t>21. Police Administrative Gratuity</w:t>
      </w:r>
    </w:p>
    <w:p>
      <w:pPr>
        <w:pStyle w:val="BodyText"/>
        <w:bidi w:val="0"/>
        <w:jc w:val="start"/>
        <w:rPr/>
      </w:pPr>
      <w:r>
        <w:rPr/>
        <w:t xml:space="preserve">(1) Issuing agencies receive </w:t>
      </w:r>
      <w:r>
        <w:rPr>
          <w:rStyle w:val="Strong"/>
        </w:rPr>
        <w:t>2% of collected fines</w:t>
      </w:r>
      <w:r>
        <w:rPr/>
        <w:t>.</w:t>
      </w:r>
    </w:p>
    <w:p>
      <w:pPr>
        <w:pStyle w:val="BodyText"/>
        <w:bidi w:val="0"/>
        <w:jc w:val="start"/>
        <w:rPr/>
      </w:pPr>
      <w:r>
        <w:rPr/>
        <w:t>(2) Distribution formula:</w:t>
      </w:r>
    </w:p>
    <w:p>
      <w:pPr>
        <w:pStyle w:val="BodyText"/>
        <w:numPr>
          <w:ilvl w:val="0"/>
          <w:numId w:val="25"/>
        </w:numPr>
        <w:tabs>
          <w:tab w:val="left" w:pos="709" w:leader="none"/>
        </w:tabs>
        <w:bidi w:val="0"/>
        <w:ind w:hanging="283" w:start="709"/>
        <w:jc w:val="start"/>
        <w:rPr/>
      </w:pPr>
      <w:r>
        <w:rPr/>
        <w:t>3 parts to issuing officer</w:t>
      </w:r>
    </w:p>
    <w:p>
      <w:pPr>
        <w:pStyle w:val="BodyText"/>
        <w:numPr>
          <w:ilvl w:val="0"/>
          <w:numId w:val="25"/>
        </w:numPr>
        <w:tabs>
          <w:tab w:val="left" w:pos="709" w:leader="none"/>
        </w:tabs>
        <w:bidi w:val="0"/>
        <w:ind w:hanging="283" w:start="709"/>
        <w:jc w:val="start"/>
        <w:rPr/>
      </w:pPr>
      <w:r>
        <w:rPr/>
        <w:t>M parts to department members</w:t>
      </w:r>
    </w:p>
    <w:p>
      <w:pPr>
        <w:pStyle w:val="BodyText"/>
        <w:numPr>
          <w:ilvl w:val="0"/>
          <w:numId w:val="25"/>
        </w:numPr>
        <w:tabs>
          <w:tab w:val="left" w:pos="709" w:leader="none"/>
        </w:tabs>
        <w:bidi w:val="0"/>
        <w:ind w:hanging="283" w:start="709"/>
        <w:jc w:val="start"/>
        <w:rPr/>
      </w:pPr>
      <w:r>
        <w:rPr/>
        <w:t>N parts to supervisors</w:t>
      </w:r>
    </w:p>
    <w:p>
      <w:pPr>
        <w:pStyle w:val="HorizontalLine"/>
        <w:bidi w:val="0"/>
        <w:jc w:val="start"/>
        <w:rPr/>
      </w:pPr>
      <w:r>
        <w:rPr/>
      </w:r>
    </w:p>
    <w:p>
      <w:pPr>
        <w:pStyle w:val="Heading3"/>
        <w:bidi w:val="0"/>
        <w:jc w:val="start"/>
        <w:rPr/>
      </w:pPr>
      <w:r>
        <w:rPr/>
        <w:t>22. Institutional Solidarity Deduction</w:t>
      </w:r>
    </w:p>
    <w:p>
      <w:pPr>
        <w:pStyle w:val="BodyText"/>
        <w:bidi w:val="0"/>
        <w:jc w:val="start"/>
        <w:rPr/>
      </w:pPr>
      <w:r>
        <w:rPr/>
        <w:t>(1) 5% of annual gratuity is pooled nationally and shared equally among all officers.</w:t>
      </w:r>
    </w:p>
    <w:p>
      <w:pPr>
        <w:pStyle w:val="BodyText"/>
        <w:bidi w:val="0"/>
        <w:jc w:val="start"/>
        <w:rPr/>
      </w:pPr>
      <w:r>
        <w:rPr/>
        <w:t>Purpose:</w:t>
      </w:r>
    </w:p>
    <w:p>
      <w:pPr>
        <w:pStyle w:val="BodyText"/>
        <w:numPr>
          <w:ilvl w:val="0"/>
          <w:numId w:val="26"/>
        </w:numPr>
        <w:tabs>
          <w:tab w:val="left" w:pos="709" w:leader="none"/>
        </w:tabs>
        <w:bidi w:val="0"/>
        <w:ind w:hanging="283" w:start="709"/>
        <w:jc w:val="start"/>
        <w:rPr/>
      </w:pPr>
      <w:r>
        <w:rPr/>
        <w:t>reduce rivalry</w:t>
      </w:r>
    </w:p>
    <w:p>
      <w:pPr>
        <w:pStyle w:val="BodyText"/>
        <w:numPr>
          <w:ilvl w:val="0"/>
          <w:numId w:val="26"/>
        </w:numPr>
        <w:tabs>
          <w:tab w:val="left" w:pos="709" w:leader="none"/>
        </w:tabs>
        <w:bidi w:val="0"/>
        <w:ind w:hanging="283" w:start="709"/>
        <w:jc w:val="start"/>
        <w:rPr/>
      </w:pPr>
      <w:r>
        <w:rPr/>
        <w:t>reinforce institutional cohesion</w:t>
      </w:r>
    </w:p>
    <w:p>
      <w:pPr>
        <w:pStyle w:val="BodyText"/>
        <w:numPr>
          <w:ilvl w:val="0"/>
          <w:numId w:val="26"/>
        </w:numPr>
        <w:tabs>
          <w:tab w:val="left" w:pos="709" w:leader="none"/>
        </w:tabs>
        <w:bidi w:val="0"/>
        <w:ind w:hanging="283" w:start="709"/>
        <w:jc w:val="start"/>
        <w:rPr/>
      </w:pPr>
      <w:r>
        <w:rPr/>
        <w:t>discourage corruption clusters</w:t>
      </w:r>
    </w:p>
    <w:p>
      <w:pPr>
        <w:pStyle w:val="HorizontalLine"/>
        <w:bidi w:val="0"/>
        <w:jc w:val="start"/>
        <w:rPr/>
      </w:pPr>
      <w:r>
        <w:rPr/>
      </w:r>
    </w:p>
    <w:p>
      <w:pPr>
        <w:pStyle w:val="Heading2"/>
        <w:bidi w:val="0"/>
        <w:jc w:val="start"/>
        <w:rPr/>
      </w:pPr>
      <w:r>
        <w:rPr/>
        <w:t>PART IX – AUDIT, TRANSPARENCY, AND MISCONDUCT</w:t>
      </w:r>
    </w:p>
    <w:p>
      <w:pPr>
        <w:pStyle w:val="Heading3"/>
        <w:bidi w:val="0"/>
        <w:jc w:val="start"/>
        <w:rPr/>
      </w:pPr>
      <w:r>
        <w:rPr/>
        <w:t>23. Public Audit Requirement</w:t>
      </w:r>
    </w:p>
    <w:p>
      <w:pPr>
        <w:pStyle w:val="BodyText"/>
        <w:bidi w:val="0"/>
        <w:jc w:val="start"/>
        <w:rPr/>
      </w:pPr>
      <w:r>
        <w:rPr/>
        <w:t>(1) Annual publication of:</w:t>
      </w:r>
    </w:p>
    <w:p>
      <w:pPr>
        <w:pStyle w:val="BodyText"/>
        <w:numPr>
          <w:ilvl w:val="0"/>
          <w:numId w:val="27"/>
        </w:numPr>
        <w:tabs>
          <w:tab w:val="left" w:pos="709" w:leader="none"/>
        </w:tabs>
        <w:bidi w:val="0"/>
        <w:ind w:hanging="283" w:start="709"/>
        <w:jc w:val="start"/>
        <w:rPr/>
      </w:pPr>
      <w:r>
        <w:rPr/>
        <w:t>totals;</w:t>
      </w:r>
    </w:p>
    <w:p>
      <w:pPr>
        <w:pStyle w:val="BodyText"/>
        <w:numPr>
          <w:ilvl w:val="0"/>
          <w:numId w:val="27"/>
        </w:numPr>
        <w:tabs>
          <w:tab w:val="left" w:pos="709" w:leader="none"/>
        </w:tabs>
        <w:bidi w:val="0"/>
        <w:ind w:hanging="283" w:start="709"/>
        <w:jc w:val="start"/>
        <w:rPr/>
      </w:pPr>
      <w:r>
        <w:rPr/>
        <w:t>anonymised distributions;</w:t>
      </w:r>
    </w:p>
    <w:p>
      <w:pPr>
        <w:pStyle w:val="BodyText"/>
        <w:numPr>
          <w:ilvl w:val="0"/>
          <w:numId w:val="27"/>
        </w:numPr>
        <w:tabs>
          <w:tab w:val="left" w:pos="709" w:leader="none"/>
        </w:tabs>
        <w:bidi w:val="0"/>
        <w:ind w:hanging="283" w:start="709"/>
        <w:jc w:val="start"/>
        <w:rPr/>
      </w:pPr>
      <w:r>
        <w:rPr/>
        <w:t>enforcement statistics.</w:t>
      </w:r>
    </w:p>
    <w:p>
      <w:pPr>
        <w:pStyle w:val="HorizontalLine"/>
        <w:bidi w:val="0"/>
        <w:jc w:val="start"/>
        <w:rPr/>
      </w:pPr>
      <w:r>
        <w:rPr/>
      </w:r>
    </w:p>
    <w:p>
      <w:pPr>
        <w:pStyle w:val="Heading3"/>
        <w:bidi w:val="0"/>
        <w:jc w:val="start"/>
        <w:rPr/>
      </w:pPr>
      <w:r>
        <w:rPr/>
        <w:t>24. Misconduct and Forfeiture</w:t>
      </w:r>
    </w:p>
    <w:p>
      <w:pPr>
        <w:pStyle w:val="BodyText"/>
        <w:bidi w:val="0"/>
        <w:jc w:val="start"/>
        <w:rPr/>
      </w:pPr>
      <w:r>
        <w:rPr/>
        <w:t>Officers found guilty of:</w:t>
      </w:r>
    </w:p>
    <w:p>
      <w:pPr>
        <w:pStyle w:val="BodyText"/>
        <w:numPr>
          <w:ilvl w:val="0"/>
          <w:numId w:val="28"/>
        </w:numPr>
        <w:tabs>
          <w:tab w:val="left" w:pos="709" w:leader="none"/>
        </w:tabs>
        <w:bidi w:val="0"/>
        <w:ind w:hanging="283" w:start="709"/>
        <w:jc w:val="start"/>
        <w:rPr/>
      </w:pPr>
      <w:r>
        <w:rPr/>
        <w:t>corruption;</w:t>
      </w:r>
    </w:p>
    <w:p>
      <w:pPr>
        <w:pStyle w:val="BodyText"/>
        <w:numPr>
          <w:ilvl w:val="0"/>
          <w:numId w:val="28"/>
        </w:numPr>
        <w:tabs>
          <w:tab w:val="left" w:pos="709" w:leader="none"/>
        </w:tabs>
        <w:bidi w:val="0"/>
        <w:ind w:hanging="283" w:start="709"/>
        <w:jc w:val="start"/>
        <w:rPr/>
      </w:pPr>
      <w:r>
        <w:rPr/>
        <w:t>fabrication;</w:t>
      </w:r>
    </w:p>
    <w:p>
      <w:pPr>
        <w:pStyle w:val="BodyText"/>
        <w:numPr>
          <w:ilvl w:val="0"/>
          <w:numId w:val="28"/>
        </w:numPr>
        <w:tabs>
          <w:tab w:val="left" w:pos="709" w:leader="none"/>
        </w:tabs>
        <w:bidi w:val="0"/>
        <w:ind w:hanging="283" w:start="709"/>
        <w:jc w:val="start"/>
        <w:rPr/>
      </w:pPr>
      <w:r>
        <w:rPr/>
        <w:t>extortion;</w:t>
      </w:r>
    </w:p>
    <w:p>
      <w:pPr>
        <w:pStyle w:val="BodyText"/>
        <w:numPr>
          <w:ilvl w:val="0"/>
          <w:numId w:val="28"/>
        </w:numPr>
        <w:tabs>
          <w:tab w:val="left" w:pos="709" w:leader="none"/>
        </w:tabs>
        <w:bidi w:val="0"/>
        <w:ind w:hanging="283" w:start="709"/>
        <w:jc w:val="start"/>
        <w:rPr/>
      </w:pPr>
      <w:r>
        <w:rPr/>
        <w:t>selective enforcement;</w:t>
        <w:br/>
        <w:t>forfeit gratuities and face dismissal or prosecution.</w:t>
      </w:r>
    </w:p>
    <w:p>
      <w:pPr>
        <w:pStyle w:val="HorizontalLine"/>
        <w:bidi w:val="0"/>
        <w:jc w:val="start"/>
        <w:rPr/>
      </w:pPr>
      <w:r>
        <w:rPr/>
      </w:r>
    </w:p>
    <w:p>
      <w:pPr>
        <w:pStyle w:val="Heading2"/>
        <w:bidi w:val="0"/>
        <w:jc w:val="start"/>
        <w:rPr/>
      </w:pPr>
      <w:r>
        <w:rPr/>
        <w:t>PART X – IMPLEMENTATION</w:t>
      </w:r>
    </w:p>
    <w:p>
      <w:pPr>
        <w:pStyle w:val="Heading3"/>
        <w:bidi w:val="0"/>
        <w:jc w:val="start"/>
        <w:rPr/>
      </w:pPr>
      <w:r>
        <w:rPr/>
        <w:t>25. Transition</w:t>
      </w:r>
    </w:p>
    <w:p>
      <w:pPr>
        <w:pStyle w:val="BodyText"/>
        <w:bidi w:val="0"/>
        <w:jc w:val="start"/>
        <w:rPr/>
      </w:pPr>
      <w:r>
        <w:rPr/>
        <w:t>(1) Implementation within 24 months.</w:t>
        <w:br/>
        <w:t>(2) Phased rollout by sector and county.</w:t>
      </w:r>
    </w:p>
    <w:p>
      <w:pPr>
        <w:pStyle w:val="HorizontalLine"/>
        <w:bidi w:val="0"/>
        <w:jc w:val="start"/>
        <w:rPr/>
      </w:pPr>
      <w:r>
        <w:rPr/>
      </w:r>
    </w:p>
    <w:p>
      <w:pPr>
        <w:pStyle w:val="Heading3"/>
        <w:bidi w:val="0"/>
        <w:jc w:val="start"/>
        <w:rPr/>
      </w:pPr>
      <w:r>
        <w:rPr/>
        <w:t>26. Regulations</w:t>
      </w:r>
    </w:p>
    <w:p>
      <w:pPr>
        <w:pStyle w:val="BodyText"/>
        <w:bidi w:val="0"/>
        <w:jc w:val="start"/>
        <w:rPr/>
      </w:pPr>
      <w:r>
        <w:rPr/>
        <w:t>Cabinet Secretaries and County Governments shall issue implementation regulations.</w:t>
      </w:r>
    </w:p>
    <w:p>
      <w:pPr>
        <w:pStyle w:val="HorizontalLine"/>
        <w:bidi w:val="0"/>
        <w:jc w:val="start"/>
        <w:rPr/>
      </w:pPr>
      <w:r>
        <w:rPr/>
      </w:r>
    </w:p>
    <w:p>
      <w:pPr>
        <w:pStyle w:val="Heading3"/>
        <w:bidi w:val="0"/>
        <w:jc w:val="start"/>
        <w:rPr/>
      </w:pPr>
      <w:r>
        <w:rPr/>
        <w:t>27. Constitutional Supremacy</w:t>
      </w:r>
    </w:p>
    <w:p>
      <w:pPr>
        <w:pStyle w:val="BodyText"/>
        <w:bidi w:val="0"/>
        <w:jc w:val="start"/>
        <w:rPr/>
      </w:pPr>
      <w:r>
        <w:rPr/>
        <w:t>The Constitution of Kenya, 2010 prevails in case of inconsistency.</w:t>
      </w:r>
    </w:p>
    <w:p>
      <w:pPr>
        <w:pStyle w:val="BodyText"/>
        <w:bidi w:val="0"/>
        <w:jc w:val="start"/>
        <w:rPr/>
      </w:pPr>
      <w:r>
        <w:rPr/>
        <w:t>---</w:t>
      </w:r>
    </w:p>
    <w:p>
      <w:pPr>
        <w:pStyle w:val="BodyText"/>
        <w:bidi w:val="0"/>
        <w:jc w:val="start"/>
        <w:rPr/>
      </w:pPr>
      <w:r>
        <w:rPr/>
        <w:t>And then:</w:t>
      </w:r>
    </w:p>
    <w:p>
      <w:pPr>
        <w:pStyle w:val="BodyText"/>
        <w:bidi w:val="0"/>
        <w:jc w:val="start"/>
        <w:rPr/>
      </w:pPr>
      <w:r>
        <w:rPr/>
        <w:t>---</w:t>
      </w:r>
    </w:p>
    <w:p>
      <w:pPr>
        <w:pStyle w:val="BodyText"/>
        <w:bidi w:val="0"/>
        <w:jc w:val="start"/>
        <w:rPr/>
      </w:pPr>
      <w:r>
        <w:rPr/>
        <w:t xml:space="preserve">Below is a </w:t>
      </w:r>
      <w:r>
        <w:rPr>
          <w:rStyle w:val="Strong"/>
        </w:rPr>
        <w:t>Supreme Court–survivable drafting version</w:t>
      </w:r>
      <w:r>
        <w:rPr/>
        <w:t xml:space="preserve"> of your framework. It is written in a way that anticipates Kenyan constitutional litigation under Articles </w:t>
      </w:r>
      <w:r>
        <w:rPr>
          <w:rStyle w:val="Strong"/>
        </w:rPr>
        <w:t>10, 47, 50, and 232</w:t>
      </w:r>
      <w:r>
        <w:rPr/>
        <w:t xml:space="preserve">, and deliberately shifts the structure from “policy ambition language” to </w:t>
      </w:r>
      <w:r>
        <w:rPr>
          <w:rStyle w:val="Strong"/>
        </w:rPr>
        <w:t>procedurally anchored, review-safe statutory design</w:t>
      </w:r>
      <w:r>
        <w:rPr/>
        <w:t>.</w:t>
      </w:r>
    </w:p>
    <w:p>
      <w:pPr>
        <w:pStyle w:val="BodyText"/>
        <w:rPr/>
      </w:pPr>
      <w:r>
        <w:rPr/>
        <w:t>The key change is this:</w:t>
      </w:r>
    </w:p>
    <w:p>
      <w:pPr>
        <w:pStyle w:val="BlockQuotation"/>
        <w:spacing w:lineRule="auto" w:line="276" w:before="0" w:after="140"/>
        <w:rPr/>
      </w:pPr>
      <w:r>
        <w:rPr/>
        <w:t xml:space="preserve">The law is no longer an enforcement ideology — it is a </w:t>
      </w:r>
      <w:r>
        <w:rPr>
          <w:rStyle w:val="Emphasis"/>
        </w:rPr>
        <w:t>procedural governance system with embedded safeguards, review triggers, and proportionality controls.</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THE LAW ENFORCEMENT, PUBLIC TRANSPORT ACCOUNTABILITY, AND COUNTY SHERIFF SERVICES ACT, 2026</w:t>
      </w:r>
    </w:p>
    <w:p>
      <w:pPr>
        <w:pStyle w:val="Heading2"/>
        <w:spacing w:lineRule="auto" w:line="276" w:before="0" w:after="140"/>
        <w:rPr>
          <w:sz w:val="24"/>
          <w:szCs w:val="24"/>
        </w:rPr>
      </w:pPr>
      <w:r>
        <w:rPr>
          <w:sz w:val="24"/>
          <w:szCs w:val="24"/>
        </w:rPr>
        <w:t>(SUPREME COURT–SAFE STRUCTURED VERSION)</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PART I – PRELIMINARY AND CONSTITUTIONAL DESIGN PRINCIPLE</w:t>
      </w:r>
    </w:p>
    <w:p>
      <w:pPr>
        <w:pStyle w:val="Heading3"/>
        <w:spacing w:lineRule="auto" w:line="276" w:before="0" w:after="140"/>
        <w:rPr>
          <w:sz w:val="24"/>
          <w:szCs w:val="24"/>
        </w:rPr>
      </w:pPr>
      <w:r>
        <w:rPr>
          <w:sz w:val="24"/>
          <w:szCs w:val="24"/>
        </w:rPr>
        <w:t>1. Short Title and Commencement</w:t>
      </w:r>
    </w:p>
    <w:p>
      <w:pPr>
        <w:pStyle w:val="BodyText"/>
        <w:rPr/>
      </w:pPr>
      <w:r>
        <w:rPr/>
        <w:t>As previously drafted.</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2. Binding Constitutional Interpretation Clause (CRITICAL SAFEGUARD)</w:t>
      </w:r>
    </w:p>
    <w:p>
      <w:pPr>
        <w:pStyle w:val="BodyText"/>
        <w:rPr/>
      </w:pPr>
      <w:r>
        <w:rPr/>
        <w:t>This Act shall be interpreted in a manner that:</w:t>
        <w:br/>
        <w:t>(a) gives effect to Articles 10, 47, 50, and 232 of the Constitution;</w:t>
        <w:br/>
        <w:t>(b) preserves proportionality in all enforcement actions;</w:t>
        <w:br/>
        <w:t>(c) prioritises procedural fairness over administrative efficiency; and</w:t>
        <w:br/>
        <w:t>(d) requires that no enforcement mechanism shall operate as a final determination of guilt without access to independent review.</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3. Nature of the Act (KEY SUPREME COURT CLAUSE)</w:t>
      </w:r>
    </w:p>
    <w:p>
      <w:pPr>
        <w:pStyle w:val="BodyText"/>
        <w:rPr/>
      </w:pPr>
      <w:r>
        <w:rPr/>
        <w:t xml:space="preserve">(1) This Act establishes a </w:t>
      </w:r>
      <w:r>
        <w:rPr>
          <w:rStyle w:val="Strong"/>
        </w:rPr>
        <w:t>dual-layer administrative and judicial enforcement framework</w:t>
      </w:r>
      <w:r>
        <w:rPr/>
        <w:t>.</w:t>
      </w:r>
    </w:p>
    <w:p>
      <w:pPr>
        <w:pStyle w:val="BodyText"/>
        <w:rPr/>
      </w:pPr>
      <w:r>
        <w:rPr/>
        <w:t>(2) All enforcement actions under this Act are:</w:t>
      </w:r>
    </w:p>
    <w:p>
      <w:pPr>
        <w:pStyle w:val="BodyText"/>
        <w:numPr>
          <w:ilvl w:val="0"/>
          <w:numId w:val="29"/>
        </w:numPr>
        <w:tabs>
          <w:tab w:val="clear" w:pos="709"/>
          <w:tab w:val="left" w:pos="0" w:leader="none"/>
        </w:tabs>
        <w:ind w:hanging="283" w:start="709"/>
        <w:rPr/>
      </w:pPr>
      <w:r>
        <w:rPr>
          <w:rStyle w:val="Strong"/>
        </w:rPr>
        <w:t>administrative in nature at first instance</w:t>
      </w:r>
      <w:r>
        <w:rPr/>
        <w:t>, and</w:t>
      </w:r>
    </w:p>
    <w:p>
      <w:pPr>
        <w:pStyle w:val="BodyText"/>
        <w:numPr>
          <w:ilvl w:val="0"/>
          <w:numId w:val="29"/>
        </w:numPr>
        <w:tabs>
          <w:tab w:val="clear" w:pos="709"/>
          <w:tab w:val="left" w:pos="0" w:leader="none"/>
        </w:tabs>
        <w:ind w:hanging="283" w:start="709"/>
        <w:rPr/>
      </w:pPr>
      <w:r>
        <w:rPr>
          <w:rStyle w:val="Strong"/>
        </w:rPr>
        <w:t>judicially reviewable as of right</w:t>
      </w:r>
      <w:r>
        <w:rPr/>
        <w:t>.</w:t>
      </w:r>
    </w:p>
    <w:p>
      <w:pPr>
        <w:pStyle w:val="BodyText"/>
        <w:rPr/>
      </w:pPr>
      <w:r>
        <w:rPr/>
        <w:t>(3) No provision of this Act shall be construed as limiting judicial authority under Article 50 or Article 165 of the Constitution.</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PART II – STATE AND COUNTY ENFORCEMENT STRUCTURE</w:t>
      </w:r>
    </w:p>
    <w:p>
      <w:pPr>
        <w:pStyle w:val="Heading3"/>
        <w:spacing w:lineRule="auto" w:line="276" w:before="0" w:after="140"/>
        <w:rPr>
          <w:sz w:val="24"/>
          <w:szCs w:val="24"/>
        </w:rPr>
      </w:pPr>
      <w:r>
        <w:rPr>
          <w:sz w:val="24"/>
          <w:szCs w:val="24"/>
        </w:rPr>
        <w:t>4. Separation of Functions</w:t>
      </w:r>
    </w:p>
    <w:p>
      <w:pPr>
        <w:pStyle w:val="BodyText"/>
        <w:rPr/>
      </w:pPr>
      <w:r>
        <w:rPr/>
        <w:t>(Unchanged core structure, but legally softened)</w:t>
      </w:r>
    </w:p>
    <w:p>
      <w:pPr>
        <w:pStyle w:val="BodyText"/>
        <w:rPr/>
      </w:pPr>
      <w:r>
        <w:rPr/>
        <w:t>(6) No function assigned under this Act shall derogate from:</w:t>
      </w:r>
    </w:p>
    <w:p>
      <w:pPr>
        <w:pStyle w:val="BodyText"/>
        <w:numPr>
          <w:ilvl w:val="0"/>
          <w:numId w:val="30"/>
        </w:numPr>
        <w:tabs>
          <w:tab w:val="clear" w:pos="709"/>
          <w:tab w:val="left" w:pos="0" w:leader="none"/>
        </w:tabs>
        <w:ind w:hanging="283" w:start="709"/>
        <w:rPr/>
      </w:pPr>
      <w:r>
        <w:rPr/>
        <w:t>judicial independence; or</w:t>
      </w:r>
    </w:p>
    <w:p>
      <w:pPr>
        <w:pStyle w:val="BodyText"/>
        <w:numPr>
          <w:ilvl w:val="0"/>
          <w:numId w:val="30"/>
        </w:numPr>
        <w:tabs>
          <w:tab w:val="clear" w:pos="709"/>
          <w:tab w:val="left" w:pos="0" w:leader="none"/>
        </w:tabs>
        <w:ind w:hanging="283" w:start="709"/>
        <w:rPr/>
      </w:pPr>
      <w:r>
        <w:rPr/>
        <w:t>constitutional policing oversight bodies.</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5. County Sheriff Service Governance Safeguard</w:t>
      </w:r>
    </w:p>
    <w:p>
      <w:pPr>
        <w:pStyle w:val="BodyText"/>
        <w:rPr/>
      </w:pPr>
      <w:r>
        <w:rPr/>
        <w:t>(1) County Sheriff Services shall operate under:</w:t>
      </w:r>
    </w:p>
    <w:p>
      <w:pPr>
        <w:pStyle w:val="BodyText"/>
        <w:numPr>
          <w:ilvl w:val="0"/>
          <w:numId w:val="31"/>
        </w:numPr>
        <w:tabs>
          <w:tab w:val="clear" w:pos="709"/>
          <w:tab w:val="left" w:pos="0" w:leader="none"/>
        </w:tabs>
        <w:ind w:hanging="283" w:start="709"/>
        <w:rPr/>
      </w:pPr>
      <w:r>
        <w:rPr/>
        <w:t>County executive oversight; and</w:t>
      </w:r>
    </w:p>
    <w:p>
      <w:pPr>
        <w:pStyle w:val="BodyText"/>
        <w:numPr>
          <w:ilvl w:val="0"/>
          <w:numId w:val="31"/>
        </w:numPr>
        <w:tabs>
          <w:tab w:val="clear" w:pos="709"/>
          <w:tab w:val="left" w:pos="0" w:leader="none"/>
        </w:tabs>
        <w:ind w:hanging="283" w:start="709"/>
        <w:rPr/>
      </w:pPr>
      <w:r>
        <w:rPr/>
        <w:t>national policing standards issued by Parliament.</w:t>
      </w:r>
    </w:p>
    <w:p>
      <w:pPr>
        <w:pStyle w:val="BodyText"/>
        <w:rPr/>
      </w:pPr>
      <w:r>
        <w:rPr/>
        <w:t>(2) Enforcement standards shall be uniform across counties to prevent arbitrariness contrary to Article 10.</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PART III – ADMINISTRATIVE ENFORCEMENT AND ON-THE-SPOT SETTLEMENT SYSTEM</w:t>
      </w:r>
    </w:p>
    <w:p>
      <w:pPr>
        <w:pStyle w:val="Heading3"/>
        <w:spacing w:lineRule="auto" w:line="276" w:before="0" w:after="140"/>
        <w:rPr>
          <w:sz w:val="24"/>
          <w:szCs w:val="24"/>
        </w:rPr>
      </w:pPr>
      <w:r>
        <w:rPr>
          <w:sz w:val="24"/>
          <w:szCs w:val="24"/>
        </w:rPr>
        <w:t>6. Optional Administrative Settlement Mechanism (CRITICAL REWRITE)</w:t>
      </w:r>
    </w:p>
    <w:p>
      <w:pPr>
        <w:pStyle w:val="BodyText"/>
        <w:rPr/>
      </w:pPr>
      <w:r>
        <w:rPr/>
        <w:t xml:space="preserve">(1) An enforcement officer may issue a </w:t>
      </w:r>
      <w:r>
        <w:rPr>
          <w:rStyle w:val="Strong"/>
        </w:rPr>
        <w:t>Notice of Administrative Settlement Offer (NASO)</w:t>
      </w:r>
      <w:r>
        <w:rPr/>
        <w:t xml:space="preserve"> for minor offences.</w:t>
      </w:r>
    </w:p>
    <w:p>
      <w:pPr>
        <w:pStyle w:val="BodyText"/>
        <w:rPr/>
      </w:pPr>
      <w:r>
        <w:rPr/>
        <w:t>(2) A NASO shall constitute:</w:t>
      </w:r>
    </w:p>
    <w:p>
      <w:pPr>
        <w:pStyle w:val="BodyText"/>
        <w:numPr>
          <w:ilvl w:val="0"/>
          <w:numId w:val="32"/>
        </w:numPr>
        <w:tabs>
          <w:tab w:val="clear" w:pos="709"/>
          <w:tab w:val="left" w:pos="0" w:leader="none"/>
        </w:tabs>
        <w:ind w:hanging="283" w:start="709"/>
        <w:rPr/>
      </w:pPr>
      <w:r>
        <w:rPr/>
        <w:t xml:space="preserve">an </w:t>
      </w:r>
      <w:r>
        <w:rPr>
          <w:rStyle w:val="Strong"/>
        </w:rPr>
        <w:t>optional administrative settlement proposal</w:t>
      </w:r>
      <w:r>
        <w:rPr/>
        <w:t>, not a conviction.</w:t>
      </w:r>
    </w:p>
    <w:p>
      <w:pPr>
        <w:pStyle w:val="BodyText"/>
        <w:rPr/>
      </w:pPr>
      <w:r>
        <w:rPr/>
        <w:t>(3) A recipient may:</w:t>
        <w:br/>
        <w:t>(a) accept the settlement; or</w:t>
        <w:br/>
        <w:t>(b) decline and proceed to formal adjudication.</w:t>
      </w:r>
    </w:p>
    <w:p>
      <w:pPr>
        <w:pStyle w:val="BodyText"/>
        <w:rPr/>
      </w:pPr>
      <w:r>
        <w:rPr/>
        <w:t xml:space="preserve">(4) Acceptance of a NASO shall not constitute an admission of criminal guilt, but a </w:t>
      </w:r>
      <w:r>
        <w:rPr>
          <w:rStyle w:val="Strong"/>
        </w:rPr>
        <w:t>voluntary resolution of administrative liability</w:t>
      </w:r>
      <w:r>
        <w:rPr/>
        <w:t>.</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7. Safeguards Against Coercion (ARTICLE 47 PROTECTION)</w:t>
      </w:r>
    </w:p>
    <w:p>
      <w:pPr>
        <w:pStyle w:val="BodyText"/>
        <w:rPr/>
      </w:pPr>
      <w:r>
        <w:rPr/>
        <w:t>(1) No person shall be penalised for declining a NASO.</w:t>
      </w:r>
    </w:p>
    <w:p>
      <w:pPr>
        <w:pStyle w:val="BodyText"/>
        <w:rPr/>
      </w:pPr>
      <w:r>
        <w:rPr/>
        <w:t>(2) Declining a NASO shall not:</w:t>
      </w:r>
    </w:p>
    <w:p>
      <w:pPr>
        <w:pStyle w:val="BodyText"/>
        <w:numPr>
          <w:ilvl w:val="0"/>
          <w:numId w:val="33"/>
        </w:numPr>
        <w:tabs>
          <w:tab w:val="clear" w:pos="709"/>
          <w:tab w:val="left" w:pos="0" w:leader="none"/>
        </w:tabs>
        <w:ind w:hanging="283" w:start="709"/>
        <w:rPr/>
      </w:pPr>
      <w:r>
        <w:rPr/>
        <w:t>increase statutory penalty exposure;</w:t>
      </w:r>
    </w:p>
    <w:p>
      <w:pPr>
        <w:pStyle w:val="BodyText"/>
        <w:numPr>
          <w:ilvl w:val="0"/>
          <w:numId w:val="33"/>
        </w:numPr>
        <w:tabs>
          <w:tab w:val="clear" w:pos="709"/>
          <w:tab w:val="left" w:pos="0" w:leader="none"/>
        </w:tabs>
        <w:ind w:hanging="283" w:start="709"/>
        <w:rPr/>
      </w:pPr>
      <w:r>
        <w:rPr/>
        <w:t>trigger adverse administrative inference; or</w:t>
      </w:r>
    </w:p>
    <w:p>
      <w:pPr>
        <w:pStyle w:val="BodyText"/>
        <w:numPr>
          <w:ilvl w:val="0"/>
          <w:numId w:val="33"/>
        </w:numPr>
        <w:tabs>
          <w:tab w:val="clear" w:pos="709"/>
          <w:tab w:val="left" w:pos="0" w:leader="none"/>
        </w:tabs>
        <w:ind w:hanging="283" w:start="709"/>
        <w:rPr/>
      </w:pPr>
      <w:r>
        <w:rPr/>
        <w:t>affect evidentiary burden.</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8. Mandatory Evidence Disclosure (ARTICLE 50 ALIGNMENT)</w:t>
      </w:r>
    </w:p>
    <w:p>
      <w:pPr>
        <w:pStyle w:val="BodyText"/>
        <w:rPr/>
      </w:pPr>
      <w:r>
        <w:rPr/>
        <w:t>(1) Upon issuance of a NASO, the enforcing officer shall preserve and disclose:</w:t>
      </w:r>
    </w:p>
    <w:p>
      <w:pPr>
        <w:pStyle w:val="BodyText"/>
        <w:numPr>
          <w:ilvl w:val="0"/>
          <w:numId w:val="34"/>
        </w:numPr>
        <w:tabs>
          <w:tab w:val="clear" w:pos="709"/>
          <w:tab w:val="left" w:pos="0" w:leader="none"/>
        </w:tabs>
        <w:ind w:hanging="283" w:start="709"/>
        <w:rPr/>
      </w:pPr>
      <w:r>
        <w:rPr/>
        <w:t>officer statement;</w:t>
      </w:r>
    </w:p>
    <w:p>
      <w:pPr>
        <w:pStyle w:val="BodyText"/>
        <w:numPr>
          <w:ilvl w:val="0"/>
          <w:numId w:val="34"/>
        </w:numPr>
        <w:tabs>
          <w:tab w:val="clear" w:pos="709"/>
          <w:tab w:val="left" w:pos="0" w:leader="none"/>
        </w:tabs>
        <w:ind w:hanging="283" w:start="709"/>
        <w:rPr/>
      </w:pPr>
      <w:r>
        <w:rPr/>
        <w:t>digital or physical evidence;</w:t>
      </w:r>
    </w:p>
    <w:p>
      <w:pPr>
        <w:pStyle w:val="BodyText"/>
        <w:numPr>
          <w:ilvl w:val="0"/>
          <w:numId w:val="34"/>
        </w:numPr>
        <w:tabs>
          <w:tab w:val="clear" w:pos="709"/>
          <w:tab w:val="left" w:pos="0" w:leader="none"/>
        </w:tabs>
        <w:ind w:hanging="283" w:start="709"/>
        <w:rPr/>
      </w:pPr>
      <w:r>
        <w:rPr/>
        <w:t>time, location, and offence basis.</w:t>
      </w:r>
    </w:p>
    <w:p>
      <w:pPr>
        <w:pStyle w:val="BodyText"/>
        <w:rPr/>
      </w:pPr>
      <w:r>
        <w:rPr/>
        <w:t>(2) Evidence shall be accessible prior to any election of settlement or challenge.</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PART IV – DEMERIT SYSTEM (CONSTITUTIONALLY SAFE VERSION)</w:t>
      </w:r>
    </w:p>
    <w:p>
      <w:pPr>
        <w:pStyle w:val="Heading3"/>
        <w:spacing w:lineRule="auto" w:line="276" w:before="0" w:after="140"/>
        <w:rPr>
          <w:sz w:val="24"/>
          <w:szCs w:val="24"/>
        </w:rPr>
      </w:pPr>
      <w:r>
        <w:rPr>
          <w:sz w:val="24"/>
          <w:szCs w:val="24"/>
        </w:rPr>
        <w:t>9. Nature of Demerits (IMPORTANT LEGAL CLARIFICATION)</w:t>
      </w:r>
    </w:p>
    <w:p>
      <w:pPr>
        <w:pStyle w:val="BodyText"/>
        <w:rPr/>
      </w:pPr>
      <w:r>
        <w:rPr/>
        <w:t>(1) A demerit under this Act is:</w:t>
      </w:r>
    </w:p>
    <w:p>
      <w:pPr>
        <w:pStyle w:val="BodyText"/>
        <w:numPr>
          <w:ilvl w:val="0"/>
          <w:numId w:val="35"/>
        </w:numPr>
        <w:tabs>
          <w:tab w:val="clear" w:pos="709"/>
          <w:tab w:val="left" w:pos="0" w:leader="none"/>
        </w:tabs>
        <w:ind w:hanging="283" w:start="709"/>
        <w:rPr/>
      </w:pPr>
      <w:r>
        <w:rPr/>
        <w:t xml:space="preserve">an </w:t>
      </w:r>
      <w:r>
        <w:rPr>
          <w:rStyle w:val="Strong"/>
        </w:rPr>
        <w:t>administrative risk record</w:t>
      </w:r>
      <w:r>
        <w:rPr/>
        <w:t>, not a criminal conviction.</w:t>
      </w:r>
    </w:p>
    <w:p>
      <w:pPr>
        <w:pStyle w:val="BodyText"/>
        <w:rPr/>
      </w:pPr>
      <w:r>
        <w:rPr/>
        <w:t>(2) No demerit shall have criminal effect unless confirmed by:</w:t>
      </w:r>
    </w:p>
    <w:p>
      <w:pPr>
        <w:pStyle w:val="BodyText"/>
        <w:numPr>
          <w:ilvl w:val="0"/>
          <w:numId w:val="36"/>
        </w:numPr>
        <w:tabs>
          <w:tab w:val="clear" w:pos="709"/>
          <w:tab w:val="left" w:pos="0" w:leader="none"/>
        </w:tabs>
        <w:ind w:hanging="283" w:start="709"/>
        <w:rPr/>
      </w:pPr>
      <w:r>
        <w:rPr/>
        <w:t>court determination; or</w:t>
      </w:r>
    </w:p>
    <w:p>
      <w:pPr>
        <w:pStyle w:val="BodyText"/>
        <w:numPr>
          <w:ilvl w:val="0"/>
          <w:numId w:val="36"/>
        </w:numPr>
        <w:tabs>
          <w:tab w:val="clear" w:pos="709"/>
          <w:tab w:val="left" w:pos="0" w:leader="none"/>
        </w:tabs>
        <w:ind w:hanging="283" w:start="709"/>
        <w:rPr/>
      </w:pPr>
      <w:r>
        <w:rPr/>
        <w:t>independent tribunal review.</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10. Provisional and Final Demerits (KEY SUPREME COURT FIX)</w:t>
      </w:r>
    </w:p>
    <w:p>
      <w:pPr>
        <w:pStyle w:val="BodyText"/>
        <w:rPr/>
      </w:pPr>
      <w:r>
        <w:rPr/>
        <w:t xml:space="preserve">(1) Upon issuance, a demerit shall be recorded as </w:t>
      </w:r>
      <w:r>
        <w:rPr>
          <w:rStyle w:val="Strong"/>
        </w:rPr>
        <w:t>provisional</w:t>
      </w:r>
      <w:r>
        <w:rPr/>
        <w:t>.</w:t>
      </w:r>
    </w:p>
    <w:p>
      <w:pPr>
        <w:pStyle w:val="BodyText"/>
        <w:rPr/>
      </w:pPr>
      <w:r>
        <w:rPr/>
        <w:t xml:space="preserve">(2) A provisional demerit becomes </w:t>
      </w:r>
      <w:r>
        <w:rPr>
          <w:rStyle w:val="Strong"/>
        </w:rPr>
        <w:t>final only upon</w:t>
      </w:r>
      <w:r>
        <w:rPr/>
        <w:t>:</w:t>
        <w:br/>
        <w:t>(a) expiry of challenge period; or</w:t>
        <w:br/>
        <w:t>(b) confirmation by court or tribunal.</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11. Threshold Sanctions (PROPORTIONALITY LOCK)</w:t>
      </w:r>
    </w:p>
    <w:p>
      <w:pPr>
        <w:pStyle w:val="BodyText"/>
        <w:rPr/>
      </w:pPr>
      <w:r>
        <w:rPr/>
        <w:t xml:space="preserve">(1) Suspension thresholds shall only apply to </w:t>
      </w:r>
      <w:r>
        <w:rPr>
          <w:rStyle w:val="Strong"/>
        </w:rPr>
        <w:t>final demerits</w:t>
      </w:r>
      <w:r>
        <w:rPr/>
        <w:t>.</w:t>
      </w:r>
    </w:p>
    <w:p>
      <w:pPr>
        <w:pStyle w:val="BodyText"/>
        <w:rPr/>
      </w:pPr>
      <w:r>
        <w:rPr/>
        <w:t>(2) Any suspension shall be subject to:</w:t>
      </w:r>
    </w:p>
    <w:p>
      <w:pPr>
        <w:pStyle w:val="BodyText"/>
        <w:numPr>
          <w:ilvl w:val="0"/>
          <w:numId w:val="37"/>
        </w:numPr>
        <w:tabs>
          <w:tab w:val="clear" w:pos="709"/>
          <w:tab w:val="left" w:pos="0" w:leader="none"/>
        </w:tabs>
        <w:ind w:hanging="283" w:start="709"/>
        <w:rPr/>
      </w:pPr>
      <w:r>
        <w:rPr/>
        <w:t>automatic review rights; and</w:t>
      </w:r>
    </w:p>
    <w:p>
      <w:pPr>
        <w:pStyle w:val="BodyText"/>
        <w:numPr>
          <w:ilvl w:val="0"/>
          <w:numId w:val="37"/>
        </w:numPr>
        <w:tabs>
          <w:tab w:val="clear" w:pos="709"/>
          <w:tab w:val="left" w:pos="0" w:leader="none"/>
        </w:tabs>
        <w:ind w:hanging="283" w:start="709"/>
        <w:rPr/>
      </w:pPr>
      <w:r>
        <w:rPr/>
        <w:t>immediate stay upon filing of appeal.</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PART V – PSV SACCO AND INSTITUTIONAL LIABILITY FRAMEWORK</w:t>
      </w:r>
    </w:p>
    <w:p>
      <w:pPr>
        <w:pStyle w:val="Heading3"/>
        <w:spacing w:lineRule="auto" w:line="276" w:before="0" w:after="140"/>
        <w:rPr>
          <w:sz w:val="24"/>
          <w:szCs w:val="24"/>
        </w:rPr>
      </w:pPr>
      <w:r>
        <w:rPr>
          <w:sz w:val="24"/>
          <w:szCs w:val="24"/>
        </w:rPr>
        <w:t>12. Sacco Liability Principle (REFINED FOR ARTICLE 10)</w:t>
      </w:r>
    </w:p>
    <w:p>
      <w:pPr>
        <w:pStyle w:val="BodyText"/>
        <w:rPr/>
      </w:pPr>
      <w:r>
        <w:rPr/>
        <w:t>(1) A Sacco shall be liable only where:</w:t>
        <w:br/>
        <w:t>(a) systemic negligence is established; or</w:t>
        <w:br/>
        <w:t>(b) failure of internal compliance systems is demonstrated.</w:t>
      </w:r>
    </w:p>
    <w:p>
      <w:pPr>
        <w:pStyle w:val="BodyText"/>
        <w:rPr/>
      </w:pPr>
      <w:r>
        <w:rPr/>
        <w:t>(2) Liability shall not arise solely from:</w:t>
      </w:r>
    </w:p>
    <w:p>
      <w:pPr>
        <w:pStyle w:val="BodyText"/>
        <w:numPr>
          <w:ilvl w:val="0"/>
          <w:numId w:val="38"/>
        </w:numPr>
        <w:tabs>
          <w:tab w:val="clear" w:pos="709"/>
          <w:tab w:val="left" w:pos="0" w:leader="none"/>
        </w:tabs>
        <w:ind w:hanging="283" w:start="709"/>
        <w:rPr/>
      </w:pPr>
      <w:r>
        <w:rPr/>
        <w:t>isolated conduct of individual drivers.</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13. Pooled Risk Scoring System (NOT PUNITIVE AUTOMATION)</w:t>
      </w:r>
    </w:p>
    <w:p>
      <w:pPr>
        <w:pStyle w:val="BodyText"/>
        <w:rPr/>
      </w:pPr>
      <w:r>
        <w:rPr/>
        <w:t>(1) Sacco pooled demerits shall constitute:</w:t>
      </w:r>
    </w:p>
    <w:p>
      <w:pPr>
        <w:pStyle w:val="BodyText"/>
        <w:numPr>
          <w:ilvl w:val="0"/>
          <w:numId w:val="39"/>
        </w:numPr>
        <w:tabs>
          <w:tab w:val="clear" w:pos="709"/>
          <w:tab w:val="left" w:pos="0" w:leader="none"/>
        </w:tabs>
        <w:ind w:hanging="283" w:start="709"/>
        <w:rPr/>
      </w:pPr>
      <w:r>
        <w:rPr/>
        <w:t xml:space="preserve">a </w:t>
      </w:r>
      <w:r>
        <w:rPr>
          <w:rStyle w:val="Strong"/>
        </w:rPr>
        <w:t>risk classification index</w:t>
      </w:r>
      <w:r>
        <w:rPr/>
        <w:t>, not automatic punishment.</w:t>
      </w:r>
    </w:p>
    <w:p>
      <w:pPr>
        <w:pStyle w:val="BodyText"/>
        <w:rPr/>
      </w:pPr>
      <w:r>
        <w:rPr/>
        <w:t>(2) Any sanction based on pooled risk shall require:</w:t>
        <w:br/>
        <w:t>(a) audit verification; and</w:t>
        <w:br/>
        <w:t>(b) administrative hearing.</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14. Mandatory Hearing Before Institutional Sanctions</w:t>
      </w:r>
    </w:p>
    <w:p>
      <w:pPr>
        <w:pStyle w:val="BodyText"/>
        <w:rPr/>
      </w:pPr>
      <w:r>
        <w:rPr/>
        <w:t>No suspension, licence limitation, or restructuring order shall be issued without:</w:t>
        <w:br/>
        <w:t>(a) written notice;</w:t>
        <w:br/>
        <w:t>(b) opportunity to respond; and</w:t>
        <w:br/>
        <w:t>(c) reasoned administrative decision.</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PART VI – EVIDENCE AND VIDEO RECORDS</w:t>
      </w:r>
    </w:p>
    <w:p>
      <w:pPr>
        <w:pStyle w:val="Heading3"/>
        <w:spacing w:lineRule="auto" w:line="276" w:before="0" w:after="140"/>
        <w:rPr>
          <w:sz w:val="24"/>
          <w:szCs w:val="24"/>
        </w:rPr>
      </w:pPr>
      <w:r>
        <w:rPr>
          <w:sz w:val="24"/>
          <w:szCs w:val="24"/>
        </w:rPr>
        <w:t>15. Admissibility of Video Evidence (ARTICLE 50 STRONG CLAUSE)</w:t>
      </w:r>
    </w:p>
    <w:p>
      <w:pPr>
        <w:pStyle w:val="BodyText"/>
        <w:rPr/>
      </w:pPr>
      <w:r>
        <w:rPr/>
        <w:t>(1) Video evidence is admissible from both:</w:t>
      </w:r>
    </w:p>
    <w:p>
      <w:pPr>
        <w:pStyle w:val="BodyText"/>
        <w:numPr>
          <w:ilvl w:val="0"/>
          <w:numId w:val="40"/>
        </w:numPr>
        <w:tabs>
          <w:tab w:val="clear" w:pos="709"/>
          <w:tab w:val="left" w:pos="0" w:leader="none"/>
        </w:tabs>
        <w:ind w:hanging="283" w:start="709"/>
        <w:rPr/>
      </w:pPr>
      <w:r>
        <w:rPr/>
        <w:t>enforcement authorities; and</w:t>
      </w:r>
    </w:p>
    <w:p>
      <w:pPr>
        <w:pStyle w:val="BodyText"/>
        <w:numPr>
          <w:ilvl w:val="0"/>
          <w:numId w:val="40"/>
        </w:numPr>
        <w:tabs>
          <w:tab w:val="clear" w:pos="709"/>
          <w:tab w:val="left" w:pos="0" w:leader="none"/>
        </w:tabs>
        <w:ind w:hanging="283" w:start="709"/>
        <w:rPr/>
      </w:pPr>
      <w:r>
        <w:rPr/>
        <w:t>citizens.</w:t>
      </w:r>
    </w:p>
    <w:p>
      <w:pPr>
        <w:pStyle w:val="BodyText"/>
        <w:rPr/>
      </w:pPr>
      <w:r>
        <w:rPr/>
        <w:t>(2) All video evidence shall be subject to:</w:t>
        <w:br/>
        <w:t>(a) authentication standards;</w:t>
        <w:br/>
        <w:t>(b) chain-of-custody verification; and</w:t>
        <w:br/>
        <w:t>(c) judicial evaluation of reliability.</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PART VII – HYBRID ENFORCEMENT SYSTEM (RESILIENCE CLAUSE)</w:t>
      </w:r>
    </w:p>
    <w:p>
      <w:pPr>
        <w:pStyle w:val="Heading3"/>
        <w:spacing w:lineRule="auto" w:line="276" w:before="0" w:after="140"/>
        <w:rPr>
          <w:sz w:val="24"/>
          <w:szCs w:val="24"/>
        </w:rPr>
      </w:pPr>
      <w:r>
        <w:rPr>
          <w:sz w:val="24"/>
          <w:szCs w:val="24"/>
        </w:rPr>
        <w:t>16. Dual-Mode Validity Rule</w:t>
      </w:r>
    </w:p>
    <w:p>
      <w:pPr>
        <w:pStyle w:val="BodyText"/>
        <w:rPr/>
      </w:pPr>
      <w:r>
        <w:rPr/>
        <w:t>(1) Enforcement validity shall not depend exclusively on digital systems.</w:t>
      </w:r>
    </w:p>
    <w:p>
      <w:pPr>
        <w:pStyle w:val="BodyText"/>
        <w:rPr/>
      </w:pPr>
      <w:r>
        <w:rPr/>
        <w:t>(2) Physical records shall constitute independent legal proof.</w:t>
      </w:r>
    </w:p>
    <w:p>
      <w:pPr>
        <w:pStyle w:val="BodyText"/>
        <w:rPr/>
      </w:pPr>
      <w:r>
        <w:rPr/>
        <w:t>(3) Digital systems shall serve as:</w:t>
      </w:r>
    </w:p>
    <w:p>
      <w:pPr>
        <w:pStyle w:val="BodyText"/>
        <w:numPr>
          <w:ilvl w:val="0"/>
          <w:numId w:val="41"/>
        </w:numPr>
        <w:tabs>
          <w:tab w:val="clear" w:pos="709"/>
          <w:tab w:val="left" w:pos="0" w:leader="none"/>
        </w:tabs>
        <w:ind w:hanging="283" w:start="709"/>
        <w:rPr/>
      </w:pPr>
      <w:r>
        <w:rPr/>
        <w:t>audit infrastructure;</w:t>
      </w:r>
    </w:p>
    <w:p>
      <w:pPr>
        <w:pStyle w:val="BodyText"/>
        <w:numPr>
          <w:ilvl w:val="0"/>
          <w:numId w:val="41"/>
        </w:numPr>
        <w:tabs>
          <w:tab w:val="clear" w:pos="709"/>
          <w:tab w:val="left" w:pos="0" w:leader="none"/>
        </w:tabs>
        <w:ind w:hanging="283" w:start="709"/>
        <w:rPr/>
      </w:pPr>
      <w:r>
        <w:rPr/>
        <w:t>verification tools; and</w:t>
      </w:r>
    </w:p>
    <w:p>
      <w:pPr>
        <w:pStyle w:val="BodyText"/>
        <w:numPr>
          <w:ilvl w:val="0"/>
          <w:numId w:val="41"/>
        </w:numPr>
        <w:tabs>
          <w:tab w:val="clear" w:pos="709"/>
          <w:tab w:val="left" w:pos="0" w:leader="none"/>
        </w:tabs>
        <w:ind w:hanging="283" w:start="709"/>
        <w:rPr/>
      </w:pPr>
      <w:r>
        <w:rPr/>
        <w:t>transparency systems.</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PART VIII – POLICE AND PUBLIC SERVICE INTEGRITY</w:t>
      </w:r>
    </w:p>
    <w:p>
      <w:pPr>
        <w:pStyle w:val="Heading3"/>
        <w:spacing w:lineRule="auto" w:line="276" w:before="0" w:after="140"/>
        <w:rPr>
          <w:sz w:val="24"/>
          <w:szCs w:val="24"/>
        </w:rPr>
      </w:pPr>
      <w:r>
        <w:rPr>
          <w:sz w:val="24"/>
          <w:szCs w:val="24"/>
        </w:rPr>
        <w:t>17. Incentive Safeguard Clause (ARTICLE 232 FIX)</w:t>
      </w:r>
    </w:p>
    <w:p>
      <w:pPr>
        <w:pStyle w:val="BodyText"/>
        <w:rPr/>
      </w:pPr>
      <w:r>
        <w:rPr/>
        <w:t>(1) Any performance-based benefit shall be:</w:t>
      </w:r>
    </w:p>
    <w:p>
      <w:pPr>
        <w:pStyle w:val="BodyText"/>
        <w:numPr>
          <w:ilvl w:val="0"/>
          <w:numId w:val="42"/>
        </w:numPr>
        <w:tabs>
          <w:tab w:val="clear" w:pos="709"/>
          <w:tab w:val="left" w:pos="0" w:leader="none"/>
        </w:tabs>
        <w:ind w:hanging="283" w:start="709"/>
        <w:rPr/>
      </w:pPr>
      <w:r>
        <w:rPr/>
        <w:t>capped; and</w:t>
      </w:r>
    </w:p>
    <w:p>
      <w:pPr>
        <w:pStyle w:val="BodyText"/>
        <w:numPr>
          <w:ilvl w:val="0"/>
          <w:numId w:val="42"/>
        </w:numPr>
        <w:tabs>
          <w:tab w:val="clear" w:pos="709"/>
          <w:tab w:val="left" w:pos="0" w:leader="none"/>
        </w:tabs>
        <w:ind w:hanging="283" w:start="709"/>
        <w:rPr/>
      </w:pPr>
      <w:r>
        <w:rPr/>
        <w:t>subject to anti-abuse audit.</w:t>
      </w:r>
    </w:p>
    <w:p>
      <w:pPr>
        <w:pStyle w:val="BodyText"/>
        <w:rPr/>
      </w:pPr>
      <w:r>
        <w:rPr/>
        <w:t>(2) No enforcement officer shall receive incentives that:</w:t>
        <w:br/>
        <w:t>(a) depend on volume of tickets alone; or</w:t>
        <w:br/>
        <w:t>(b) create quotas or target pressure.</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18. Transparency of Benefits</w:t>
      </w:r>
    </w:p>
    <w:p>
      <w:pPr>
        <w:pStyle w:val="BodyText"/>
        <w:rPr/>
      </w:pPr>
      <w:r>
        <w:rPr/>
        <w:t>(1) All financial benefits under this Act shall be:</w:t>
      </w:r>
    </w:p>
    <w:p>
      <w:pPr>
        <w:pStyle w:val="BodyText"/>
        <w:numPr>
          <w:ilvl w:val="0"/>
          <w:numId w:val="43"/>
        </w:numPr>
        <w:tabs>
          <w:tab w:val="clear" w:pos="709"/>
          <w:tab w:val="left" w:pos="0" w:leader="none"/>
        </w:tabs>
        <w:ind w:hanging="283" w:start="709"/>
        <w:rPr/>
      </w:pPr>
      <w:r>
        <w:rPr/>
        <w:t>publicly declared in aggregated form; and</w:t>
      </w:r>
    </w:p>
    <w:p>
      <w:pPr>
        <w:pStyle w:val="BodyText"/>
        <w:numPr>
          <w:ilvl w:val="0"/>
          <w:numId w:val="43"/>
        </w:numPr>
        <w:tabs>
          <w:tab w:val="clear" w:pos="709"/>
          <w:tab w:val="left" w:pos="0" w:leader="none"/>
        </w:tabs>
        <w:ind w:hanging="283" w:start="709"/>
        <w:rPr/>
      </w:pPr>
      <w:r>
        <w:rPr/>
        <w:t>subject to annual audit.</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PART IX – JUDICIAL REVIEW AND SUPREMACY OF COURTS</w:t>
      </w:r>
    </w:p>
    <w:p>
      <w:pPr>
        <w:pStyle w:val="Heading3"/>
        <w:spacing w:lineRule="auto" w:line="276" w:before="0" w:after="140"/>
        <w:rPr>
          <w:sz w:val="24"/>
          <w:szCs w:val="24"/>
        </w:rPr>
      </w:pPr>
      <w:r>
        <w:rPr>
          <w:sz w:val="24"/>
          <w:szCs w:val="24"/>
        </w:rPr>
        <w:t>19. Non-Derogation of Judicial Authority (CRITICAL SUPREME COURT CLAUSE)</w:t>
      </w:r>
    </w:p>
    <w:p>
      <w:pPr>
        <w:pStyle w:val="BodyText"/>
        <w:rPr/>
      </w:pPr>
      <w:r>
        <w:rPr/>
        <w:t>Nothing in this Act shall:</w:t>
        <w:br/>
        <w:t>(a) limit the jurisdiction of courts under Article 165;</w:t>
        <w:br/>
        <w:t>(b) restrict fair hearing rights under Article 50; or</w:t>
        <w:br/>
        <w:t>(c) prevent judicial review of any administrative action.</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20. Automatic Right of Appeal</w:t>
      </w:r>
    </w:p>
    <w:p>
      <w:pPr>
        <w:pStyle w:val="BodyText"/>
        <w:rPr/>
      </w:pPr>
      <w:r>
        <w:rPr/>
        <w:t>All enforcement actions shall carry:</w:t>
      </w:r>
    </w:p>
    <w:p>
      <w:pPr>
        <w:pStyle w:val="BodyText"/>
        <w:numPr>
          <w:ilvl w:val="0"/>
          <w:numId w:val="44"/>
        </w:numPr>
        <w:tabs>
          <w:tab w:val="clear" w:pos="709"/>
          <w:tab w:val="left" w:pos="0" w:leader="none"/>
        </w:tabs>
        <w:ind w:hanging="283" w:start="709"/>
        <w:rPr/>
      </w:pPr>
      <w:r>
        <w:rPr/>
        <w:t>an automatic right of appeal without leave of court.</w:t>
      </w:r>
    </w:p>
    <w:p>
      <w:pPr>
        <w:pStyle w:val="BodyText"/>
        <w:bidi w:val="0"/>
        <w:jc w:val="start"/>
        <w:rPr/>
      </w:pPr>
      <w:r>
        <w:rPr/>
        <w:t>---</w:t>
      </w:r>
    </w:p>
    <w:p>
      <w:pPr>
        <w:pStyle w:val="BodyText"/>
        <w:bidi w:val="0"/>
        <w:jc w:val="start"/>
        <w:rPr/>
      </w:pPr>
      <w:r>
        <w:rPr/>
        <w:t>And then:</w:t>
      </w:r>
    </w:p>
    <w:p>
      <w:pPr>
        <w:pStyle w:val="BodyText"/>
        <w:bidi w:val="0"/>
        <w:jc w:val="start"/>
        <w:rPr/>
      </w:pPr>
      <w:r>
        <w:rPr/>
        <w:t>---</w:t>
      </w:r>
    </w:p>
    <w:p>
      <w:pPr>
        <w:pStyle w:val="BlockQuotation"/>
        <w:bidi w:val="0"/>
        <w:jc w:val="start"/>
        <w:rPr/>
      </w:pPr>
      <w:r>
        <w:rPr/>
        <w:t>“</w:t>
      </w:r>
      <w:r>
        <w:rPr/>
        <w:t>Every enforcement ticket issued under this Act shall be transmitted to the relevant Sacco for purposes of compliance monitoring and internal governance.”</w:t>
      </w:r>
    </w:p>
    <w:p>
      <w:pPr>
        <w:pStyle w:val="BlockQuotation"/>
        <w:spacing w:lineRule="auto" w:line="276" w:before="0" w:after="140"/>
        <w:rPr/>
      </w:pPr>
      <w:r>
        <w:rPr/>
        <w:t>“</w:t>
      </w:r>
      <w:r>
        <w:rPr/>
        <w:t>Each Sacco shall maintain a record of administrative action taken in response to notified enforcement tickets within the prescribed period.”</w:t>
      </w:r>
    </w:p>
    <w:p>
      <w:pPr>
        <w:pStyle w:val="BlockQuotation"/>
        <w:spacing w:lineRule="auto" w:line="276" w:before="0" w:after="140"/>
        <w:rPr/>
      </w:pPr>
      <w:r>
        <w:rPr/>
        <w:t>“</w:t>
      </w:r>
      <w:r>
        <w:rPr/>
        <w:t>Failure to maintain a compliance response record shall constitute an administrative breach subject to regulatory sanction, but shall not, by itself, give rise to demerit accumulation.”</w:t>
      </w:r>
    </w:p>
    <w:p>
      <w:pPr>
        <w:pStyle w:val="BlockQuotation"/>
        <w:spacing w:lineRule="auto" w:line="276" w:before="0" w:after="140"/>
        <w:rPr/>
      </w:pPr>
      <w:r>
        <w:rPr/>
        <w:t>“</w:t>
      </w:r>
      <w:r>
        <w:rPr/>
        <w:t>Where a PSV Sacco, upon notification of an enforcement action, suspends an operator, the conduct of such operator shall cease to be attributable to the Sacco for purposes of pooled liability during the period of suspension and any prescribed rehabilitation or cooling-off period.”</w:t>
      </w:r>
    </w:p>
    <w:p>
      <w:pPr>
        <w:pStyle w:val="BlockQuotation"/>
        <w:spacing w:lineRule="auto" w:line="276" w:before="0" w:after="140"/>
        <w:rPr/>
      </w:pPr>
      <w:r>
        <w:rPr/>
        <w:t>“</w:t>
      </w:r>
      <w:r>
        <w:rPr/>
        <w:t>A Sacco may elect alternative corrective measures in lieu of suspension; provided that such measures shall be subject to review only where institutional liability escalation thresholds are met.”</w:t>
      </w:r>
    </w:p>
    <w:p>
      <w:pPr>
        <w:pStyle w:val="BlockQuotation"/>
        <w:spacing w:lineRule="auto" w:line="276" w:before="0" w:after="140"/>
        <w:rPr/>
      </w:pPr>
      <w:r>
        <w:rPr/>
        <w:t>“</w:t>
      </w:r>
      <w:r>
        <w:rPr/>
        <w:t>Institutional liability shall not arise solely from the conduct of a single operator absent evidence of repeated misconduct and failure by the Sacco to take reasonable corrective action following notice.”</w:t>
      </w:r>
    </w:p>
    <w:p>
      <w:pPr>
        <w:pStyle w:val="BlockQuotation"/>
        <w:spacing w:lineRule="auto" w:line="276" w:before="0" w:after="140"/>
        <w:rPr/>
      </w:pPr>
      <w:r>
        <w:rPr/>
        <w:t>“</w:t>
      </w:r>
      <w:r>
        <w:rPr/>
        <w:t xml:space="preserve">Where it is established through verifiable enforcement records or adjudicated findings that a suspended operator continued to operate PSV vehicles during the suspension period, such suspension shall be deemed ineffective for purposes of Sacco liability mitigation.” </w:t>
      </w:r>
    </w:p>
    <w:p>
      <w:pPr>
        <w:pStyle w:val="BlockQuotation"/>
        <w:spacing w:lineRule="auto" w:line="276" w:before="0" w:after="140"/>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w:zoom w:percent="63"/>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Tahoma"/>
        <w:kern w:val="2"/>
        <w:sz w:val="24"/>
        <w:szCs w:val="24"/>
        <w:lang w:val="en-GB" w:eastAsia="zh-CN" w:bidi="zxx"/>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Tahoma"/>
      <w:color w:val="auto"/>
      <w:kern w:val="2"/>
      <w:sz w:val="24"/>
      <w:szCs w:val="24"/>
      <w:lang w:val="en-GB" w:eastAsia="zh-CN" w:bidi="zxx"/>
    </w:rPr>
  </w:style>
  <w:style w:type="paragraph" w:styleId="Heading1">
    <w:name w:val="heading 1"/>
    <w:basedOn w:val="Heading"/>
    <w:next w:val="BodyText"/>
    <w:qFormat/>
    <w:pPr>
      <w:spacing w:before="240" w:after="120"/>
      <w:outlineLvl w:val="0"/>
    </w:pPr>
    <w:rPr>
      <w:rFonts w:ascii="Liberation Serif" w:hAnsi="Liberation Serif" w:eastAsia="NSimSun" w:cs="Tahoma"/>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Tahoma"/>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Tahoma"/>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LibreOffice/26.2.4.2$Windows_X86_64 LibreOffice_project/0229ac93fcf0d7cbc6376066c6f35021cef002dc</Application>
  <AppVersion>15.0000</AppVersion>
  <Pages>13</Pages>
  <Words>2248</Words>
  <Characters>13204</Characters>
  <CharactersWithSpaces>15072</CharactersWithSpaces>
  <Paragraphs>284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2026-06-12T12:06:50Z</dcterms:created>
  <dc:creator/>
  <dc:description/>
  <dc:language>en-KE</dc:language>
  <cp:lastModifiedBy/>
  <dcterms:modified xsi:type="dcterms:W3CDTF">2026-06-12T13:03:49Z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