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Bahnschrift" w:hAnsi="Bahnschrift"/>
        </w:rPr>
      </w:pPr>
      <w:r>
        <w:rPr>
          <w:rFonts w:ascii="Bahnschrift" w:hAnsi="Bahnschrift"/>
        </w:rPr>
        <w:t xml:space="preserve">THE NATIONAL GOVERNANCE </w:t>
      </w:r>
      <w:r>
        <w:rPr>
          <w:rFonts w:ascii="Bahnschrift" w:hAnsi="Bahnschrift"/>
        </w:rPr>
        <w:t>AND ECONOMY</w:t>
      </w:r>
      <w:r>
        <w:rPr>
          <w:rFonts w:ascii="Bahnschrift" w:hAnsi="Bahnschrift"/>
        </w:rPr>
        <w:t xml:space="preserve"> REFORM ACT, 2028</w:t>
      </w:r>
    </w:p>
    <w:p>
      <w:pPr>
        <w:pStyle w:val="BodyText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</w:r>
    </w:p>
    <w:p>
      <w:pPr>
        <w:pStyle w:val="Heading2"/>
        <w:bidi w:val="0"/>
        <w:ind w:hanging="0" w:start="0"/>
        <w:jc w:val="start"/>
        <w:rPr>
          <w:rFonts w:ascii="Bahnschrift" w:hAnsi="Bahnschrift"/>
        </w:rPr>
      </w:pPr>
      <w:r>
        <w:rPr>
          <w:rFonts w:ascii="Bahnschrift" w:hAnsi="Bahnschrift"/>
        </w:rPr>
        <w:t>A Bill for an Act of Parliament</w:t>
      </w:r>
    </w:p>
    <w:p>
      <w:pPr>
        <w:pStyle w:val="BodyText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to require the collection, publication, and standardisation of national </w:t>
      </w:r>
      <w:r>
        <w:rPr>
          <w:rFonts w:ascii="Bahnschrift" w:hAnsi="Bahnschrift"/>
        </w:rPr>
        <w:t>governance and service delivery</w:t>
      </w:r>
      <w:r>
        <w:rPr>
          <w:rFonts w:ascii="Bahnschrift" w:hAnsi="Bahnschrift"/>
        </w:rPr>
        <w:t>; to establish systems for crime, recidivism, law-enforcement conduct, and public service feedback reporting; to improve transparency, evidence-based policy, and administrative accountability within the framework of the Constitution of Kenya, 2010; and for connected purposes.</w:t>
      </w:r>
    </w:p>
    <w:p>
      <w:pPr>
        <w:pStyle w:val="Heading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Philosophy</w:t>
      </w:r>
    </w:p>
    <w:p>
      <w:pPr>
        <w:pStyle w:val="BodyText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Nation prospers when public power is auditable and measurable, and the people have as many means to provide for themselves</w:t>
      </w:r>
    </w:p>
    <w:p>
      <w:pPr>
        <w:pStyle w:val="BodyText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</w:r>
    </w:p>
    <w:p>
      <w:pPr>
        <w:pStyle w:val="HorizontalLine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</w:r>
    </w:p>
    <w:p>
      <w:pPr>
        <w:pStyle w:val="Heading1"/>
        <w:bidi w:val="0"/>
        <w:ind w:hanging="0" w:start="0"/>
        <w:jc w:val="start"/>
        <w:rPr>
          <w:rFonts w:ascii="Bahnschrift" w:hAnsi="Bahnschrift"/>
        </w:rPr>
      </w:pPr>
      <w:r>
        <w:rPr>
          <w:rFonts w:ascii="Bahnschrift" w:hAnsi="Bahnschrift"/>
        </w:rPr>
        <w:t>PART I — PRELIMINARY</w:t>
      </w:r>
    </w:p>
    <w:p>
      <w:pPr>
        <w:pStyle w:val="Heading2"/>
        <w:bidi w:val="0"/>
        <w:ind w:hanging="0" w:start="0"/>
        <w:jc w:val="start"/>
        <w:rPr>
          <w:rFonts w:ascii="Bahnschrift" w:hAnsi="Bahnschrift"/>
        </w:rPr>
      </w:pPr>
      <w:r>
        <w:rPr>
          <w:rFonts w:ascii="Bahnschrift" w:hAnsi="Bahnschrift"/>
        </w:rPr>
        <w:t>1. Short Title and Commencement</w:t>
      </w:r>
    </w:p>
    <w:p>
      <w:pPr>
        <w:pStyle w:val="BodyText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This Act may be cited as the NATIONAL GOVERNANCE REFORM ACT, 2028 and shall come into operation upon publication in the Gazette.</w:t>
      </w:r>
    </w:p>
    <w:p>
      <w:pPr>
        <w:pStyle w:val="HorizontalLine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</w:r>
    </w:p>
    <w:p>
      <w:pPr>
        <w:pStyle w:val="Heading2"/>
        <w:bidi w:val="0"/>
        <w:ind w:hanging="0" w:start="0"/>
        <w:jc w:val="start"/>
        <w:rPr>
          <w:rFonts w:ascii="Bahnschrift" w:hAnsi="Bahnschrift"/>
        </w:rPr>
      </w:pPr>
      <w:r>
        <w:rPr>
          <w:rFonts w:ascii="Bahnschrift" w:hAnsi="Bahnschrift"/>
        </w:rPr>
        <w:t>2. Constitutional Foundation</w:t>
      </w:r>
    </w:p>
    <w:p>
      <w:pPr>
        <w:pStyle w:val="BodyText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This Act is enacted pursuant to: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Bahnschrift" w:hAnsi="Bahnschrift"/>
        </w:rPr>
      </w:pPr>
      <w:r>
        <w:rPr>
          <w:rFonts w:ascii="Bahnschrift" w:hAnsi="Bahnschrift"/>
        </w:rPr>
        <w:t>Article 10 (National Values and Principles of Governance);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Bahnschrift" w:hAnsi="Bahnschrift"/>
        </w:rPr>
      </w:pPr>
      <w:r>
        <w:rPr>
          <w:rFonts w:ascii="Bahnschrift" w:hAnsi="Bahnschrift"/>
        </w:rPr>
        <w:t>Article 35 (Access to Information);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Bahnschrift" w:hAnsi="Bahnschrift"/>
        </w:rPr>
      </w:pPr>
      <w:r>
        <w:rPr>
          <w:rFonts w:ascii="Bahnschrift" w:hAnsi="Bahnschrift"/>
        </w:rPr>
        <w:t>Article 47 (Fair Administrative Action);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Bahnschrift" w:hAnsi="Bahnschrift"/>
        </w:rPr>
      </w:pPr>
      <w:r>
        <w:rPr>
          <w:rFonts w:ascii="Bahnschrift" w:hAnsi="Bahnschrift"/>
        </w:rPr>
        <w:t>Article 73 (Responsibilities of Leadership);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Bahnschrift" w:hAnsi="Bahnschrift"/>
        </w:rPr>
      </w:pPr>
      <w:r>
        <w:rPr>
          <w:rFonts w:ascii="Bahnschrift" w:hAnsi="Bahnschrift"/>
        </w:rPr>
        <w:t>Article 232 (Values and Principles of Public Service);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Bahnschrift" w:hAnsi="Bahnschrift"/>
        </w:rPr>
      </w:pPr>
      <w:r>
        <w:rPr>
          <w:rFonts w:ascii="Bahnschrift" w:hAnsi="Bahnschrift"/>
        </w:rPr>
        <w:t>Article 244 (Objects and Functions of the National Police Service);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and all other relevant provisions of the Constitution of Kenya, 2010.</w:t>
      </w:r>
    </w:p>
    <w:p>
      <w:pPr>
        <w:pStyle w:val="HorizontalLine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</w:r>
    </w:p>
    <w:p>
      <w:pPr>
        <w:pStyle w:val="Heading2"/>
        <w:bidi w:val="0"/>
        <w:ind w:hanging="0" w:start="0"/>
        <w:jc w:val="start"/>
        <w:rPr>
          <w:rFonts w:ascii="Bahnschrift" w:hAnsi="Bahnschrift"/>
        </w:rPr>
      </w:pPr>
      <w:r>
        <w:rPr>
          <w:rFonts w:ascii="Bahnschrift" w:hAnsi="Bahnschrift"/>
        </w:rPr>
        <w:t>3. Purpose of the Act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rFonts w:ascii="Bahnschrift" w:hAnsi="Bahnschrift"/>
        </w:rPr>
      </w:pPr>
      <w:r>
        <w:rPr>
          <w:rFonts w:ascii="Bahnschrift" w:hAnsi="Bahnschrift"/>
        </w:rPr>
        <w:t>The purpose of this Act is to:</w:t>
      </w:r>
    </w:p>
    <w:p>
      <w:pPr>
        <w:pStyle w:val="BodyText"/>
        <w:numPr>
          <w:ilvl w:val="1"/>
          <w:numId w:val="3"/>
        </w:numPr>
        <w:bidi w:val="0"/>
        <w:spacing w:lineRule="auto" w:line="240"/>
        <w:jc w:val="start"/>
        <w:rPr>
          <w:rFonts w:ascii="Bahnschrift" w:hAnsi="Bahnschrift"/>
        </w:rPr>
      </w:pPr>
      <w:r>
        <w:rPr>
          <w:rFonts w:ascii="Bahnschrift" w:hAnsi="Bahnschrift"/>
        </w:rPr>
        <w:t>improve transparency in public administration;</w:t>
      </w:r>
    </w:p>
    <w:p>
      <w:pPr>
        <w:pStyle w:val="BodyText"/>
        <w:numPr>
          <w:ilvl w:val="1"/>
          <w:numId w:val="3"/>
        </w:numPr>
        <w:bidi w:val="0"/>
        <w:spacing w:lineRule="auto" w:line="24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 national standards for public </w:t>
      </w:r>
      <w:r>
        <w:rPr>
          <w:rFonts w:ascii="Bahnschrift" w:hAnsi="Bahnschrift"/>
        </w:rPr>
        <w:t>service registry and</w:t>
      </w:r>
      <w:r>
        <w:rPr>
          <w:rFonts w:ascii="Bahnschrift" w:hAnsi="Bahnschrift"/>
        </w:rPr>
        <w:t xml:space="preserve"> statistical reporting;</w:t>
      </w:r>
    </w:p>
    <w:p>
      <w:pPr>
        <w:pStyle w:val="BodyText"/>
        <w:numPr>
          <w:ilvl w:val="1"/>
          <w:numId w:val="3"/>
        </w:numPr>
        <w:bidi w:val="0"/>
        <w:spacing w:lineRule="auto" w:line="240"/>
        <w:jc w:val="start"/>
        <w:rPr>
          <w:rFonts w:ascii="Bahnschrift" w:hAnsi="Bahnschrift"/>
        </w:rPr>
      </w:pPr>
      <w:r>
        <w:rPr>
          <w:rFonts w:ascii="Bahnschrift" w:hAnsi="Bahnschrift"/>
        </w:rPr>
        <w:t>improve evidence-based policymaking;</w:t>
      </w:r>
    </w:p>
    <w:p>
      <w:pPr>
        <w:pStyle w:val="BodyText"/>
        <w:numPr>
          <w:ilvl w:val="1"/>
          <w:numId w:val="3"/>
        </w:numPr>
        <w:bidi w:val="0"/>
        <w:spacing w:lineRule="auto" w:line="240"/>
        <w:jc w:val="start"/>
        <w:rPr>
          <w:rFonts w:ascii="Bahnschrift" w:hAnsi="Bahnschrift"/>
        </w:rPr>
      </w:pPr>
      <w:r>
        <w:rPr>
          <w:rFonts w:ascii="Bahnschrift" w:hAnsi="Bahnschrift"/>
        </w:rPr>
        <w:t>strengthen accountability within law-enforcement institutions;</w:t>
      </w:r>
    </w:p>
    <w:p>
      <w:pPr>
        <w:pStyle w:val="BodyText"/>
        <w:numPr>
          <w:ilvl w:val="1"/>
          <w:numId w:val="3"/>
        </w:numPr>
        <w:bidi w:val="0"/>
        <w:spacing w:lineRule="auto" w:line="24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 structured public complaint and citizen feedback systems;</w:t>
      </w:r>
    </w:p>
    <w:p>
      <w:pPr>
        <w:pStyle w:val="BodyText"/>
        <w:numPr>
          <w:ilvl w:val="1"/>
          <w:numId w:val="3"/>
        </w:numPr>
        <w:bidi w:val="0"/>
        <w:spacing w:lineRule="auto" w:line="240"/>
        <w:jc w:val="start"/>
        <w:rPr>
          <w:rFonts w:ascii="Bahnschrift" w:hAnsi="Bahnschrift"/>
        </w:rPr>
      </w:pPr>
      <w:r>
        <w:rPr>
          <w:rFonts w:ascii="Bahnschrift" w:hAnsi="Bahnschrift"/>
        </w:rPr>
        <w:t>improve visibility into recidivism and rehabilitation outcomes;</w:t>
      </w:r>
    </w:p>
    <w:p>
      <w:pPr>
        <w:pStyle w:val="BodyText"/>
        <w:numPr>
          <w:ilvl w:val="1"/>
          <w:numId w:val="3"/>
        </w:numPr>
        <w:bidi w:val="0"/>
        <w:spacing w:lineRule="auto" w:line="240"/>
        <w:jc w:val="start"/>
        <w:rPr>
          <w:rFonts w:ascii="Bahnschrift" w:hAnsi="Bahnschrift"/>
        </w:rPr>
      </w:pPr>
      <w:r>
        <w:rPr>
          <w:rFonts w:ascii="Bahnschrift" w:hAnsi="Bahnschrift"/>
        </w:rPr>
        <w:t>support independent oversight and public confidence.</w:t>
      </w:r>
    </w:p>
    <w:p>
      <w:pPr>
        <w:pStyle w:val="HorizontalLine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</w:r>
    </w:p>
    <w:p>
      <w:pPr>
        <w:pStyle w:val="Heading2"/>
        <w:bidi w:val="0"/>
        <w:ind w:hanging="0" w:start="0"/>
        <w:jc w:val="start"/>
        <w:rPr>
          <w:rFonts w:ascii="Bahnschrift" w:hAnsi="Bahnschrift"/>
        </w:rPr>
      </w:pPr>
      <w:r>
        <w:rPr>
          <w:rFonts w:ascii="Bahnschrift" w:hAnsi="Bahnschrift"/>
        </w:rPr>
        <w:t>Table Of Contents</w:t>
      </w:r>
    </w:p>
    <w:p>
      <w:pPr>
        <w:pStyle w:val="BodyText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</w:r>
    </w:p>
    <w:p>
      <w:pPr>
        <w:pStyle w:val="BodyText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Bill consists of the Following Subsections: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Definitions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Kenya Federated National Registry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The Empowerment of the Ministry of Information, Communication and Technology to </w:t>
      </w:r>
      <w:r>
        <w:rPr>
          <w:rFonts w:ascii="Bahnschrift" w:hAnsi="Bahnschrift"/>
        </w:rPr>
        <w:t>E</w:t>
      </w:r>
      <w:r>
        <w:rPr>
          <w:rFonts w:ascii="Bahnschrift" w:hAnsi="Bahnschrift"/>
        </w:rPr>
        <w:t>stablish an</w:t>
      </w:r>
      <w:r>
        <w:rPr>
          <w:rFonts w:ascii="Bahnschrift" w:hAnsi="Bahnschrift"/>
        </w:rPr>
        <w:t>d Maintain a National Federated Registry Standard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Empowerment of the Counties to Independently Update and Maintain County-level Registries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The Establishment of the National Statistics Office and </w:t>
      </w:r>
      <w:r>
        <w:rPr>
          <w:rFonts w:ascii="Bahnschrift" w:hAnsi="Bahnschrift"/>
        </w:rPr>
        <w:t>Empowerment to Publish Monthly, Quarterly, Annually, and Annum-Periodic Aggregate Statistics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Public Service Efficiency and Quality Bureau and Civil Service Performance Awards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National Voluntary Record Keeping Service and Benefits Program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Police Remuneration Reform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Standardisation of Base Pay, Hierarchical Increments, and Benefits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Standardisation of Fine Incentive System and </w:t>
      </w:r>
      <w:r>
        <w:rPr>
          <w:rFonts w:ascii="Bahnschrift" w:hAnsi="Bahnschrift"/>
        </w:rPr>
        <w:t>Public Audit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Standardisation of Nation Wide Police Force Equipping and Training Rotation and Procedures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County Sheriff Police Department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County Sheriff and County Attorney Elected Offices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County Sheriff Headquarters and Responsibilities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National Helpline and Federated Emergency Response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Escalation Hierarchy and Oversight Responsibilities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National and County Policing Registry and Statistics Program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Unified Governance, Licensing and Audit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Public Administration Licensing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Civic Oversight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Public Service Feedback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Start-Up Enterprise Tax Incentives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Standardised Manufacturing, Construction, and Agriculture Incentive Programs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Motor Vehicle Driver Demerit Ticketing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Individual Ticketing Principle and Demerit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SACCO</w:t>
      </w:r>
      <w:r>
        <w:rPr>
          <w:rFonts w:ascii="Bahnschrift" w:hAnsi="Bahnschrift"/>
        </w:rPr>
        <w:t xml:space="preserve"> Pooled Demerit System and Administrative Resolutions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Record Integrity, Registry, and Audit Standards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Standardised County and National Routes Market and Commercial Standards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the National Passenger Service </w:t>
      </w:r>
      <w:r>
        <w:rPr>
          <w:rFonts w:ascii="Bahnschrift" w:hAnsi="Bahnschrift"/>
        </w:rPr>
        <w:t xml:space="preserve">Standards under the National Traffic Safety Authority and </w:t>
      </w:r>
      <w:r>
        <w:rPr>
          <w:rFonts w:ascii="Bahnschrift" w:hAnsi="Bahnschrift"/>
        </w:rPr>
        <w:t>Capitalisation Market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MCA National Government Shadow Dockets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County-government Mirrors of the National Government Ministr</w:t>
      </w:r>
      <w:r>
        <w:rPr>
          <w:rFonts w:ascii="Bahnschrift" w:hAnsi="Bahnschrift"/>
        </w:rPr>
        <w:t>ies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The Empowerment of the County Assemblies to appoint Members to </w:t>
      </w:r>
      <w:r>
        <w:rPr>
          <w:rFonts w:ascii="Bahnschrift" w:hAnsi="Bahnschrift"/>
        </w:rPr>
        <w:t>Audit</w:t>
      </w:r>
      <w:r>
        <w:rPr>
          <w:rFonts w:ascii="Bahnschrift" w:hAnsi="Bahnschrift"/>
        </w:rPr>
        <w:t xml:space="preserve"> Local Operations of the </w:t>
      </w:r>
      <w:r>
        <w:rPr>
          <w:rFonts w:ascii="Bahnschrift" w:hAnsi="Bahnschrift"/>
        </w:rPr>
        <w:t xml:space="preserve">County and </w:t>
      </w:r>
      <w:r>
        <w:rPr>
          <w:rFonts w:ascii="Bahnschrift" w:hAnsi="Bahnschrift"/>
        </w:rPr>
        <w:t>National Government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Alderman Board and Civic Draft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the </w:t>
      </w:r>
      <w:r>
        <w:rPr>
          <w:rFonts w:ascii="Bahnschrift" w:hAnsi="Bahnschrift"/>
        </w:rPr>
        <w:t xml:space="preserve">Annual Maintenance Audit and </w:t>
      </w:r>
      <w:r>
        <w:rPr>
          <w:rFonts w:ascii="Bahnschrift" w:hAnsi="Bahnschrift"/>
        </w:rPr>
        <w:t>County Poll Tax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Commercial Drivers National Logistics Platform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Empowerment of the EPRA to Establish and Regulate a National Fuel Futures Market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</w:t>
      </w:r>
      <w:r>
        <w:rPr>
          <w:rFonts w:ascii="Bahnschrift" w:hAnsi="Bahnschrift"/>
        </w:rPr>
        <w:t>the Tiered Certified Fuel Infrastructure Classification and Capitalisation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Driver Standardised Incentive and Capitalisation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Tiered Logistics Operator and Capitalisation System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Electric Grid Supply Market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Bur</w:t>
      </w:r>
      <w:r>
        <w:rPr>
          <w:rFonts w:ascii="Bahnschrift" w:hAnsi="Bahnschrift"/>
        </w:rPr>
        <w:t>e</w:t>
      </w:r>
      <w:r>
        <w:rPr>
          <w:rFonts w:ascii="Bahnschrift" w:hAnsi="Bahnschrift"/>
        </w:rPr>
        <w:t>au of Alcohol, Tobacco, Contraband, and Firearms,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Expansion of Private Firearm </w:t>
      </w:r>
      <w:r>
        <w:rPr>
          <w:rFonts w:ascii="Bahnschrift" w:hAnsi="Bahnschrift"/>
        </w:rPr>
        <w:t xml:space="preserve">Registration, </w:t>
      </w:r>
      <w:r>
        <w:rPr>
          <w:rFonts w:ascii="Bahnschrift" w:hAnsi="Bahnschrift"/>
        </w:rPr>
        <w:t>Oversight,</w:t>
      </w:r>
      <w:r>
        <w:rPr>
          <w:rFonts w:ascii="Bahnschrift" w:hAnsi="Bahnschrift"/>
        </w:rPr>
        <w:t xml:space="preserve"> and Co-ordination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Firearms Distributors Registry and Market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</w:t>
      </w:r>
      <w:r>
        <w:rPr>
          <w:rFonts w:ascii="Bahnschrift" w:hAnsi="Bahnschrift"/>
        </w:rPr>
        <w:t xml:space="preserve">Civilian </w:t>
      </w:r>
      <w:r>
        <w:rPr>
          <w:rFonts w:ascii="Bahnschrift" w:hAnsi="Bahnschrift"/>
        </w:rPr>
        <w:t xml:space="preserve">Self-defence and Law Enforcement </w:t>
      </w:r>
      <w:r>
        <w:rPr>
          <w:rFonts w:ascii="Bahnschrift" w:hAnsi="Bahnschrift"/>
        </w:rPr>
        <w:t>Co-operation</w:t>
      </w:r>
      <w:r>
        <w:rPr>
          <w:rFonts w:ascii="Bahnschrift" w:hAnsi="Bahnschrift"/>
        </w:rPr>
        <w:t xml:space="preserve"> Standards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National Arms Manufacturer Market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Jury Service, and Other Judiciary and Penal Code Reforms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The Establishment of the Elder Jury System </w:t>
      </w:r>
      <w:r>
        <w:rPr>
          <w:rFonts w:ascii="Bahnschrift" w:hAnsi="Bahnschrift"/>
        </w:rPr>
        <w:t>and Deputy-Magistrate Office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Public Court Docket and Case Registry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The Expansion of the Death Penalty </w:t>
      </w:r>
      <w:r>
        <w:rPr>
          <w:rFonts w:ascii="Bahnschrift" w:hAnsi="Bahnschrift"/>
        </w:rPr>
        <w:t>and Corporal Punishment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the Monthly, Quarterly, </w:t>
      </w:r>
      <w:r>
        <w:rPr>
          <w:rFonts w:ascii="Bahnschrift" w:hAnsi="Bahnschrift"/>
        </w:rPr>
        <w:t>Annual, Biannual, Quinquennial and Decennial Statistical Reports on Court Processes, Rulings, and Penal Outcomes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</w:t>
      </w:r>
      <w:r>
        <w:rPr>
          <w:rFonts w:ascii="Bahnschrift" w:hAnsi="Bahnschrift"/>
        </w:rPr>
        <w:t>Judicial Interface and Evidentiary Standardisation Framework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Reform of the National Public Education System and Standards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Standardised Education Coupon Entitlements </w:t>
      </w:r>
      <w:r>
        <w:rPr>
          <w:rFonts w:ascii="Bahnschrift" w:hAnsi="Bahnschrift"/>
        </w:rPr>
        <w:t xml:space="preserve">to all Students in Kenya </w:t>
      </w:r>
      <w:r>
        <w:rPr>
          <w:rFonts w:ascii="Bahnschrift" w:hAnsi="Bahnschrift"/>
        </w:rPr>
        <w:t>and Consolidation of all other Student Entitlement and Grant Programs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</w:t>
      </w:r>
      <w:r>
        <w:rPr>
          <w:rFonts w:ascii="Bahnschrift" w:hAnsi="Bahnschrift"/>
        </w:rPr>
        <w:t>National School Food Assistance Program and Market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the National Teacher Reward Program </w:t>
      </w:r>
      <w:r>
        <w:rPr>
          <w:rFonts w:ascii="Bahnschrift" w:hAnsi="Bahnschrift"/>
        </w:rPr>
        <w:t>and Annual Recognition Awards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County Science, Technology, Engineering, Mathematics, Management and Sports Scholarship Award Program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National Student Discipline, Counselling, and Punishment Standards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the </w:t>
      </w:r>
      <w:r>
        <w:rPr>
          <w:rFonts w:ascii="Bahnschrift" w:hAnsi="Bahnschrift"/>
        </w:rPr>
        <w:t>Junior Secondary, Senior Secondary, Under-Graduate, and Post-Graduate,</w:t>
      </w:r>
      <w:r>
        <w:rPr>
          <w:rFonts w:ascii="Bahnschrift" w:hAnsi="Bahnschrift"/>
        </w:rPr>
        <w:t xml:space="preserve"> Student Literature and Arts Publication Awards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National Standards on Minor’s Social Media Use and Publication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Establishment of the </w:t>
      </w:r>
      <w:r>
        <w:rPr>
          <w:rFonts w:ascii="Bahnschrift" w:hAnsi="Bahnschrift"/>
        </w:rPr>
        <w:t xml:space="preserve">Minors and </w:t>
      </w:r>
      <w:r>
        <w:rPr>
          <w:rFonts w:ascii="Bahnschrift" w:hAnsi="Bahnschrift"/>
        </w:rPr>
        <w:t>Under-</w:t>
      </w:r>
      <w:r>
        <w:rPr>
          <w:rFonts w:ascii="Bahnschrift" w:hAnsi="Bahnschrift"/>
        </w:rPr>
        <w:t>21</w:t>
      </w:r>
      <w:r>
        <w:rPr>
          <w:rFonts w:ascii="Bahnschrift" w:hAnsi="Bahnschrift"/>
        </w:rPr>
        <w:t xml:space="preserve"> Apprenticeship Authority and Programs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Minor’s Phone and Social Media Use and Regulation Standards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Establishment of the Dual Education-Vocation University Standard and Industry Communication Support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The Establishment of the </w:t>
      </w:r>
      <w:r>
        <w:rPr>
          <w:rFonts w:ascii="Bahnschrift" w:hAnsi="Bahnschrift"/>
        </w:rPr>
        <w:t>Family/</w:t>
      </w:r>
      <w:r>
        <w:rPr>
          <w:rFonts w:ascii="Bahnschrift" w:hAnsi="Bahnschrift"/>
        </w:rPr>
        <w:t>Clan Trust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Definition of the </w:t>
      </w:r>
      <w:r>
        <w:rPr>
          <w:rFonts w:ascii="Bahnschrift" w:hAnsi="Bahnschrift"/>
        </w:rPr>
        <w:t>Family/</w:t>
      </w:r>
      <w:r>
        <w:rPr>
          <w:rFonts w:ascii="Bahnschrift" w:hAnsi="Bahnschrift"/>
        </w:rPr>
        <w:t xml:space="preserve">Clan </w:t>
      </w:r>
      <w:r>
        <w:rPr>
          <w:rFonts w:ascii="Bahnschrift" w:hAnsi="Bahnschrift"/>
        </w:rPr>
        <w:t>and Membership Protocols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Empowerments and Responsibilities of the Clan </w:t>
      </w:r>
      <w:r>
        <w:rPr>
          <w:rFonts w:ascii="Bahnschrift" w:hAnsi="Bahnschrift"/>
        </w:rPr>
        <w:t>Trust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Tax Treatment and Incentive Eligibility of Clan Trusts 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National Clan Registry and Regulation Standards Authority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Judicial Empowerments to Suspend, Reorganise, or Disband a Clan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The Kenya National Defence Reform and </w:t>
      </w:r>
      <w:r>
        <w:rPr>
          <w:rFonts w:ascii="Bahnschrift" w:hAnsi="Bahnschrift"/>
        </w:rPr>
        <w:t>Capability Enhancement Plan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National Heroes Registry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Air Force Expansion and Training Reform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Naval Force Expansion and Training Reform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Army Expansion and Training Reform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Meritorious Promotion Program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Kenya Defence Forces “BattleNet” Digital Integration Program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Kenya Defence Forces Satellite and Digital Infrastructure Program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Kenya Defence Forces National Service and Benefits Program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Kenya Defence Forces Sourcing and Procurement Reform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National Backbone Military Manufacturers and Suppliers Registry and Auction Market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National Ship Registry Caravan Program and Merchant Insurance Program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National Shipyard Modernisation, Expansion, and Export Program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National Railway and Metro Expansion Plan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Kenya Railway Authority Reform and National Rail Network Route Market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The Establishment and Licensing Standards of Private Rail and Train Ownership </w:t>
      </w:r>
      <w:r>
        <w:rPr>
          <w:rFonts w:ascii="Bahnschrift" w:hAnsi="Bahnschrift"/>
        </w:rPr>
        <w:t>and Registry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Metro Underground Standard and Empowerment of the Kenya Urban Roads Authority to Construct and Oversight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County Metro Governance and Oversight Body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The Establishment of the National Rail and Urban Transit Infrastructure </w:t>
      </w:r>
      <w:r>
        <w:rPr>
          <w:rFonts w:ascii="Bahnschrift" w:hAnsi="Bahnschrift"/>
        </w:rPr>
        <w:t>and Licensing Standards Commission under the Kenya Railway Authority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Rail and Metro Hub Rental Authority under the Kenya Railway Authority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Implementation, Sustainment, and Funding Model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Phased Implementation and Audit Mechanism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National Fiscal Sustainability </w:t>
      </w:r>
      <w:r>
        <w:rPr>
          <w:rFonts w:ascii="Bahnschrift" w:hAnsi="Bahnschrift"/>
        </w:rPr>
        <w:t xml:space="preserve">and </w:t>
      </w:r>
      <w:r>
        <w:rPr>
          <w:rFonts w:ascii="Bahnschrift" w:hAnsi="Bahnschrift"/>
        </w:rPr>
        <w:t xml:space="preserve">Funding Model </w:t>
      </w:r>
      <w:r>
        <w:rPr>
          <w:rFonts w:ascii="Bahnschrift" w:hAnsi="Bahnschrift"/>
        </w:rPr>
        <w:t>for:</w:t>
      </w:r>
    </w:p>
    <w:p>
      <w:pPr>
        <w:pStyle w:val="BodyText"/>
        <w:numPr>
          <w:ilvl w:val="2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Kenya Federated Registry System</w:t>
      </w:r>
    </w:p>
    <w:p>
      <w:pPr>
        <w:pStyle w:val="BodyText"/>
        <w:numPr>
          <w:ilvl w:val="2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Police Service and Remuneration Reform</w:t>
      </w:r>
    </w:p>
    <w:p>
      <w:pPr>
        <w:pStyle w:val="BodyText"/>
        <w:numPr>
          <w:ilvl w:val="2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Unified Governance, Licensing and Audit System</w:t>
      </w:r>
    </w:p>
    <w:p>
      <w:pPr>
        <w:pStyle w:val="BodyText"/>
        <w:numPr>
          <w:ilvl w:val="2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Road Transport and Commute Reforms</w:t>
      </w:r>
    </w:p>
    <w:p>
      <w:pPr>
        <w:pStyle w:val="BodyText"/>
        <w:numPr>
          <w:ilvl w:val="2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County Oversight Functions</w:t>
      </w:r>
    </w:p>
    <w:p>
      <w:pPr>
        <w:pStyle w:val="BodyText"/>
        <w:numPr>
          <w:ilvl w:val="2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Bureau of Alcohol, Tobacco, and Firearms</w:t>
      </w:r>
    </w:p>
    <w:p>
      <w:pPr>
        <w:pStyle w:val="BodyText"/>
        <w:numPr>
          <w:ilvl w:val="2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Judicial Reforms Framework</w:t>
      </w:r>
    </w:p>
    <w:p>
      <w:pPr>
        <w:pStyle w:val="BodyText"/>
        <w:numPr>
          <w:ilvl w:val="2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Public Education Reforms and Rewards Framework</w:t>
      </w:r>
    </w:p>
    <w:p>
      <w:pPr>
        <w:pStyle w:val="BodyText"/>
        <w:numPr>
          <w:ilvl w:val="2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Kenya Defence Forces Modernisation and Enhancement Plan</w:t>
      </w:r>
    </w:p>
    <w:p>
      <w:pPr>
        <w:pStyle w:val="BodyText"/>
        <w:numPr>
          <w:ilvl w:val="2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National Logistics Framework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The Establishment of the Annum of National Undeclared Capital Amnesty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Unified Administrative Appeals </w:t>
      </w:r>
      <w:r>
        <w:rPr>
          <w:rFonts w:ascii="Bahnschrift" w:hAnsi="Bahnschrift"/>
        </w:rPr>
        <w:t xml:space="preserve">and Single Office Responsibility </w:t>
      </w:r>
      <w:r>
        <w:rPr>
          <w:rFonts w:ascii="Bahnschrift" w:hAnsi="Bahnschrift"/>
        </w:rPr>
        <w:t>Framework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Amendments to the Criminal Code and Other Relevant Acts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Amendments to the Criminal Code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Amendments to the Data Privacy Act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Amendments to the National Traffic Safety Authority Act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Constitutional Supremacy Clause and Oaths of Office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Glossary of Terms</w:t>
      </w:r>
      <w:r>
        <w:br w:type="page"/>
      </w:r>
    </w:p>
    <w:p>
      <w:pPr>
        <w:pStyle w:val="BodyText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</w:r>
    </w:p>
    <w:p>
      <w:pPr>
        <w:pStyle w:val="BodyText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Implementation Plan:</w:t>
      </w:r>
    </w:p>
    <w:p>
      <w:pPr>
        <w:pStyle w:val="Heading3"/>
        <w:bidi w:val="0"/>
        <w:jc w:val="start"/>
        <w:rPr>
          <w:rFonts w:ascii="Bahnschrift" w:hAnsi="Bahnschrift"/>
        </w:rPr>
      </w:pPr>
      <w:r>
        <w:rPr>
          <w:rFonts w:ascii="Bahnschrift" w:hAnsi="Bahnschrift"/>
        </w:rPr>
        <w:t>Phase 1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registries,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licensing reform,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statistics systems,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audit systems,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apprenticeship systems. </w:t>
      </w:r>
    </w:p>
    <w:p>
      <w:pPr>
        <w:pStyle w:val="Heading3"/>
        <w:bidi w:val="0"/>
        <w:spacing w:lineRule="auto" w:line="276" w:before="0" w:after="140"/>
        <w:jc w:val="start"/>
        <w:rPr>
          <w:rFonts w:ascii="Bahnschrift" w:hAnsi="Bahnschrift"/>
        </w:rPr>
      </w:pPr>
      <w:r>
        <w:rPr>
          <w:rFonts w:ascii="Bahnschrift" w:hAnsi="Bahnschrift"/>
        </w:rPr>
        <w:t>Phase 2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transport modernization,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logistics markets,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metro systems,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manufacturing incentives. </w:t>
      </w:r>
    </w:p>
    <w:p>
      <w:pPr>
        <w:pStyle w:val="Heading3"/>
        <w:bidi w:val="0"/>
        <w:spacing w:lineRule="auto" w:line="276" w:before="0" w:after="140"/>
        <w:jc w:val="start"/>
        <w:rPr>
          <w:rFonts w:ascii="Bahnschrift" w:hAnsi="Bahnschrift"/>
        </w:rPr>
      </w:pPr>
      <w:r>
        <w:rPr>
          <w:rFonts w:ascii="Bahnschrift" w:hAnsi="Bahnschrift"/>
        </w:rPr>
        <w:t>Phase 3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defense-industrial expansion,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shipyards,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 xml:space="preserve">domestic suppliers,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Bahnschrift" w:hAnsi="Bahnschrift"/>
        </w:rPr>
      </w:pPr>
      <w:r>
        <w:rPr>
          <w:rFonts w:ascii="Bahnschrift" w:hAnsi="Bahnschrift"/>
        </w:rPr>
        <w:t>advanced digital sovereignty systems.</w:t>
      </w:r>
    </w:p>
    <w:p>
      <w:pPr>
        <w:pStyle w:val="BodyText"/>
        <w:bidi w:val="0"/>
        <w:spacing w:before="0" w:after="140"/>
        <w:jc w:val="start"/>
        <w:rPr>
          <w:rFonts w:ascii="Bahnschrift" w:hAnsi="Bahnschrift"/>
        </w:rPr>
      </w:pPr>
      <w:r>
        <w:rPr>
          <w:rFonts w:ascii="Bahnschrift" w:hAnsi="Bahnschrift"/>
        </w:rPr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Bahnschrift"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THE NATIONAL GOVERNANCE REFORM ACT, 2028</w:t>
      <w:tab/>
      <w:tab/>
      <w:tab/>
      <w:tab/>
      <w:tab/>
      <w:t>14/06/2028</w:t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upp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upp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upp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upp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upp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upp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upp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upp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upp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LibreOffice/25.2.7.2$Windows_X86_64 LibreOffice_project/5cbfd1ab6520636bb5f7b99185aa69bd7456825d</Application>
  <AppVersion>15.0000</AppVersion>
  <Pages>7</Pages>
  <Words>1415</Words>
  <Characters>8669</Characters>
  <CharactersWithSpaces>9812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en-GB</dc:language>
  <dc:subject/>
  <dc:title/>
</cp:coreProperties>
</file>