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 COUNTY EXECUTIVE COORDINATION, PUBLIC SAFETY, AND CIVIC OVERSIGHT ACT, 2026</w:t>
      </w:r>
    </w:p>
    <w:p>
      <w:pPr>
        <w:pStyle w:val="Heading2"/>
        <w:bidi w:val="0"/>
        <w:jc w:val="start"/>
        <w:rPr/>
      </w:pPr>
      <w:r>
        <w:rPr/>
        <w:t>A Bill for an Act of Parliament</w:t>
      </w:r>
    </w:p>
    <w:p>
      <w:pPr>
        <w:pStyle w:val="BodyText"/>
        <w:bidi w:val="0"/>
        <w:jc w:val="start"/>
        <w:rPr/>
      </w:pPr>
      <w:r>
        <w:rPr/>
        <w:t>to strengthen county governance coordination, local oversight, public participation, administrative accountability, public safety coordination, and civic review structures within the framework of the Constitution of Kenya, 2010.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 — PRELIMINARY</w:t>
      </w:r>
    </w:p>
    <w:p>
      <w:pPr>
        <w:pStyle w:val="Heading2"/>
        <w:bidi w:val="0"/>
        <w:jc w:val="start"/>
        <w:rPr/>
      </w:pPr>
      <w:r>
        <w:rPr/>
        <w:t>1. Short Title and Commencement</w:t>
      </w:r>
    </w:p>
    <w:p>
      <w:pPr>
        <w:pStyle w:val="BodyText"/>
        <w:bidi w:val="0"/>
        <w:jc w:val="start"/>
        <w:rPr/>
      </w:pPr>
      <w:r>
        <w:rPr/>
        <w:t>This Act may be cited as the County Executive Coordination, Public Safety, and Civic Oversight Act, 2026 and shall come into operation upon publication in the Gazette.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Constitutional Foundation</w:t>
      </w:r>
    </w:p>
    <w:p>
      <w:pPr>
        <w:pStyle w:val="BodyText"/>
        <w:bidi w:val="0"/>
        <w:jc w:val="start"/>
        <w:rPr/>
      </w:pPr>
      <w:r>
        <w:rPr/>
        <w:t>This Act is enacted pursuant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Articles 10 and 232 (national values and public service);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Articles 174–176 (objects and principles of devolution);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Articles 179–187 (County Governments);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Articles 185 and 196 (County legislative authority and public participation);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Articles 47 and 50 (fair administrative action and fair hearing);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all other relevant provisions of the Constitution.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Purpose of the Act</w:t>
      </w:r>
    </w:p>
    <w:p>
      <w:pPr>
        <w:pStyle w:val="BodyText"/>
        <w:bidi w:val="0"/>
        <w:jc w:val="start"/>
        <w:rPr/>
      </w:pPr>
      <w:r>
        <w:rPr/>
        <w:t>The purpose of this Act is to:</w:t>
        <w:br/>
        <w:t>(a) improve County-level administrative coordination;</w:t>
        <w:br/>
        <w:t>(b) strengthen County oversight capacity;</w:t>
        <w:br/>
        <w:t>(c) improve local accountability and transparency;</w:t>
        <w:br/>
        <w:t>(d) strengthen structured public participation;</w:t>
        <w:br/>
        <w:t>(e) improve coordination between County Governments and national ministries;</w:t>
        <w:br/>
        <w:t>(f) strengthen local public safety administration;</w:t>
        <w:br/>
        <w:t>(g) improve procedural review and complaint handling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II — COUNTY EXECUTIVE COORDINATION STRUCTURE</w:t>
      </w:r>
    </w:p>
    <w:p>
      <w:pPr>
        <w:pStyle w:val="Heading2"/>
        <w:bidi w:val="0"/>
        <w:jc w:val="start"/>
        <w:rPr/>
      </w:pPr>
      <w:r>
        <w:rPr/>
        <w:t>4. County Functional Coordination Model</w:t>
      </w:r>
    </w:p>
    <w:p>
      <w:pPr>
        <w:pStyle w:val="BodyText"/>
        <w:bidi w:val="0"/>
        <w:jc w:val="start"/>
        <w:rPr/>
      </w:pPr>
      <w:r>
        <w:rPr/>
        <w:t>(1) County Governments shall maintain functionally distinct coordination structures for:</w:t>
        <w:br/>
        <w:t>(a) public safety administration;</w:t>
        <w:br/>
        <w:t>(b) civil administration;</w:t>
        <w:br/>
        <w:t>(c) county legislative oversight;</w:t>
        <w:br/>
        <w:t>(d) revenue administration;</w:t>
        <w:br/>
        <w:t>(e) citizen participation and advisory review.</w:t>
      </w:r>
    </w:p>
    <w:p>
      <w:pPr>
        <w:pStyle w:val="BodyText"/>
        <w:bidi w:val="0"/>
        <w:jc w:val="start"/>
        <w:rPr/>
      </w:pPr>
      <w:r>
        <w:rPr/>
        <w:t>(2) Nothing in this Act shall:</w:t>
        <w:br/>
        <w:t>(a) diminish the constitutional authority of the County Governor;</w:t>
        <w:br/>
        <w:t>(b) establish an independent county police service;</w:t>
        <w:br/>
        <w:t>(c) derogate from the authority of the National Police Service under the Constitution.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III — COUNTY LEGISLATIVE OVERSIGHT PORTFOLIOS</w:t>
      </w:r>
    </w:p>
    <w:p>
      <w:pPr>
        <w:pStyle w:val="Heading2"/>
        <w:bidi w:val="0"/>
        <w:jc w:val="start"/>
        <w:rPr/>
      </w:pPr>
      <w:r>
        <w:rPr/>
        <w:t>5. MCA Portfolio Oversight System</w:t>
      </w:r>
    </w:p>
    <w:p>
      <w:pPr>
        <w:pStyle w:val="BodyText"/>
        <w:bidi w:val="0"/>
        <w:jc w:val="start"/>
        <w:rPr/>
      </w:pPr>
      <w:r>
        <w:rPr/>
        <w:t>(1) Each County Assembly may establish Portfolio Oversight Offices corresponding to major national and county functional sectors.</w:t>
      </w:r>
    </w:p>
    <w:p>
      <w:pPr>
        <w:pStyle w:val="BodyText"/>
        <w:bidi w:val="0"/>
        <w:jc w:val="start"/>
        <w:rPr/>
      </w:pPr>
      <w:r>
        <w:rPr/>
        <w:t xml:space="preserve">(2) The County Assembly shall designate Members of County Assembly as Portfolio Oversight Leads, and the Governor shall designate corresponding Executive Liaison Officers to ensure structured inter-branch coordination ; </w:t>
      </w:r>
      <w:r>
        <w:rPr/>
        <w:t xml:space="preserve">this shall apply </w:t>
      </w:r>
      <w:r>
        <w:rPr/>
        <w:t>for specific sectors including:</w:t>
        <w:br/>
        <w:t>(a) health;</w:t>
        <w:br/>
        <w:t>(b) transport;</w:t>
        <w:br/>
        <w:t>(c) agriculture;</w:t>
        <w:br/>
        <w:t>(d) education support services;</w:t>
        <w:br/>
        <w:t>(e) trade and licensing;</w:t>
        <w:br/>
        <w:t>(f) infrastructure;</w:t>
        <w:br/>
        <w:t>(g) environment;</w:t>
        <w:br/>
        <w:t>(h) public safety coordination;</w:t>
        <w:br/>
        <w:t>(i) digital administration;</w:t>
        <w:br/>
        <w:t>(j) and other prescribed sectors.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Functions of Portfolio Oversight Leads</w:t>
      </w:r>
    </w:p>
    <w:p>
      <w:pPr>
        <w:pStyle w:val="BodyText"/>
        <w:bidi w:val="0"/>
        <w:jc w:val="start"/>
        <w:rPr/>
      </w:pPr>
      <w:r>
        <w:rPr/>
        <w:t>A Portfolio Oversight Lead shall:</w:t>
        <w:br/>
        <w:t>(a) review County implementation of sector policy;</w:t>
        <w:br/>
        <w:t>(b) coordinate with relevant County executive departments;</w:t>
        <w:br/>
        <w:t>(c) interface with corresponding national ministries;</w:t>
        <w:br/>
        <w:t>(d) prepare periodic County oversight reports;</w:t>
        <w:br/>
        <w:t>(e) support structured public participation;</w:t>
        <w:br/>
        <w:t>(f) review operational bottlenecks and compliance issues.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Limitation of Authority</w:t>
      </w:r>
    </w:p>
    <w:p>
      <w:pPr>
        <w:pStyle w:val="BodyText"/>
        <w:bidi w:val="0"/>
        <w:jc w:val="start"/>
        <w:rPr/>
      </w:pPr>
      <w:r>
        <w:rPr/>
        <w:t>(1) Portfolio Oversight Leads:</w:t>
        <w:br/>
        <w:t>(a) remain Members of the County Assembly;</w:t>
        <w:br/>
        <w:t>(b) shall not exercise executive authority;</w:t>
        <w:br/>
        <w:t>(c) shall not direct procurement or operational administration;</w:t>
        <w:br/>
        <w:t>(d) shall not exercise coercive enforcement powers.</w:t>
      </w:r>
    </w:p>
    <w:p>
      <w:pPr>
        <w:pStyle w:val="BodyText"/>
        <w:bidi w:val="0"/>
        <w:jc w:val="start"/>
        <w:rPr/>
      </w:pPr>
      <w:r>
        <w:rPr/>
        <w:t>(2) Operational executive authority remains vested in:</w:t>
        <w:br/>
        <w:t>(a) the Governor;</w:t>
        <w:br/>
        <w:t>(b) County Executive Committee Members;</w:t>
        <w:br/>
        <w:t>(c) lawful executive officers.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IV — OFFICE OF THE COUNTY ADMINISTRATIVE MAYOR</w:t>
      </w:r>
    </w:p>
    <w:p>
      <w:pPr>
        <w:pStyle w:val="Heading2"/>
        <w:bidi w:val="0"/>
        <w:jc w:val="start"/>
        <w:rPr/>
      </w:pPr>
      <w:r>
        <w:rPr/>
        <w:t>8. Establishment of Office</w:t>
      </w:r>
    </w:p>
    <w:p>
      <w:pPr>
        <w:pStyle w:val="BodyText"/>
        <w:bidi w:val="0"/>
        <w:jc w:val="start"/>
        <w:rPr/>
      </w:pPr>
      <w:r>
        <w:rPr/>
        <w:t>(1) A County Governor may appoint a County Administrative Mayor as chief coordinator of municipal and civil administration.</w:t>
      </w:r>
    </w:p>
    <w:p>
      <w:pPr>
        <w:pStyle w:val="BodyText"/>
        <w:bidi w:val="0"/>
        <w:jc w:val="start"/>
        <w:rPr/>
      </w:pPr>
      <w:r>
        <w:rPr/>
        <w:t>(2) The Mayor serves under the authority of the Governor.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Functions of the Mayor</w:t>
      </w:r>
    </w:p>
    <w:p>
      <w:pPr>
        <w:pStyle w:val="BodyText"/>
        <w:bidi w:val="0"/>
        <w:jc w:val="start"/>
        <w:rPr/>
      </w:pPr>
      <w:r>
        <w:rPr/>
        <w:t>The Mayor shall:</w:t>
        <w:br/>
        <w:t>(a) coordinate urban administration;</w:t>
        <w:br/>
        <w:t>(b) oversee municipal services;</w:t>
        <w:br/>
        <w:t>(c) support infrastructure coordination;</w:t>
        <w:br/>
        <w:t>(d) coordinate public service delivery;</w:t>
        <w:br/>
        <w:t>(e) supervise administrative modernization projects;</w:t>
        <w:br/>
        <w:t>(f) coordinate interdepartmental civil operations.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Limitation of Authority</w:t>
      </w:r>
    </w:p>
    <w:p>
      <w:pPr>
        <w:pStyle w:val="BodyText"/>
        <w:bidi w:val="0"/>
        <w:jc w:val="start"/>
        <w:rPr/>
      </w:pPr>
      <w:r>
        <w:rPr/>
        <w:t>The Mayor shall not:</w:t>
        <w:br/>
        <w:t>(a) exercise policing powers;</w:t>
        <w:br/>
        <w:t>(b) conduct criminal investigations;</w:t>
        <w:br/>
        <w:t>(c) exercise prosecutorial authority;</w:t>
        <w:br/>
        <w:t>(d) control County revenue collection except as provided by law.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V — COUNTY SHERIFF PUBLIC SAFETY OFFICE</w:t>
      </w:r>
    </w:p>
    <w:p>
      <w:pPr>
        <w:pStyle w:val="Heading2"/>
        <w:bidi w:val="0"/>
        <w:jc w:val="start"/>
        <w:rPr/>
      </w:pPr>
      <w:r>
        <w:rPr/>
        <w:t>11. Establishment of County Sheriff Office</w:t>
      </w:r>
    </w:p>
    <w:p>
      <w:pPr>
        <w:pStyle w:val="BodyText"/>
        <w:bidi w:val="0"/>
        <w:jc w:val="start"/>
        <w:rPr/>
      </w:pPr>
      <w:r>
        <w:rPr/>
        <w:t>(1) Each County may establish a County Sheriff Public Safety Office.</w:t>
      </w:r>
    </w:p>
    <w:p>
      <w:pPr>
        <w:pStyle w:val="BodyText"/>
        <w:bidi w:val="0"/>
        <w:jc w:val="start"/>
        <w:rPr/>
      </w:pPr>
      <w:r>
        <w:rPr/>
        <w:t>(2) The County Sheriff shall be elected by County voters for a term prescribed by law.</w:t>
      </w:r>
    </w:p>
    <w:p>
      <w:pPr>
        <w:pStyle w:val="BodyText"/>
        <w:bidi w:val="0"/>
        <w:jc w:val="start"/>
        <w:rPr/>
      </w:pPr>
      <w:r>
        <w:rPr/>
        <w:t>(3) The Sheriff operates:</w:t>
        <w:br/>
        <w:t>(a) under County Government administrative structures;</w:t>
        <w:br/>
        <w:t>(b) in coordination with the National Police Service;</w:t>
        <w:br/>
        <w:t>(c) subject to County Assembly oversight and applicable law.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Functions of County Sheriff Office</w:t>
      </w:r>
    </w:p>
    <w:p>
      <w:pPr>
        <w:pStyle w:val="BodyText"/>
        <w:bidi w:val="0"/>
        <w:jc w:val="start"/>
        <w:rPr/>
      </w:pPr>
      <w:r>
        <w:rPr/>
        <w:t>The County Sheriff Office shall:</w:t>
        <w:br/>
        <w:t>(a) coordinate County inspectorate and enforcement support services;</w:t>
        <w:br/>
        <w:t>(b) coordinate traffic and public-order support operations;</w:t>
        <w:br/>
        <w:t>(c) maintain emergency coordination systems;</w:t>
        <w:br/>
        <w:t>(d) coordinate local complaint escalation systems;</w:t>
        <w:br/>
        <w:t>(e) support enforcement record management;</w:t>
        <w:br/>
        <w:t>(f) coordinate with national security and law-enforcement institutions.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Limitation of Sheriff Authority</w:t>
      </w:r>
    </w:p>
    <w:p>
      <w:pPr>
        <w:pStyle w:val="BodyText"/>
        <w:bidi w:val="0"/>
        <w:jc w:val="start"/>
        <w:rPr/>
      </w:pPr>
      <w:r>
        <w:rPr/>
        <w:t>(1) The County Sheriff Office shall not:</w:t>
        <w:br/>
        <w:t>(a) operate as an independent police service;</w:t>
        <w:br/>
        <w:t>(b) exercise powers reserved exclusively to the National Police Service;</w:t>
        <w:br/>
        <w:t>(c) conduct prosecutions except as authorized by law.</w:t>
      </w:r>
    </w:p>
    <w:p>
      <w:pPr>
        <w:pStyle w:val="BodyText"/>
        <w:bidi w:val="0"/>
        <w:jc w:val="start"/>
        <w:rPr/>
      </w:pPr>
      <w:r>
        <w:rPr/>
        <w:t>(2) Criminal investigations and national security functions remain subject to the Constitution and national law.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VI — COUNTY ALDERMAN ADVISORY BOARD</w:t>
      </w:r>
    </w:p>
    <w:p>
      <w:pPr>
        <w:pStyle w:val="Heading2"/>
        <w:bidi w:val="0"/>
        <w:jc w:val="start"/>
        <w:rPr/>
      </w:pPr>
      <w:r>
        <w:rPr/>
        <w:t>14. Establishment of Alderman Board</w:t>
      </w:r>
    </w:p>
    <w:p>
      <w:pPr>
        <w:pStyle w:val="BodyText"/>
        <w:bidi w:val="0"/>
        <w:jc w:val="start"/>
        <w:rPr/>
      </w:pPr>
      <w:r>
        <w:rPr/>
        <w:t>(1) Each County shall establish a County Alderman Advisory Board.</w:t>
      </w:r>
    </w:p>
    <w:p>
      <w:pPr>
        <w:pStyle w:val="BodyText"/>
        <w:bidi w:val="0"/>
        <w:jc w:val="start"/>
        <w:rPr/>
      </w:pPr>
      <w:r>
        <w:rPr/>
        <w:t>(2) The Board shall function as:</w:t>
        <w:br/>
        <w:t>(a) a structured citizen participation institution;</w:t>
        <w:br/>
        <w:t>(b) a civic review and advisory body;</w:t>
        <w:br/>
        <w:t>(c) a non-binding legislative review forum.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Composition and Selection</w:t>
      </w:r>
    </w:p>
    <w:p>
      <w:pPr>
        <w:pStyle w:val="BodyText"/>
        <w:bidi w:val="0"/>
        <w:jc w:val="start"/>
        <w:rPr/>
      </w:pPr>
      <w:r>
        <w:rPr/>
        <w:t>(1) Members shall be selected through transparent civic lottery from registered County voters.</w:t>
      </w:r>
    </w:p>
    <w:p>
      <w:pPr>
        <w:pStyle w:val="BodyText"/>
        <w:bidi w:val="0"/>
        <w:jc w:val="start"/>
        <w:rPr/>
      </w:pPr>
      <w:r>
        <w:rPr/>
        <w:t>(2) Selection procedures shall:</w:t>
        <w:br/>
        <w:t>(a) comply with Article 27 equality principles;</w:t>
        <w:br/>
        <w:t>(b) ensure demographic inclusivity;</w:t>
        <w:br/>
        <w:t>(c) exclude serving elected officials and senior executive officers.</w:t>
      </w:r>
    </w:p>
    <w:p>
      <w:pPr>
        <w:pStyle w:val="BodyText"/>
        <w:bidi w:val="0"/>
        <w:jc w:val="start"/>
        <w:rPr/>
      </w:pPr>
      <w:r>
        <w:rPr/>
        <w:t xml:space="preserve">(3) Members shall serve staggered </w:t>
      </w:r>
      <w:r>
        <w:rPr/>
        <w:t xml:space="preserve">1 year </w:t>
      </w:r>
      <w:r>
        <w:rPr/>
        <w:t xml:space="preserve">terms, </w:t>
      </w:r>
      <w:r>
        <w:rPr/>
        <w:t>with a third being replaced every 4 months, and no voter may be a member twice within a consecutive 3 year period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16. Advisory Legislative Review</w:t>
      </w:r>
    </w:p>
    <w:p>
      <w:pPr>
        <w:pStyle w:val="BodyText"/>
        <w:bidi w:val="0"/>
        <w:jc w:val="start"/>
        <w:rPr/>
      </w:pPr>
      <w:r>
        <w:rPr/>
        <w:t>(1) County legislation shall be submitted to the Alderman Board prior to final enactment.</w:t>
      </w:r>
    </w:p>
    <w:p>
      <w:pPr>
        <w:pStyle w:val="BodyText"/>
        <w:bidi w:val="0"/>
        <w:jc w:val="start"/>
        <w:rPr/>
      </w:pPr>
      <w:r>
        <w:rPr/>
        <w:t>(2) The Board shall have twenty-one (21) days to:</w:t>
        <w:br/>
        <w:t>(a) review proposed legislation;</w:t>
        <w:br/>
        <w:t>(b) publish advisory comments;</w:t>
        <w:br/>
        <w:t>(c) receive structured public submissions;</w:t>
        <w:br/>
        <w:t>(d) issue non-binding recommendations.</w:t>
      </w:r>
    </w:p>
    <w:p>
      <w:pPr>
        <w:pStyle w:val="BodyText"/>
        <w:bidi w:val="0"/>
        <w:jc w:val="start"/>
        <w:rPr/>
      </w:pPr>
      <w:r>
        <w:rPr/>
        <w:t>(3) County Assembly proceedings may continue after the review period whether or not recommendations are adopted.</w:t>
      </w:r>
    </w:p>
    <w:p>
      <w:pPr>
        <w:pStyle w:val="BodyText"/>
        <w:bidi w:val="0"/>
        <w:jc w:val="start"/>
        <w:rPr/>
      </w:pPr>
      <w:r>
        <w:rPr/>
        <w:t>(4) Where substantial recommendations are rejected, the County Assembly shall publish written reasons.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17. Nature of Authority</w:t>
      </w:r>
    </w:p>
    <w:p>
      <w:pPr>
        <w:pStyle w:val="BodyText"/>
        <w:bidi w:val="0"/>
        <w:jc w:val="start"/>
        <w:rPr/>
      </w:pPr>
      <w:r>
        <w:rPr/>
        <w:t>(1) Recommendations of the Alderman Board are advisory only.</w:t>
      </w:r>
    </w:p>
    <w:p>
      <w:pPr>
        <w:pStyle w:val="BodyText"/>
        <w:bidi w:val="0"/>
        <w:jc w:val="start"/>
        <w:rPr/>
      </w:pPr>
      <w:r>
        <w:rPr/>
        <w:t>(2) Nothing in this Part shall:</w:t>
        <w:br/>
        <w:t>(a) create a second legislative chamber;</w:t>
        <w:br/>
        <w:t>(b) limit constitutional authority of County Assemblies;</w:t>
        <w:br/>
        <w:t>(c) substitute judicial authority.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VII — GENERAL PROVISIONS</w:t>
      </w:r>
    </w:p>
    <w:p>
      <w:pPr>
        <w:pStyle w:val="Heading2"/>
        <w:bidi w:val="0"/>
        <w:jc w:val="start"/>
        <w:rPr/>
      </w:pPr>
      <w:r>
        <w:rPr/>
        <w:t>18. Alderman Administrative Arbitration and Dispute Review</w:t>
      </w:r>
    </w:p>
    <w:p>
      <w:pPr>
        <w:pStyle w:val="BodyText"/>
        <w:bidi w:val="0"/>
        <w:jc w:val="start"/>
        <w:rPr/>
      </w:pPr>
      <w:r>
        <w:rPr/>
        <w:t>(1) The County Alderman Advisory Board may facilitate voluntary administrative dispute review and mediation for:</w:t>
        <w:br/>
        <w:t>(a) rental and tenancy disputes;</w:t>
        <w:br/>
        <w:t>(b) County regulatory compliance disputes;</w:t>
        <w:br/>
        <w:t>(c) licensing and permit disputes;</w:t>
        <w:br/>
        <w:t>(d) minor commercial administrative disputes prescribed by regulation.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19. Nature of Proceedings</w:t>
      </w:r>
    </w:p>
    <w:p>
      <w:pPr>
        <w:pStyle w:val="BodyText"/>
        <w:bidi w:val="0"/>
        <w:jc w:val="start"/>
        <w:rPr/>
      </w:pPr>
      <w:r>
        <w:rPr/>
        <w:t>(1) Proceedings under this Part:</w:t>
        <w:br/>
        <w:t>(a) are voluntary;</w:t>
        <w:br/>
        <w:t>(b) are non-binding unless otherwise resolved by mutual written settlement;</w:t>
        <w:br/>
        <w:t>(c) do not limit access to courts, tribunals, or statutory dispute mechanisms.</w:t>
      </w:r>
    </w:p>
    <w:p>
      <w:pPr>
        <w:pStyle w:val="BodyText"/>
        <w:bidi w:val="0"/>
        <w:jc w:val="start"/>
        <w:rPr/>
      </w:pPr>
      <w:r>
        <w:rPr/>
        <w:t>(2) Participation in Alderman dispute review shall not:</w:t>
        <w:br/>
        <w:t>(a) constitute waiver of judicial rights;</w:t>
        <w:br/>
        <w:t>(b) create criminal liability;</w:t>
        <w:br/>
        <w:t>(c) prevent subsequent judicial proceedings.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20. Docketing and Assignment</w:t>
      </w:r>
    </w:p>
    <w:p>
      <w:pPr>
        <w:pStyle w:val="BodyText"/>
        <w:bidi w:val="0"/>
        <w:jc w:val="start"/>
        <w:rPr/>
      </w:pPr>
      <w:r>
        <w:rPr/>
        <w:t>(1) Disputes submitted for Alderman review shall first be entered into a public administrative docket system.</w:t>
      </w:r>
    </w:p>
    <w:p>
      <w:pPr>
        <w:pStyle w:val="BodyText"/>
        <w:bidi w:val="0"/>
        <w:jc w:val="start"/>
        <w:rPr/>
      </w:pPr>
      <w:r>
        <w:rPr/>
        <w:t>(2) Any qualified Alderman may voluntarily accept assignment of the dispute within twelve (12) hours of docket publication.</w:t>
      </w:r>
    </w:p>
    <w:p>
      <w:pPr>
        <w:pStyle w:val="BodyText"/>
        <w:bidi w:val="0"/>
        <w:jc w:val="start"/>
        <w:rPr/>
      </w:pPr>
      <w:r>
        <w:rPr/>
        <w:t>(3) Where no Alderman voluntarily accepts the matter within the prescribed period, assignment shall occur through transparent random selection.</w:t>
      </w:r>
    </w:p>
    <w:p>
      <w:pPr>
        <w:pStyle w:val="BodyText"/>
        <w:bidi w:val="0"/>
        <w:jc w:val="start"/>
        <w:rPr/>
      </w:pPr>
      <w:r>
        <w:rPr/>
        <w:t>(4) Assignment procedures shall:</w:t>
        <w:br/>
        <w:t>(a) preserve neutrality;</w:t>
        <w:br/>
        <w:t>(b) prevent conflict of interest;</w:t>
        <w:br/>
        <w:t>(c) maintain publicly auditable allocation logs.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21. Procedural Fairness</w:t>
      </w:r>
    </w:p>
    <w:p>
      <w:pPr>
        <w:pStyle w:val="BodyText"/>
        <w:bidi w:val="0"/>
        <w:jc w:val="start"/>
        <w:rPr/>
      </w:pPr>
      <w:r>
        <w:rPr/>
        <w:t>(1) Parties shall have:</w:t>
        <w:br/>
        <w:t>(a) reasonable opportunity to present evidence;</w:t>
        <w:br/>
        <w:t>(b) opportunity to respond to opposing claims;</w:t>
        <w:br/>
        <w:t>(c) access to records generated during proceedings.</w:t>
      </w:r>
    </w:p>
    <w:p>
      <w:pPr>
        <w:pStyle w:val="BodyText"/>
        <w:bidi w:val="0"/>
        <w:jc w:val="start"/>
        <w:rPr/>
      </w:pPr>
      <w:r>
        <w:rPr/>
        <w:t>(2) Proceedings may occur:</w:t>
        <w:br/>
        <w:t>(a) physically;</w:t>
        <w:br/>
        <w:t>(b) electronically;</w:t>
        <w:br/>
        <w:t>(c) through hybrid communication systems prescribed by regulation.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22. Evidentiary Status</w:t>
      </w:r>
    </w:p>
    <w:p>
      <w:pPr>
        <w:pStyle w:val="BodyText"/>
        <w:bidi w:val="0"/>
        <w:jc w:val="start"/>
        <w:rPr/>
      </w:pPr>
      <w:r>
        <w:rPr/>
        <w:t>(1) Alderman findings, recommendations, and procedural records:</w:t>
        <w:br/>
        <w:t>(a) are advisory only;</w:t>
        <w:br/>
        <w:t>(b) do not constitute judicial determinations;</w:t>
        <w:br/>
        <w:t>(c) do not independently determine liability or guilt.</w:t>
      </w:r>
    </w:p>
    <w:p>
      <w:pPr>
        <w:pStyle w:val="BodyText"/>
        <w:bidi w:val="0"/>
        <w:jc w:val="start"/>
        <w:rPr/>
      </w:pPr>
      <w:r>
        <w:rPr/>
        <w:t>(2) Records generated under this Part may be admissible in subsequent judicial or administrative proceedings subject to:</w:t>
        <w:br/>
        <w:t>(a) ordinary rules of evidence;</w:t>
        <w:br/>
        <w:t>(b) judicial discretion;</w:t>
        <w:br/>
        <w:t>(c) constitutional fair hearing requirements.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23. Judicial Supremacy</w:t>
      </w:r>
    </w:p>
    <w:p>
      <w:pPr>
        <w:pStyle w:val="BodyText"/>
        <w:bidi w:val="0"/>
        <w:jc w:val="start"/>
        <w:rPr/>
      </w:pPr>
      <w:r>
        <w:rPr/>
        <w:t>Nothing in this Part:</w:t>
        <w:br/>
        <w:t>(a) creates a court of law;</w:t>
        <w:br/>
        <w:t>(b) limits judicial authority under Article 165;</w:t>
        <w:br/>
        <w:t>(c) substitutes constitutional adjudicative functions.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LibreOffice/25.2.7.2$Windows_X86_64 LibreOffice_project/5cbfd1ab6520636bb5f7b99185aa69bd7456825d</Application>
  <AppVersion>15.0000</AppVersion>
  <Pages>7</Pages>
  <Words>1282</Words>
  <Characters>8071</Characters>
  <CharactersWithSpaces>9270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en-GB</dc:language>
  <dc:subject/>
  <dc:title/>
</cp:coreProperties>
</file>