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>
          <w:rStyle w:val="Strong"/>
          <w:b/>
          <w:bCs/>
        </w:rPr>
        <w:t>THE LAW ENFORCEMENT, PUBLIC TRANSPORT ACCOUNTABILITY, AND COUNTY SHERIFF SERVICES ACT,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AN ACT of Parliament to reform law enforcement in accordance with the Constitution of Kenya, 2010; to establish a dual State and County enforcement architecture; to create a constitutionally compliant administrative demerit and PSV accountability system; to regulate Sacco-based institutional liability; to provide for hybrid physical and resilient enforcement systems; and for connected purposes.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I – PRELIMINARY AND CONSTITUTIONAL FOUNDATION</w:t>
      </w:r>
    </w:p>
    <w:p>
      <w:pPr>
        <w:pStyle w:val="Heading3"/>
        <w:bidi w:val="0"/>
        <w:jc w:val="left"/>
        <w:rPr/>
      </w:pPr>
      <w:r>
        <w:rPr/>
        <w:t>1. Short Title and Commencement</w:t>
      </w:r>
    </w:p>
    <w:p>
      <w:pPr>
        <w:pStyle w:val="BodyText"/>
        <w:bidi w:val="0"/>
        <w:jc w:val="left"/>
        <w:rPr/>
      </w:pPr>
      <w:r>
        <w:rPr/>
        <w:t>As previously provided.</w:t>
      </w:r>
    </w:p>
    <w:p>
      <w:pPr>
        <w:pStyle w:val="Heading3"/>
        <w:bidi w:val="0"/>
        <w:jc w:val="left"/>
        <w:rPr/>
      </w:pPr>
      <w:r>
        <w:rPr/>
        <w:t>2. Constitutional Supremacy and Interpretation</w:t>
      </w:r>
    </w:p>
    <w:p>
      <w:pPr>
        <w:pStyle w:val="BodyText"/>
        <w:bidi w:val="0"/>
        <w:jc w:val="left"/>
        <w:rPr/>
      </w:pPr>
      <w:r>
        <w:rPr/>
        <w:t>This Act shall be interpreted in a manner that:</w:t>
      </w:r>
    </w:p>
    <w:p>
      <w:pPr>
        <w:pStyle w:val="BodyText"/>
        <w:bidi w:val="0"/>
        <w:jc w:val="left"/>
        <w:rPr/>
      </w:pPr>
      <w:r>
        <w:rPr/>
        <w:t>(a) gives effect to Articles 10, 47, 50, 165, and 232 of the Constitution;</w:t>
        <w:br/>
        <w:t>(b) upholds proportionality, transparency, and accountability;</w:t>
        <w:br/>
        <w:t>(c) ensures that all enforcement actions are subject to independent judicial review; and</w:t>
        <w:br/>
        <w:t>(d) guarantees that no administrative enforcement mechanism shall constitute final determination of criminal guilt.</w:t>
      </w:r>
    </w:p>
    <w:p>
      <w:pPr>
        <w:pStyle w:val="Heading3"/>
        <w:bidi w:val="0"/>
        <w:jc w:val="left"/>
        <w:rPr/>
      </w:pPr>
      <w:r>
        <w:rPr/>
        <w:t>3. Nature of Enforcement Under This Act</w:t>
      </w:r>
    </w:p>
    <w:p>
      <w:pPr>
        <w:pStyle w:val="BodyText"/>
        <w:bidi w:val="0"/>
        <w:jc w:val="left"/>
        <w:rPr/>
      </w:pPr>
      <w:r>
        <w:rPr/>
        <w:t>(1) Enforcement under this Act is administrative in the first instance and judicially reviewable as of right.</w:t>
        <w:br/>
        <w:t>(2) Nothing in this Act limits the jurisdiction of courts under Article 165 or fair hearing rights under Article 50.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II – STATE POLICE AND COUNTY SHERIFF STRUCTURE</w:t>
      </w:r>
    </w:p>
    <w:p>
      <w:pPr>
        <w:pStyle w:val="Heading3"/>
        <w:bidi w:val="0"/>
        <w:jc w:val="left"/>
        <w:rPr/>
      </w:pPr>
      <w:r>
        <w:rPr/>
        <w:t>4. Separation of Functions</w:t>
      </w:r>
    </w:p>
    <w:p>
      <w:pPr>
        <w:pStyle w:val="BodyText"/>
        <w:bidi w:val="0"/>
        <w:jc w:val="left"/>
        <w:rPr/>
      </w:pPr>
      <w:r>
        <w:rPr/>
        <w:t>(1) Law enforcement shall be exercised by:</w:t>
      </w:r>
    </w:p>
    <w:p>
      <w:pPr>
        <w:pStyle w:val="BodyText"/>
        <w:bidi w:val="0"/>
        <w:jc w:val="left"/>
        <w:rPr/>
      </w:pPr>
      <w:r>
        <w:rPr/>
        <w:t>(a) State Police; and</w:t>
        <w:br/>
        <w:t>(b) County Sheriff Services.</w:t>
      </w:r>
    </w:p>
    <w:p>
      <w:pPr>
        <w:pStyle w:val="BodyText"/>
        <w:bidi w:val="0"/>
        <w:jc w:val="left"/>
        <w:rPr/>
      </w:pPr>
      <w:r>
        <w:rPr/>
        <w:t>(2) State Police shall handle national security, terrorism, inter-county crime, and specialised investigations.</w:t>
        <w:br/>
        <w:t>(3) County Sheriff Services shall handle traffic enforcement, PSV compliance, public order, and local enforcement.</w:t>
      </w:r>
    </w:p>
    <w:p>
      <w:pPr>
        <w:pStyle w:val="Heading3"/>
        <w:bidi w:val="0"/>
        <w:jc w:val="left"/>
        <w:rPr/>
      </w:pPr>
      <w:r>
        <w:rPr/>
        <w:t>5. County Sheriff Governance</w:t>
      </w:r>
    </w:p>
    <w:p>
      <w:pPr>
        <w:pStyle w:val="BodyText"/>
        <w:bidi w:val="0"/>
        <w:jc w:val="left"/>
        <w:rPr/>
      </w:pPr>
      <w:r>
        <w:rPr/>
        <w:t>(1) Each County shall establish a County Sheriff Service.</w:t>
        <w:br/>
        <w:t>(2) Each County shall establish a joint Sheriff–County Attorney executive office.</w:t>
        <w:br/>
        <w:t>(3) Sheriff Services shall be accountable to County Governments and national oversight institutions.</w:t>
      </w:r>
    </w:p>
    <w:p>
      <w:pPr>
        <w:pStyle w:val="Heading3"/>
        <w:bidi w:val="0"/>
        <w:jc w:val="left"/>
        <w:rPr/>
      </w:pPr>
      <w:r>
        <w:rPr/>
        <w:t>6. Funding Structure</w:t>
      </w:r>
    </w:p>
    <w:p>
      <w:pPr>
        <w:pStyle w:val="BodyText"/>
        <w:bidi w:val="0"/>
        <w:jc w:val="left"/>
        <w:rPr/>
      </w:pPr>
      <w:r>
        <w:rPr/>
        <w:t>(1) County Sheriff Services shall be funded:</w:t>
      </w:r>
    </w:p>
    <w:p>
      <w:pPr>
        <w:pStyle w:val="BodyText"/>
        <w:bidi w:val="0"/>
        <w:jc w:val="left"/>
        <w:rPr/>
      </w:pPr>
      <w:r>
        <w:rPr/>
        <w:t>(a) 50% National Government;</w:t>
        <w:br/>
        <w:t>(b) 50% County Governments.</w:t>
      </w:r>
    </w:p>
    <w:p>
      <w:pPr>
        <w:pStyle w:val="BodyText"/>
        <w:bidi w:val="0"/>
        <w:jc w:val="left"/>
        <w:rPr/>
      </w:pPr>
      <w:r>
        <w:rPr/>
        <w:t>(2) All funding shall be subject to audit under public finance principles in Article 201.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III – ADMINISTRATIVE ENFORCEMENT AND TICKET SYSTEM</w:t>
      </w:r>
    </w:p>
    <w:p>
      <w:pPr>
        <w:pStyle w:val="Heading3"/>
        <w:bidi w:val="0"/>
        <w:jc w:val="left"/>
        <w:rPr/>
      </w:pPr>
      <w:r>
        <w:rPr/>
        <w:t>7. Optional Administrative Settlement Mechanism</w:t>
      </w:r>
    </w:p>
    <w:p>
      <w:pPr>
        <w:pStyle w:val="BodyText"/>
        <w:bidi w:val="0"/>
        <w:jc w:val="left"/>
        <w:rPr/>
      </w:pPr>
      <w:r>
        <w:rPr/>
        <w:t>(1) An officer may issue a Notice of Administrative Settlement Offer (NASO).</w:t>
        <w:br/>
        <w:t>(2) A NASO is an optional administrative resolution mechanism and does not constitute a criminal conviction.</w:t>
        <w:br/>
        <w:t>(3) A person may:</w:t>
      </w:r>
    </w:p>
    <w:p>
      <w:pPr>
        <w:pStyle w:val="BodyText"/>
        <w:bidi w:val="0"/>
        <w:jc w:val="left"/>
        <w:rPr/>
      </w:pPr>
      <w:r>
        <w:rPr/>
        <w:t>(a) accept settlement; or</w:t>
        <w:br/>
        <w:t>(b) decline and proceed to formal adjudication.</w:t>
      </w:r>
    </w:p>
    <w:p>
      <w:pPr>
        <w:pStyle w:val="BodyText"/>
        <w:bidi w:val="0"/>
        <w:jc w:val="left"/>
        <w:rPr/>
      </w:pPr>
      <w:r>
        <w:rPr/>
        <w:t>(4) No penalty shall arise from refusal to accept a NASO.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8. Evidence and Due Process</w:t>
      </w:r>
    </w:p>
    <w:p>
      <w:pPr>
        <w:pStyle w:val="BodyText"/>
        <w:bidi w:val="0"/>
        <w:jc w:val="left"/>
        <w:rPr/>
      </w:pPr>
      <w:r>
        <w:rPr/>
        <w:t>(1) Upon issuance of a NASO or ticket, enforcement officers shall preserve:</w:t>
      </w:r>
    </w:p>
    <w:p>
      <w:pPr>
        <w:pStyle w:val="BodyText"/>
        <w:bidi w:val="0"/>
        <w:jc w:val="left"/>
        <w:rPr/>
      </w:pPr>
      <w:r>
        <w:rPr/>
        <w:t>(a) physical or digital evidence;</w:t>
        <w:br/>
        <w:t>(b) officer statement;</w:t>
        <w:br/>
        <w:t>(c) time, place, and legal basis of enforcement.</w:t>
      </w:r>
    </w:p>
    <w:p>
      <w:pPr>
        <w:pStyle w:val="BodyText"/>
        <w:bidi w:val="0"/>
        <w:jc w:val="left"/>
        <w:rPr/>
      </w:pPr>
      <w:r>
        <w:rPr/>
        <w:t>(2) All parties may present video or documentary evidence.</w:t>
        <w:br/>
        <w:t>(3) Evidence must be accessible prior to election of settlement or challenge.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9. Citizen Rights</w:t>
      </w:r>
    </w:p>
    <w:p>
      <w:pPr>
        <w:pStyle w:val="BodyText"/>
        <w:bidi w:val="0"/>
        <w:jc w:val="left"/>
        <w:rPr/>
      </w:pPr>
      <w:r>
        <w:rPr/>
        <w:t>Every person has the right to:</w:t>
      </w:r>
    </w:p>
    <w:p>
      <w:pPr>
        <w:pStyle w:val="BodyText"/>
        <w:bidi w:val="0"/>
        <w:jc w:val="left"/>
        <w:rPr/>
      </w:pPr>
      <w:r>
        <w:rPr/>
        <w:t>(a) fair administrative action;</w:t>
        <w:br/>
        <w:t>(b) access evidence;</w:t>
        <w:br/>
        <w:t>(c) contest enforcement decisions;</w:t>
        <w:br/>
        <w:t>(d) appeal to a court or Alderman Board;</w:t>
        <w:br/>
        <w:t>(e) judicial review under Article 165.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IV – DEMERIT SYSTEM (INDIVIDUAL ACCOUNTABILITY)</w:t>
      </w:r>
    </w:p>
    <w:p>
      <w:pPr>
        <w:pStyle w:val="Heading3"/>
        <w:bidi w:val="0"/>
        <w:jc w:val="left"/>
        <w:rPr/>
      </w:pPr>
      <w:r>
        <w:rPr/>
        <w:t>10. Nature of Demerits</w:t>
      </w:r>
    </w:p>
    <w:p>
      <w:pPr>
        <w:pStyle w:val="BodyText"/>
        <w:bidi w:val="0"/>
        <w:jc w:val="left"/>
        <w:rPr/>
      </w:pPr>
      <w:r>
        <w:rPr/>
        <w:t>(1) A demerit is an administrative compliance record, not a criminal conviction.</w:t>
        <w:br/>
        <w:t>(2) No demerit shall have legal effect unless:</w:t>
      </w:r>
    </w:p>
    <w:p>
      <w:pPr>
        <w:pStyle w:val="BodyText"/>
        <w:bidi w:val="0"/>
        <w:jc w:val="left"/>
        <w:rPr/>
      </w:pPr>
      <w:r>
        <w:rPr/>
        <w:t>(a) accepted; or</w:t>
        <w:br/>
        <w:t>(b) confirmed by court or tribunal.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11. Provisional and Final Demerits</w:t>
      </w:r>
    </w:p>
    <w:p>
      <w:pPr>
        <w:pStyle w:val="BodyText"/>
        <w:bidi w:val="0"/>
        <w:jc w:val="left"/>
        <w:rPr/>
      </w:pPr>
      <w:r>
        <w:rPr/>
        <w:t>(1) All demerits are provisional upon issuance.</w:t>
        <w:br/>
        <w:t>(2) A demerit becomes final only after:</w:t>
      </w:r>
    </w:p>
    <w:p>
      <w:pPr>
        <w:pStyle w:val="BodyText"/>
        <w:bidi w:val="0"/>
        <w:jc w:val="left"/>
        <w:rPr/>
      </w:pPr>
      <w:r>
        <w:rPr/>
        <w:t>(a) lapse of challenge period; or</w:t>
        <w:br/>
        <w:t>(b) adjudication.</w:t>
      </w:r>
    </w:p>
    <w:p>
      <w:pPr>
        <w:pStyle w:val="BodyText"/>
        <w:bidi w:val="0"/>
        <w:jc w:val="left"/>
        <w:rPr/>
      </w:pPr>
      <w:r>
        <w:rPr/>
        <w:t>(3) Final demerits alone may trigger suspension thresholds.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12. Private and Commercial Driving Separation</w:t>
      </w:r>
    </w:p>
    <w:p>
      <w:pPr>
        <w:pStyle w:val="BodyText"/>
        <w:bidi w:val="0"/>
        <w:jc w:val="left"/>
        <w:rPr/>
      </w:pPr>
      <w:r>
        <w:rPr/>
        <w:t>(1) Demerits apply to:</w:t>
      </w:r>
    </w:p>
    <w:p>
      <w:pPr>
        <w:pStyle w:val="BodyText"/>
        <w:bidi w:val="0"/>
        <w:jc w:val="left"/>
        <w:rPr/>
      </w:pPr>
      <w:r>
        <w:rPr/>
        <w:t>(a) private driving privileges; and</w:t>
        <w:br/>
        <w:t>(b) PSV/commercial privileges.</w:t>
      </w:r>
    </w:p>
    <w:p>
      <w:pPr>
        <w:pStyle w:val="BodyText"/>
        <w:bidi w:val="0"/>
        <w:jc w:val="left"/>
        <w:rPr/>
      </w:pPr>
      <w:r>
        <w:rPr/>
        <w:t>(2) Thresholds: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5 demerits → 1-month suspension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20 demerits → 6-month suspension or enhanced sanction</w:t>
      </w:r>
    </w:p>
    <w:p>
      <w:pPr>
        <w:pStyle w:val="BodyText"/>
        <w:bidi w:val="0"/>
        <w:jc w:val="left"/>
        <w:rPr/>
      </w:pPr>
      <w:r>
        <w:rPr/>
        <w:t>(3) Driving under suspension:</w:t>
      </w:r>
    </w:p>
    <w:p>
      <w:pPr>
        <w:pStyle w:val="BodyText"/>
        <w:bidi w:val="0"/>
        <w:jc w:val="left"/>
        <w:rPr/>
      </w:pPr>
      <w:r>
        <w:rPr/>
        <w:t>(a) resets demerit count; and</w:t>
        <w:br/>
        <w:t>(b) triggers criminal liability.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13. PSV Enhanced Liability</w:t>
      </w:r>
    </w:p>
    <w:p>
      <w:pPr>
        <w:pStyle w:val="BodyText"/>
        <w:bidi w:val="0"/>
        <w:jc w:val="left"/>
        <w:rPr/>
      </w:pPr>
      <w:r>
        <w:rPr/>
        <w:t>(1) PSV operators are subject to higher standards.</w:t>
        <w:br/>
        <w:t>(2) Thresholds: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5 demerits → 1-week PSV suspension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20 demerits → 1-year PSV suspension</w:t>
      </w:r>
    </w:p>
    <w:p>
      <w:pPr>
        <w:pStyle w:val="BodyText"/>
        <w:bidi w:val="0"/>
        <w:jc w:val="left"/>
        <w:rPr/>
      </w:pPr>
      <w:r>
        <w:rPr/>
        <w:t>(3) PSV sanctions apply irrespective of employer or Sacco.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V – SACCO LIABILITY AND INSTITUTIONAL GOVERNANCE</w:t>
      </w:r>
    </w:p>
    <w:p>
      <w:pPr>
        <w:pStyle w:val="Heading3"/>
        <w:bidi w:val="0"/>
        <w:jc w:val="left"/>
        <w:rPr/>
      </w:pPr>
      <w:r>
        <w:rPr/>
        <w:t>14. Sacco Recognition</w:t>
      </w:r>
    </w:p>
    <w:p>
      <w:pPr>
        <w:pStyle w:val="BodyText"/>
        <w:bidi w:val="0"/>
        <w:jc w:val="left"/>
        <w:rPr/>
      </w:pPr>
      <w:r>
        <w:rPr/>
        <w:t>Saccos are recognised as PSV compliance institutions for regulatory coordination and accountability.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15. Pooled Sacco Risk System (NON-AUTOMATIC LIABILITY MODEL)</w:t>
      </w:r>
    </w:p>
    <w:p>
      <w:pPr>
        <w:pStyle w:val="BodyText"/>
        <w:bidi w:val="0"/>
        <w:jc w:val="left"/>
        <w:rPr/>
      </w:pPr>
      <w:r>
        <w:rPr/>
        <w:t>(1) Each PSV offence generates:</w:t>
      </w:r>
    </w:p>
    <w:p>
      <w:pPr>
        <w:pStyle w:val="BodyText"/>
        <w:bidi w:val="0"/>
        <w:jc w:val="left"/>
        <w:rPr/>
      </w:pPr>
      <w:r>
        <w:rPr/>
        <w:t>(a) one individual demerit; and</w:t>
        <w:br/>
        <w:t>(b) one Sacco risk entry.</w:t>
      </w:r>
    </w:p>
    <w:p>
      <w:pPr>
        <w:pStyle w:val="BodyText"/>
        <w:bidi w:val="0"/>
        <w:jc w:val="left"/>
        <w:rPr/>
      </w:pPr>
      <w:r>
        <w:rPr/>
        <w:t>(2) Sacco risk entries constitute a compliance risk index and do not, by themselves, create liability.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16. Transmission of Enforcement Tickets</w:t>
      </w:r>
    </w:p>
    <w:p>
      <w:pPr>
        <w:pStyle w:val="BodyText"/>
        <w:bidi w:val="0"/>
        <w:jc w:val="left"/>
        <w:rPr/>
      </w:pPr>
      <w:r>
        <w:rPr/>
        <w:t>(1) Every enforcement ticket shall be transmitted to the relevant Sacco for compliance monitoring.</w:t>
        <w:br/>
        <w:t>(2) Each Sacco shall maintain a record of administrative action taken within a prescribed period.</w:t>
      </w:r>
    </w:p>
    <w:p>
      <w:pPr>
        <w:pStyle w:val="BodyText"/>
        <w:bidi w:val="0"/>
        <w:jc w:val="left"/>
        <w:rPr/>
      </w:pPr>
      <w:r>
        <w:rPr/>
        <w:t>(3) Failure to maintain a compliance record:</w:t>
      </w:r>
    </w:p>
    <w:p>
      <w:pPr>
        <w:pStyle w:val="BodyText"/>
        <w:bidi w:val="0"/>
        <w:jc w:val="left"/>
        <w:rPr/>
      </w:pPr>
      <w:r>
        <w:rPr/>
        <w:t>(a) constitutes an administrative breach;</w:t>
        <w:br/>
        <w:t>(b) does not by itself generate demerits.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17. Sacco Liability Trigger Threshold</w:t>
      </w:r>
    </w:p>
    <w:p>
      <w:pPr>
        <w:pStyle w:val="BodyText"/>
        <w:bidi w:val="0"/>
        <w:jc w:val="left"/>
        <w:rPr/>
      </w:pPr>
      <w:r>
        <w:rPr/>
        <w:t>(1) Institutional liability arises only where:</w:t>
      </w:r>
    </w:p>
    <w:p>
      <w:pPr>
        <w:pStyle w:val="BodyText"/>
        <w:bidi w:val="0"/>
        <w:jc w:val="left"/>
        <w:rPr/>
      </w:pPr>
      <w:r>
        <w:rPr/>
        <w:t>(a) repeated misconduct occurs; and</w:t>
        <w:br/>
        <w:t>(b) the Sacco fails to take reasonable corrective action after notification.</w:t>
      </w:r>
    </w:p>
    <w:p>
      <w:pPr>
        <w:pStyle w:val="BodyText"/>
        <w:bidi w:val="0"/>
        <w:jc w:val="left"/>
        <w:rPr/>
      </w:pPr>
      <w:r>
        <w:rPr/>
        <w:t>(2) No liability shall arise solely from a single operator’s conduct.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18. Driver Suspension Effect on Sacco Liability</w:t>
      </w:r>
    </w:p>
    <w:p>
      <w:pPr>
        <w:pStyle w:val="BodyText"/>
        <w:bidi w:val="0"/>
        <w:jc w:val="left"/>
        <w:rPr/>
      </w:pPr>
      <w:r>
        <w:rPr/>
        <w:t>(1) Where a Sacco suspends a driver upon notification:</w:t>
      </w:r>
    </w:p>
    <w:p>
      <w:pPr>
        <w:pStyle w:val="BodyText"/>
        <w:bidi w:val="0"/>
        <w:jc w:val="left"/>
        <w:rPr/>
      </w:pPr>
      <w:r>
        <w:rPr/>
        <w:t>(a) the driver’s conduct ceases to be attributable to the Sacco during suspension;</w:t>
        <w:br/>
        <w:t>(b) Sacco pooled exposure is paused for that driver.</w:t>
      </w:r>
    </w:p>
    <w:p>
      <w:pPr>
        <w:pStyle w:val="BodyText"/>
        <w:bidi w:val="0"/>
        <w:jc w:val="left"/>
        <w:rPr/>
      </w:pPr>
      <w:r>
        <w:rPr/>
        <w:t>(2) If the suspended driver continues operating PSV vehicles:</w:t>
      </w:r>
    </w:p>
    <w:p>
      <w:pPr>
        <w:pStyle w:val="BodyText"/>
        <w:bidi w:val="0"/>
        <w:jc w:val="left"/>
        <w:rPr/>
      </w:pPr>
      <w:r>
        <w:rPr/>
        <w:t>(a) the suspension is deemed ineffective for liability mitigation; and</w:t>
        <w:br/>
        <w:t>(b) liability may reattach upon verification.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19. Alternative Corrective Measures</w:t>
      </w:r>
    </w:p>
    <w:p>
      <w:pPr>
        <w:pStyle w:val="BodyText"/>
        <w:bidi w:val="0"/>
        <w:jc w:val="left"/>
        <w:rPr/>
      </w:pPr>
      <w:r>
        <w:rPr/>
        <w:t>(1) A Sacco may apply corrective measures other than suspension.</w:t>
        <w:br/>
        <w:t>(2) Such measures are subject to review only when institutional escalation thresholds are reached.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20. Anti-Circumvention Rule</w:t>
      </w:r>
    </w:p>
    <w:p>
      <w:pPr>
        <w:pStyle w:val="BodyText"/>
        <w:bidi w:val="0"/>
        <w:jc w:val="left"/>
        <w:rPr/>
      </w:pPr>
      <w:r>
        <w:rPr/>
        <w:t>No Sacco may evade liability through:</w:t>
      </w:r>
    </w:p>
    <w:p>
      <w:pPr>
        <w:pStyle w:val="BodyText"/>
        <w:bidi w:val="0"/>
        <w:jc w:val="left"/>
        <w:rPr/>
      </w:pPr>
      <w:r>
        <w:rPr/>
        <w:t>(a) re-registration;</w:t>
        <w:br/>
        <w:t>(b) fragmentation;</w:t>
        <w:br/>
        <w:t>(c) proxy ownership;</w:t>
        <w:br/>
        <w:t>(d) shell restructuring.</w:t>
      </w:r>
    </w:p>
    <w:p>
      <w:pPr>
        <w:pStyle w:val="BodyText"/>
        <w:bidi w:val="0"/>
        <w:jc w:val="left"/>
        <w:rPr/>
      </w:pPr>
      <w:r>
        <w:rPr/>
        <w:t>Successor Saccos inherit liability for 24 months.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VI – HYBRID ENFORCEMENT SYSTEM</w:t>
      </w:r>
    </w:p>
    <w:p>
      <w:pPr>
        <w:pStyle w:val="Heading3"/>
        <w:bidi w:val="0"/>
        <w:jc w:val="left"/>
        <w:rPr/>
      </w:pPr>
      <w:r>
        <w:rPr/>
        <w:t>21. Hybrid Enforcement Validity</w:t>
      </w:r>
    </w:p>
    <w:p>
      <w:pPr>
        <w:pStyle w:val="BodyText"/>
        <w:bidi w:val="0"/>
        <w:jc w:val="left"/>
        <w:rPr/>
      </w:pPr>
      <w:r>
        <w:rPr/>
        <w:t>(1) Enforcement shall operate through:</w:t>
      </w:r>
    </w:p>
    <w:p>
      <w:pPr>
        <w:pStyle w:val="BodyText"/>
        <w:bidi w:val="0"/>
        <w:jc w:val="left"/>
        <w:rPr/>
      </w:pPr>
      <w:r>
        <w:rPr/>
        <w:t>(a) physical records;</w:t>
        <w:br/>
        <w:t>(b) decentralised registers;</w:t>
        <w:br/>
        <w:t>(c) digital audit overlays.</w:t>
      </w:r>
    </w:p>
    <w:p>
      <w:pPr>
        <w:pStyle w:val="BodyText"/>
        <w:bidi w:val="0"/>
        <w:jc w:val="left"/>
        <w:rPr/>
      </w:pPr>
      <w:r>
        <w:rPr/>
        <w:t>(2) No enforcement action shall fail solely due to system failure or connectivity issues.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22. Legal Validity of Physical Records</w:t>
      </w:r>
    </w:p>
    <w:p>
      <w:pPr>
        <w:pStyle w:val="BodyText"/>
        <w:bidi w:val="0"/>
        <w:jc w:val="left"/>
        <w:rPr/>
      </w:pPr>
      <w:r>
        <w:rPr/>
        <w:t>Physical tickets and registers remain independently valid legal evidence.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VII – INSTITUTIONAL INCENTIVES</w:t>
      </w:r>
    </w:p>
    <w:p>
      <w:pPr>
        <w:pStyle w:val="Heading3"/>
        <w:bidi w:val="0"/>
        <w:jc w:val="left"/>
        <w:rPr/>
      </w:pPr>
      <w:r>
        <w:rPr/>
        <w:t>23. Administrative Gratuity</w:t>
      </w:r>
    </w:p>
    <w:p>
      <w:pPr>
        <w:pStyle w:val="BodyText"/>
        <w:bidi w:val="0"/>
        <w:jc w:val="left"/>
        <w:rPr/>
      </w:pPr>
      <w:r>
        <w:rPr/>
        <w:t>(1) Enforcement agencies shall receive 2% of collected fines.</w:t>
        <w:br/>
        <w:t>(2) Distribution shall be:</w:t>
      </w:r>
    </w:p>
    <w:p>
      <w:pPr>
        <w:pStyle w:val="BodyText"/>
        <w:bidi w:val="0"/>
        <w:jc w:val="left"/>
        <w:rPr/>
      </w:pPr>
      <w:r>
        <w:rPr/>
        <w:t>(a) issuing officer (3 parts);</w:t>
        <w:br/>
        <w:t>(b) department members (M parts);</w:t>
        <w:br/>
        <w:t>(c) supervisors (N parts).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24. Institutional Solidarity Fund</w:t>
      </w:r>
    </w:p>
    <w:p>
      <w:pPr>
        <w:pStyle w:val="BodyText"/>
        <w:bidi w:val="0"/>
        <w:jc w:val="left"/>
        <w:rPr/>
      </w:pPr>
      <w:r>
        <w:rPr/>
        <w:t>(1) 5% of annual gratuity is pooled nationally.</w:t>
        <w:br/>
        <w:t>(2) Distributed equally among all officers.</w:t>
      </w:r>
    </w:p>
    <w:p>
      <w:pPr>
        <w:pStyle w:val="BodyText"/>
        <w:bidi w:val="0"/>
        <w:jc w:val="left"/>
        <w:rPr/>
      </w:pPr>
      <w:r>
        <w:rPr/>
        <w:t>Purpose:</w:t>
      </w:r>
    </w:p>
    <w:p>
      <w:pPr>
        <w:pStyle w:val="BodyText"/>
        <w:bidi w:val="0"/>
        <w:jc w:val="left"/>
        <w:rPr/>
      </w:pPr>
      <w:r>
        <w:rPr/>
        <w:t>(a) reduce corruption clustering;</w:t>
        <w:br/>
        <w:t>(b) improve institutional cohesion.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VIII – TRANSPARENCY, AUDIT, AND MISCONDUCT</w:t>
      </w:r>
    </w:p>
    <w:p>
      <w:pPr>
        <w:pStyle w:val="Heading3"/>
        <w:bidi w:val="0"/>
        <w:jc w:val="left"/>
        <w:rPr/>
      </w:pPr>
      <w:r>
        <w:rPr/>
        <w:t>25. Public Audit Requirement</w:t>
      </w:r>
    </w:p>
    <w:p>
      <w:pPr>
        <w:pStyle w:val="BodyText"/>
        <w:bidi w:val="0"/>
        <w:jc w:val="left"/>
        <w:rPr/>
      </w:pPr>
      <w:r>
        <w:rPr/>
        <w:t>Annual publication shall include:</w:t>
      </w:r>
    </w:p>
    <w:p>
      <w:pPr>
        <w:pStyle w:val="BodyText"/>
        <w:bidi w:val="0"/>
        <w:jc w:val="left"/>
        <w:rPr/>
      </w:pPr>
      <w:r>
        <w:rPr/>
        <w:t>(a) aggregated fines;</w:t>
        <w:br/>
        <w:t>(b) anonymised distributions;</w:t>
        <w:br/>
        <w:t>(c) enforcement statistics.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26. Misconduct and Forfeiture</w:t>
      </w:r>
    </w:p>
    <w:p>
      <w:pPr>
        <w:pStyle w:val="BodyText"/>
        <w:bidi w:val="0"/>
        <w:jc w:val="left"/>
        <w:rPr/>
      </w:pPr>
      <w:r>
        <w:rPr/>
        <w:t>Officers guilty of: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corruption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fabrication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extortion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abuse of process</w:t>
      </w:r>
    </w:p>
    <w:p>
      <w:pPr>
        <w:pStyle w:val="BodyText"/>
        <w:bidi w:val="0"/>
        <w:jc w:val="left"/>
        <w:rPr/>
      </w:pPr>
      <w:r>
        <w:rPr/>
        <w:t>shall forfeit benefits and face disciplinary and criminal sanctions.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IX – EXTENSION TO OTHER SECTORS</w:t>
      </w:r>
    </w:p>
    <w:p>
      <w:pPr>
        <w:pStyle w:val="Heading3"/>
        <w:bidi w:val="0"/>
        <w:jc w:val="left"/>
        <w:rPr/>
      </w:pPr>
      <w:r>
        <w:rPr/>
        <w:t>27. Sectoral Applicability Principle</w:t>
      </w:r>
    </w:p>
    <w:p>
      <w:pPr>
        <w:pStyle w:val="BodyText"/>
        <w:bidi w:val="0"/>
        <w:jc w:val="left"/>
        <w:rPr/>
      </w:pPr>
      <w:r>
        <w:rPr/>
        <w:t>This framework may apply mutatis mutandis to:</w:t>
      </w:r>
    </w:p>
    <w:p>
      <w:pPr>
        <w:pStyle w:val="BodyText"/>
        <w:bidi w:val="0"/>
        <w:jc w:val="left"/>
        <w:rPr/>
      </w:pPr>
      <w:r>
        <w:rPr/>
        <w:t>(a) sanitation enforcement;</w:t>
        <w:br/>
        <w:t>(b) environmental regulation;</w:t>
        <w:br/>
        <w:t>(c) commercial licensing;</w:t>
        <w:br/>
        <w:t>(d) building compliance;</w:t>
        <w:br/>
        <w:t>(e) traffic enforcement generally.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X – JUDICIAL REVIEW AND SUPREMACY OF COURTS</w:t>
      </w:r>
    </w:p>
    <w:p>
      <w:pPr>
        <w:pStyle w:val="Heading3"/>
        <w:bidi w:val="0"/>
        <w:jc w:val="left"/>
        <w:rPr/>
      </w:pPr>
      <w:r>
        <w:rPr/>
        <w:t>28. Judicial Oversight Clause</w:t>
      </w:r>
    </w:p>
    <w:p>
      <w:pPr>
        <w:pStyle w:val="BodyText"/>
        <w:bidi w:val="0"/>
        <w:jc w:val="left"/>
        <w:rPr/>
      </w:pPr>
      <w:r>
        <w:rPr/>
        <w:t>Nothing in this Act limits:</w:t>
      </w:r>
    </w:p>
    <w:p>
      <w:pPr>
        <w:pStyle w:val="BodyText"/>
        <w:bidi w:val="0"/>
        <w:jc w:val="left"/>
        <w:rPr/>
      </w:pPr>
      <w:r>
        <w:rPr/>
        <w:t>(a) Article 50 fair hearing rights;</w:t>
        <w:br/>
        <w:t>(b) Article 165 judicial review;</w:t>
        <w:br/>
        <w:t>(c) constitutional remedies.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PART XI – IMPLEMENTATION</w:t>
      </w:r>
    </w:p>
    <w:p>
      <w:pPr>
        <w:pStyle w:val="Heading3"/>
        <w:bidi w:val="0"/>
        <w:jc w:val="left"/>
        <w:rPr/>
      </w:pPr>
      <w:r>
        <w:rPr/>
        <w:t>29. Phased Implementation</w:t>
      </w:r>
    </w:p>
    <w:p>
      <w:pPr>
        <w:pStyle w:val="BodyText"/>
        <w:bidi w:val="0"/>
        <w:jc w:val="left"/>
        <w:rPr/>
      </w:pPr>
      <w:r>
        <w:rPr/>
        <w:t>Implementation shall occur within 24 months in phases defined by regulation.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30. Regulations</w:t>
      </w:r>
    </w:p>
    <w:p>
      <w:pPr>
        <w:pStyle w:val="BodyText"/>
        <w:bidi w:val="0"/>
        <w:jc w:val="left"/>
        <w:rPr/>
      </w:pPr>
      <w:r>
        <w:rPr/>
        <w:t>Cabinet Secretaries and County Governments shall issue implementation regulations consistent with this Act and the Constitution.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31. Supremacy Clause</w:t>
      </w:r>
    </w:p>
    <w:p>
      <w:pPr>
        <w:pStyle w:val="BodyText"/>
        <w:bidi w:val="0"/>
        <w:jc w:val="left"/>
        <w:rPr/>
      </w:pPr>
      <w:r>
        <w:rPr/>
        <w:t>The Constitution of Kenya, 2010 prevails in all cases of inconsistency.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spacing w:before="240" w:after="120"/>
        <w:jc w:val="left"/>
        <w:rPr/>
      </w:pPr>
      <w:r>
        <w:rPr>
          <w:rStyle w:val="Strong"/>
          <w:b/>
          <w:bCs/>
        </w:rPr>
        <w:t>End of Bill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Tahoma"/>
        <w:kern w:val="2"/>
        <w:sz w:val="24"/>
        <w:szCs w:val="24"/>
        <w:lang w:val="en-GB" w:eastAsia="zh-CN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Tahoma"/>
      <w:color w:val="auto"/>
      <w:kern w:val="2"/>
      <w:sz w:val="24"/>
      <w:szCs w:val="24"/>
      <w:lang w:val="en-GB" w:eastAsia="zh-CN" w:bidi="zxx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LibreOffice/25.2.7.2$Windows_X86_64 LibreOffice_project/5cbfd1ab6520636bb5f7b99185aa69bd7456825d</Application>
  <AppVersion>15.0000</AppVersion>
  <Pages>3</Pages>
  <Words>1172</Words>
  <Characters>7001</Characters>
  <CharactersWithSpaces>8053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en-KE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