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THE UNIFIED REGULATORY AND PUBLIC INTEREST GOVERNANCE ACT, 2026</w:t>
      </w:r>
    </w:p>
    <w:p>
      <w:pPr>
        <w:pStyle w:val="BodyText"/>
        <w:bidi w:val="0"/>
        <w:jc w:val="left"/>
        <w:rPr/>
      </w:pPr>
      <w:r>
        <w:rPr>
          <w:rStyle w:val="Emphasis"/>
        </w:rPr>
        <w:t>(A Bill for an Act of Parliament of Kenya)</w:t>
      </w:r>
    </w:p>
    <w:p>
      <w:pPr>
        <w:pStyle w:val="BodyText"/>
        <w:bidi w:val="0"/>
        <w:jc w:val="left"/>
        <w:rPr/>
      </w:pPr>
      <w:r>
        <w:rPr>
          <w:rStyle w:val="Strong"/>
        </w:rPr>
        <w:t>AN ACT of Parliament to establish a unified national framework for regulatory licensing, compliance monitoring, institutional audit, enterprise performance recording, and productive credit intermediation; to harmonise regulatory decision-making across national and county governments; to provide for a dual compliance and audit governance structure; to establish a verified enterprise performance registry; to regulate PSV and sectoral liability systems; to enable hybrid physical and resilient administrative enforcement systems; and for connected purposes.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I – PRELIMINARY</w:t>
      </w:r>
    </w:p>
    <w:p>
      <w:pPr>
        <w:pStyle w:val="Heading2"/>
        <w:bidi w:val="0"/>
        <w:jc w:val="left"/>
        <w:rPr/>
      </w:pPr>
      <w:r>
        <w:rPr/>
        <w:t>1. Short Title and Commencement</w:t>
      </w:r>
    </w:p>
    <w:p>
      <w:pPr>
        <w:pStyle w:val="BodyText"/>
        <w:bidi w:val="0"/>
        <w:jc w:val="left"/>
        <w:rPr/>
      </w:pPr>
      <w:r>
        <w:rPr/>
        <w:t xml:space="preserve">This Act may be cited as the </w:t>
      </w:r>
      <w:r>
        <w:rPr>
          <w:rStyle w:val="Strong"/>
        </w:rPr>
        <w:t>Unified Regulatory and Public Interest Governance Act, 2026</w:t>
      </w:r>
      <w:r>
        <w:rPr/>
        <w:t>, and shall come into operation upon publication in the Gazette.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Constitutional Foundation</w:t>
      </w:r>
    </w:p>
    <w:p>
      <w:pPr>
        <w:pStyle w:val="BodyText"/>
        <w:bidi w:val="0"/>
        <w:jc w:val="left"/>
        <w:rPr/>
      </w:pPr>
      <w:r>
        <w:rPr/>
        <w:t>This Act shall be interpreted in accordance with:</w:t>
        <w:br/>
        <w:t>(a) the Constitution of Kenya, 2010;</w:t>
        <w:br/>
        <w:t>(b) Article 10 (national values and principles of governance);</w:t>
        <w:br/>
        <w:t>(c) Article 47 (fair administrative action);</w:t>
        <w:br/>
        <w:t>(d) Article 50 (fair hearing rights);</w:t>
        <w:br/>
        <w:t>(e) Article 232 (values and principles of public service); and</w:t>
        <w:br/>
        <w:t>(f) principles of devolution under Chapter Eleven.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Objects and Purpose</w:t>
      </w:r>
    </w:p>
    <w:p>
      <w:pPr>
        <w:pStyle w:val="BodyText"/>
        <w:bidi w:val="0"/>
        <w:jc w:val="left"/>
        <w:rPr/>
      </w:pPr>
      <w:r>
        <w:rPr/>
        <w:t>The purpose of this Act is to:</w:t>
        <w:br/>
        <w:t>(a) establish a unified procedural framework for all regulatory agencies;</w:t>
        <w:br/>
        <w:t>(b) separate compliance execution from institutional audit functions;</w:t>
        <w:br/>
        <w:t>(c) ensure transparent, reviewable, and time-bound administrative licensing;</w:t>
        <w:br/>
        <w:t>(d) establish a national enterprise identity and regulatory registry system;</w:t>
        <w:br/>
        <w:t>(e) enable sectoral accountability systems including PSV and commercial regulation;</w:t>
        <w:br/>
        <w:t>(f) create a verified enterprise performance system to support productive credit markets;</w:t>
        <w:br/>
        <w:t>(g) promote innovation and regulatory improvement beyond minimum compliance standards; and</w:t>
        <w:br/>
        <w:t>(h) ensure resilience of regulatory systems through hybrid physical and digital infrastructure.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Interpretation</w:t>
      </w:r>
    </w:p>
    <w:p>
      <w:pPr>
        <w:pStyle w:val="BodyText"/>
        <w:bidi w:val="0"/>
        <w:jc w:val="left"/>
        <w:rPr/>
      </w:pPr>
      <w:r>
        <w:rPr/>
        <w:t>In this Act—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“</w:t>
      </w:r>
      <w:r>
        <w:rPr>
          <w:rStyle w:val="Strong"/>
        </w:rPr>
        <w:t>Regulatory Authority”</w:t>
      </w:r>
      <w:r>
        <w:rPr/>
        <w:t xml:space="preserve"> means any national or county body empowered to issue licences, permits, approvals, or enforcement actions.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“</w:t>
      </w:r>
      <w:r>
        <w:rPr>
          <w:rStyle w:val="Strong"/>
        </w:rPr>
        <w:t>Compliance Authority”</w:t>
      </w:r>
      <w:r>
        <w:rPr/>
        <w:t xml:space="preserve"> means the division responsible for licensing, inspection, and first-instance administrative action.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“</w:t>
      </w:r>
      <w:r>
        <w:rPr>
          <w:rStyle w:val="Strong"/>
        </w:rPr>
        <w:t>Audit Authority”</w:t>
      </w:r>
      <w:r>
        <w:rPr/>
        <w:t xml:space="preserve"> means the independent internal review body responsible for verification and systemic oversight.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“</w:t>
      </w:r>
      <w:r>
        <w:rPr>
          <w:rStyle w:val="Strong"/>
        </w:rPr>
        <w:t>Enterprise”</w:t>
      </w:r>
      <w:r>
        <w:rPr/>
        <w:t xml:space="preserve"> means any legal person or entity engaged in regulated activity.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“</w:t>
      </w:r>
      <w:r>
        <w:rPr>
          <w:rStyle w:val="Strong"/>
        </w:rPr>
        <w:t>Demerit”</w:t>
      </w:r>
      <w:r>
        <w:rPr/>
        <w:t xml:space="preserve"> means a recorded administrative violation outcome following final determination.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“</w:t>
      </w:r>
      <w:r>
        <w:rPr>
          <w:rStyle w:val="Strong"/>
        </w:rPr>
        <w:t>VEPS”</w:t>
      </w:r>
      <w:r>
        <w:rPr/>
        <w:t xml:space="preserve"> means Verified Enterprise Performance System established under this Act.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“</w:t>
      </w:r>
      <w:r>
        <w:rPr>
          <w:rStyle w:val="Strong"/>
        </w:rPr>
        <w:t>Enhancement Conduct”</w:t>
      </w:r>
      <w:r>
        <w:rPr/>
        <w:t xml:space="preserve"> means verified performance exceeding minimum regulatory standards.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II – INSTITUTIONAL ARCHITECTURE</w:t>
      </w:r>
    </w:p>
    <w:p>
      <w:pPr>
        <w:pStyle w:val="Heading2"/>
        <w:bidi w:val="0"/>
        <w:jc w:val="left"/>
        <w:rPr/>
      </w:pPr>
      <w:r>
        <w:rPr/>
        <w:t>5. Dual Regulatory Structure</w:t>
      </w:r>
    </w:p>
    <w:p>
      <w:pPr>
        <w:pStyle w:val="BodyText"/>
        <w:bidi w:val="0"/>
        <w:jc w:val="left"/>
        <w:rPr/>
      </w:pPr>
      <w:r>
        <w:rPr/>
        <w:t>(1) Every Regulatory Authority shall establish two functionally separate divisions:</w:t>
        <w:br/>
        <w:t>(a) Compliance Division; and</w:t>
        <w:br/>
        <w:t>(b) Audit Division.</w:t>
      </w:r>
    </w:p>
    <w:p>
      <w:pPr>
        <w:pStyle w:val="BodyText"/>
        <w:bidi w:val="0"/>
        <w:jc w:val="left"/>
        <w:rPr/>
      </w:pPr>
      <w:r>
        <w:rPr/>
        <w:t>(2) The Audit Division shall not:</w:t>
        <w:br/>
        <w:t>(a) issue licences;</w:t>
        <w:br/>
        <w:t>(b) directly regulate enterprises; or</w:t>
        <w:br/>
        <w:t>(c) impose primary enforcement decisions.</w:t>
      </w:r>
    </w:p>
    <w:p>
      <w:pPr>
        <w:pStyle w:val="BodyText"/>
        <w:bidi w:val="0"/>
        <w:jc w:val="left"/>
        <w:rPr/>
      </w:pPr>
      <w:r>
        <w:rPr/>
        <w:t>(3) The Compliance Division shall not:</w:t>
        <w:br/>
        <w:t>(a) review its own decisions; or</w:t>
        <w:br/>
        <w:t>(b) conduct final audit determinations.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Joint Registry and Single Source of Regulatory Truth</w:t>
      </w:r>
    </w:p>
    <w:p>
      <w:pPr>
        <w:pStyle w:val="BodyText"/>
        <w:bidi w:val="0"/>
        <w:jc w:val="left"/>
        <w:rPr/>
      </w:pPr>
      <w:r>
        <w:rPr/>
        <w:t xml:space="preserve">(1) There shall be a National Regulatory Registry as the </w:t>
      </w:r>
      <w:r>
        <w:rPr>
          <w:rStyle w:val="Strong"/>
        </w:rPr>
        <w:t>single source of truth</w:t>
      </w:r>
      <w:r>
        <w:rPr/>
        <w:t xml:space="preserve"> for all licensing and enforcement records.</w:t>
      </w:r>
    </w:p>
    <w:p>
      <w:pPr>
        <w:pStyle w:val="BodyText"/>
        <w:bidi w:val="0"/>
        <w:jc w:val="left"/>
        <w:rPr/>
      </w:pPr>
      <w:r>
        <w:rPr/>
        <w:t>(2) The Registry shall contain:</w:t>
        <w:br/>
        <w:t>(a) Compliance Records;</w:t>
        <w:br/>
        <w:t>(b) Enforcement Records; and</w:t>
        <w:br/>
        <w:t>(c) Enhancement Conduct Records.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III – LICENSING AND DEEMED VALIDITY</w:t>
      </w:r>
    </w:p>
    <w:p>
      <w:pPr>
        <w:pStyle w:val="Heading2"/>
        <w:bidi w:val="0"/>
        <w:jc w:val="left"/>
        <w:rPr/>
      </w:pPr>
      <w:r>
        <w:rPr/>
        <w:t>7. Time-Bound Licensing Decisions</w:t>
      </w:r>
    </w:p>
    <w:p>
      <w:pPr>
        <w:pStyle w:val="BodyText"/>
        <w:bidi w:val="0"/>
        <w:jc w:val="left"/>
        <w:rPr/>
      </w:pPr>
      <w:r>
        <w:rPr/>
        <w:t>(1) All licensing applications shall be determined within thirty (30) days.</w:t>
      </w:r>
    </w:p>
    <w:p>
      <w:pPr>
        <w:pStyle w:val="BodyText"/>
        <w:bidi w:val="0"/>
        <w:jc w:val="left"/>
        <w:rPr/>
      </w:pPr>
      <w:r>
        <w:rPr/>
        <w:t xml:space="preserve">(2) Where no decision is issued within the prescribed period, the application shall be deemed </w:t>
      </w:r>
      <w:r>
        <w:rPr>
          <w:rStyle w:val="Strong"/>
        </w:rPr>
        <w:t>provisionally valid</w:t>
      </w:r>
      <w:r>
        <w:rPr/>
        <w:t>, subject to audit confirmation.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Deferred Verification Principle</w:t>
      </w:r>
    </w:p>
    <w:p>
      <w:pPr>
        <w:pStyle w:val="BodyText"/>
        <w:bidi w:val="0"/>
        <w:jc w:val="left"/>
        <w:rPr/>
      </w:pPr>
      <w:r>
        <w:rPr/>
        <w:t>(1) All provisionally valid licences shall remain subject to:</w:t>
        <w:br/>
        <w:t>(a) audit review within twelve (12) months; and</w:t>
        <w:br/>
        <w:t>(b) physical or documentary verification.</w:t>
      </w:r>
    </w:p>
    <w:p>
      <w:pPr>
        <w:pStyle w:val="BodyText"/>
        <w:bidi w:val="0"/>
        <w:jc w:val="left"/>
        <w:rPr/>
      </w:pPr>
      <w:r>
        <w:rPr/>
        <w:t>(2) Audit outcomes may:</w:t>
        <w:br/>
        <w:t>(a) confirm validity;</w:t>
        <w:br/>
        <w:t>(b) require correction; or</w:t>
        <w:br/>
        <w:t>(c) revoke validity following due process.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IV – ENHANCED CONDUCT AND REGULATORY PERFORMANCE</w:t>
      </w:r>
    </w:p>
    <w:p>
      <w:pPr>
        <w:pStyle w:val="Heading2"/>
        <w:bidi w:val="0"/>
        <w:jc w:val="left"/>
        <w:rPr/>
      </w:pPr>
      <w:r>
        <w:rPr/>
        <w:t>9. Definition of Good Conduct (Enhancement Conduct)</w:t>
      </w:r>
    </w:p>
    <w:p>
      <w:pPr>
        <w:pStyle w:val="BodyText"/>
        <w:bidi w:val="0"/>
        <w:jc w:val="left"/>
        <w:rPr/>
      </w:pPr>
      <w:r>
        <w:rPr/>
        <w:t>“</w:t>
      </w:r>
      <w:r>
        <w:rPr/>
        <w:t>Good conduct” shall mean verified enterprise behaviour that:</w:t>
        <w:br/>
        <w:t>(a) exceeds minimum regulatory requirements;</w:t>
        <w:br/>
        <w:t>(b) introduces measurable improvements in safety, efficiency, transparency, or environmental performance; or</w:t>
        <w:br/>
        <w:t>(c) adopts higher regulatory standards prior to mandatory implementation timelines.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Enhancement Registry</w:t>
      </w:r>
    </w:p>
    <w:p>
      <w:pPr>
        <w:pStyle w:val="BodyText"/>
        <w:bidi w:val="0"/>
        <w:jc w:val="left"/>
        <w:rPr/>
      </w:pPr>
      <w:r>
        <w:rPr/>
        <w:t>(1) The Registry shall maintain an Enhancement Conduct Record for each enterprise.</w:t>
      </w:r>
    </w:p>
    <w:p>
      <w:pPr>
        <w:pStyle w:val="BodyText"/>
        <w:bidi w:val="0"/>
        <w:jc w:val="left"/>
        <w:rPr/>
      </w:pPr>
      <w:r>
        <w:rPr/>
        <w:t>(2) Such record shall be used solely for:</w:t>
        <w:br/>
        <w:t>(a) recognition;</w:t>
        <w:br/>
        <w:t>(b) informational risk assessment; and</w:t>
        <w:br/>
        <w:t>(c) policy benchmarking.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V – VERIFICATION AND AUDIT SYSTEM</w:t>
      </w:r>
    </w:p>
    <w:p>
      <w:pPr>
        <w:pStyle w:val="Heading2"/>
        <w:bidi w:val="0"/>
        <w:jc w:val="left"/>
        <w:rPr/>
      </w:pPr>
      <w:r>
        <w:rPr/>
        <w:t>11. Audit Authority Functions</w:t>
      </w:r>
    </w:p>
    <w:p>
      <w:pPr>
        <w:pStyle w:val="BodyText"/>
        <w:bidi w:val="0"/>
        <w:jc w:val="left"/>
        <w:rPr/>
      </w:pPr>
      <w:r>
        <w:rPr/>
        <w:t>The Audit Authority shall:</w:t>
        <w:br/>
        <w:t>(a) review compliance decisions;</w:t>
        <w:br/>
        <w:t>(b) detect systemic irregularities;</w:t>
        <w:br/>
        <w:t>(c) verify registry accuracy; and</w:t>
        <w:br/>
        <w:t>(d) trigger corrective administrative review.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Audit Separation Principle</w:t>
      </w:r>
    </w:p>
    <w:p>
      <w:pPr>
        <w:pStyle w:val="BodyText"/>
        <w:bidi w:val="0"/>
        <w:jc w:val="left"/>
        <w:rPr/>
      </w:pPr>
      <w:r>
        <w:rPr/>
        <w:t>Audit Authority shall not:</w:t>
        <w:br/>
        <w:t>(a) regulate enterprises directly; or</w:t>
        <w:br/>
        <w:t>(b) issue primary sanctions without review proceedings.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Mandatory Administrative Review</w:t>
      </w:r>
    </w:p>
    <w:p>
      <w:pPr>
        <w:pStyle w:val="BodyText"/>
        <w:bidi w:val="0"/>
        <w:jc w:val="left"/>
        <w:rPr/>
      </w:pPr>
      <w:r>
        <w:rPr/>
        <w:t>Where audit findings may negatively affect an enterprise, the matter shall be referred to:</w:t>
        <w:br/>
        <w:t>(a) an Administrative Review Panel; or</w:t>
        <w:br/>
        <w:t>(b) a competent tribunal.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VI – ENTERPRISE LIABILITY AND SECTOR EXTENSION</w:t>
      </w:r>
    </w:p>
    <w:p>
      <w:pPr>
        <w:pStyle w:val="Heading2"/>
        <w:bidi w:val="0"/>
        <w:jc w:val="left"/>
        <w:rPr/>
      </w:pPr>
      <w:r>
        <w:rPr/>
        <w:t>14. Sectoral Application</w:t>
      </w:r>
    </w:p>
    <w:p>
      <w:pPr>
        <w:pStyle w:val="BodyText"/>
        <w:bidi w:val="0"/>
        <w:jc w:val="left"/>
        <w:rPr/>
      </w:pPr>
      <w:r>
        <w:rPr/>
        <w:t>This Act applies to:</w:t>
        <w:br/>
        <w:t>(a) manufacturing;</w:t>
        <w:br/>
        <w:t>(b) transport;</w:t>
        <w:br/>
        <w:t>(c) environmental regulation;</w:t>
        <w:br/>
        <w:t>(d) construction licensing;</w:t>
        <w:br/>
        <w:t>(e) sanitation enforcement; and</w:t>
        <w:br/>
        <w:t>(f) other prescribed sectors.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Institutional Liability Principle</w:t>
      </w:r>
    </w:p>
    <w:p>
      <w:pPr>
        <w:pStyle w:val="BodyText"/>
        <w:bidi w:val="0"/>
        <w:jc w:val="left"/>
        <w:rPr/>
      </w:pPr>
      <w:r>
        <w:rPr/>
        <w:t>Institutional liability shall arise only where:</w:t>
        <w:br/>
        <w:t>(a) systemic negligence is established; or</w:t>
        <w:br/>
        <w:t>(b) failure to act upon verified compliance breaches is demonstrated.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VII – PSV AND COOPERATIVE LIABILITY SYSTEM</w:t>
      </w:r>
    </w:p>
    <w:p>
      <w:pPr>
        <w:pStyle w:val="Heading2"/>
        <w:bidi w:val="0"/>
        <w:jc w:val="left"/>
        <w:rPr/>
      </w:pPr>
      <w:r>
        <w:rPr/>
        <w:t>16. Sacco Compliance Structure</w:t>
      </w:r>
    </w:p>
    <w:p>
      <w:pPr>
        <w:pStyle w:val="BodyText"/>
        <w:bidi w:val="0"/>
        <w:jc w:val="left"/>
        <w:rPr/>
      </w:pPr>
      <w:r>
        <w:rPr/>
        <w:t>(1) Saccos shall be recognised as institutional compliance units.</w:t>
      </w:r>
    </w:p>
    <w:p>
      <w:pPr>
        <w:pStyle w:val="BodyText"/>
        <w:bidi w:val="0"/>
        <w:jc w:val="left"/>
        <w:rPr/>
      </w:pPr>
      <w:r>
        <w:rPr/>
        <w:t>(2) Liability shall not arise from isolated misconduct of a single operator.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17. Pooled Institutional Risk</w:t>
      </w:r>
    </w:p>
    <w:p>
      <w:pPr>
        <w:pStyle w:val="BodyText"/>
        <w:bidi w:val="0"/>
        <w:jc w:val="left"/>
        <w:rPr/>
      </w:pPr>
      <w:r>
        <w:rPr/>
        <w:t>(1) Enterprises may be assigned pooled risk indicators based on verified patterns of repeated non-compliance.</w:t>
      </w:r>
    </w:p>
    <w:p>
      <w:pPr>
        <w:pStyle w:val="BodyText"/>
        <w:bidi w:val="0"/>
        <w:jc w:val="left"/>
        <w:rPr/>
      </w:pPr>
      <w:r>
        <w:rPr/>
        <w:t>(2) Any sanction based on pooled risk shall require:</w:t>
        <w:br/>
        <w:t>(a) audit confirmation; and</w:t>
        <w:br/>
        <w:t>(b) administrative review.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18. Operator Suspension Effect</w:t>
      </w:r>
    </w:p>
    <w:p>
      <w:pPr>
        <w:pStyle w:val="BodyText"/>
        <w:bidi w:val="0"/>
        <w:jc w:val="left"/>
        <w:rPr/>
      </w:pPr>
      <w:r>
        <w:rPr/>
        <w:t>Where a regulated operator is suspended:</w:t>
        <w:br/>
        <w:t>(a) their conduct shall not be attributed to the institution during suspension; and</w:t>
        <w:br/>
        <w:t>(b) liability shall be suspended for the duration of confirmed enforcement action.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VIII – HYBRID ENFORCEMENT SYSTEM</w:t>
      </w:r>
    </w:p>
    <w:p>
      <w:pPr>
        <w:pStyle w:val="Heading2"/>
        <w:bidi w:val="0"/>
        <w:jc w:val="left"/>
        <w:rPr/>
      </w:pPr>
      <w:r>
        <w:rPr/>
        <w:t>19. Dual-Mode Enforcement Validity</w:t>
      </w:r>
    </w:p>
    <w:p>
      <w:pPr>
        <w:pStyle w:val="BodyText"/>
        <w:bidi w:val="0"/>
        <w:jc w:val="left"/>
        <w:rPr/>
      </w:pPr>
      <w:r>
        <w:rPr/>
        <w:t>(1) Enforcement may operate through:</w:t>
        <w:br/>
        <w:t>(a) physical records; and</w:t>
        <w:br/>
        <w:t>(b) digital systems.</w:t>
      </w:r>
    </w:p>
    <w:p>
      <w:pPr>
        <w:pStyle w:val="BodyText"/>
        <w:bidi w:val="0"/>
        <w:jc w:val="left"/>
        <w:rPr/>
      </w:pPr>
      <w:r>
        <w:rPr/>
        <w:t>(2) Physical records shall remain legally valid notwithstanding digital system failure.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20. Evidence Integration</w:t>
      </w:r>
    </w:p>
    <w:p>
      <w:pPr>
        <w:pStyle w:val="BodyText"/>
        <w:bidi w:val="0"/>
        <w:jc w:val="left"/>
        <w:rPr/>
      </w:pPr>
      <w:r>
        <w:rPr/>
        <w:t>(1) Both regulator and citizen-generated evidence shall be admissible.</w:t>
      </w:r>
    </w:p>
    <w:p>
      <w:pPr>
        <w:pStyle w:val="BodyText"/>
        <w:bidi w:val="0"/>
        <w:jc w:val="left"/>
        <w:rPr/>
      </w:pPr>
      <w:r>
        <w:rPr/>
        <w:t>(2) All evidence shall be subject to authentication and judicial review standards.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IX – VERIFIED ENTERPRISE PERFORMANCE SYSTEM (VEPS)</w:t>
      </w:r>
    </w:p>
    <w:p>
      <w:pPr>
        <w:pStyle w:val="Heading2"/>
        <w:bidi w:val="0"/>
        <w:jc w:val="left"/>
        <w:rPr/>
      </w:pPr>
      <w:r>
        <w:rPr/>
        <w:t>21. Establishment of VEPS</w:t>
      </w:r>
    </w:p>
    <w:p>
      <w:pPr>
        <w:pStyle w:val="BodyText"/>
        <w:bidi w:val="0"/>
        <w:jc w:val="left"/>
        <w:rPr/>
      </w:pPr>
      <w:r>
        <w:rPr/>
        <w:t>There is established a Verified Enterprise Performance System within the Registry.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22. VEPS Components</w:t>
      </w:r>
    </w:p>
    <w:p>
      <w:pPr>
        <w:pStyle w:val="BodyText"/>
        <w:bidi w:val="0"/>
        <w:jc w:val="left"/>
        <w:rPr/>
      </w:pPr>
      <w:r>
        <w:rPr/>
        <w:t>VEPS shall consist of:</w:t>
        <w:br/>
        <w:t>(a) Compliance Records;</w:t>
        <w:br/>
        <w:t>(b) Operational Integrity Records; and</w:t>
        <w:br/>
        <w:t>(c) Enhancement Conduct Records.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23. Use of VEPS in Financial Markets</w:t>
      </w:r>
    </w:p>
    <w:p>
      <w:pPr>
        <w:pStyle w:val="BodyText"/>
        <w:bidi w:val="0"/>
        <w:jc w:val="left"/>
        <w:rPr/>
      </w:pPr>
      <w:r>
        <w:rPr/>
        <w:t>(1) Licensed financial institutions may access VEPS data for risk assessment purposes.</w:t>
      </w:r>
    </w:p>
    <w:p>
      <w:pPr>
        <w:pStyle w:val="BodyText"/>
        <w:bidi w:val="0"/>
        <w:jc w:val="left"/>
        <w:rPr/>
      </w:pPr>
      <w:r>
        <w:rPr/>
        <w:t>(2) VEPS data shall be:</w:t>
        <w:br/>
        <w:t>(a) informational only; and</w:t>
        <w:br/>
        <w:t>(b) non-binding on lending decisions.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24. Productive Credit Recognition Framework</w:t>
      </w:r>
    </w:p>
    <w:p>
      <w:pPr>
        <w:pStyle w:val="BodyText"/>
        <w:bidi w:val="0"/>
        <w:jc w:val="left"/>
        <w:rPr/>
      </w:pPr>
      <w:r>
        <w:rPr/>
        <w:t>(1) Financial regulators may recognise VEPS data in prudential risk frameworks.</w:t>
      </w:r>
    </w:p>
    <w:p>
      <w:pPr>
        <w:pStyle w:val="BodyText"/>
        <w:bidi w:val="0"/>
        <w:jc w:val="left"/>
        <w:rPr/>
      </w:pPr>
      <w:r>
        <w:rPr/>
        <w:t>(2) Such recognition shall be optional and subject to audit.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25. Public Financial Disclosure Index</w:t>
      </w:r>
    </w:p>
    <w:p>
      <w:pPr>
        <w:pStyle w:val="BodyText"/>
        <w:bidi w:val="0"/>
        <w:jc w:val="left"/>
        <w:rPr/>
      </w:pPr>
      <w:r>
        <w:rPr/>
        <w:t>A national index shall publish:</w:t>
        <w:br/>
        <w:t>(a) productive lending distribution;</w:t>
        <w:br/>
        <w:t>(b) sectoral credit allocation trends; and</w:t>
        <w:br/>
        <w:t>(c) risk-adjusted financial performance indicators.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X – PROCEDURAL SAFEGUARDS</w:t>
      </w:r>
    </w:p>
    <w:p>
      <w:pPr>
        <w:pStyle w:val="Heading2"/>
        <w:bidi w:val="0"/>
        <w:jc w:val="left"/>
        <w:rPr/>
      </w:pPr>
      <w:r>
        <w:rPr/>
        <w:t>26. Fair Administrative Action</w:t>
      </w:r>
    </w:p>
    <w:p>
      <w:pPr>
        <w:pStyle w:val="BodyText"/>
        <w:bidi w:val="0"/>
        <w:jc w:val="left"/>
        <w:rPr/>
      </w:pPr>
      <w:r>
        <w:rPr/>
        <w:t>All regulatory actions shall:</w:t>
        <w:br/>
        <w:t>(a) be reasoned;</w:t>
        <w:br/>
        <w:t>(b) be time-bound;</w:t>
        <w:br/>
        <w:t>(c) allow response by affected parties; and</w:t>
        <w:br/>
        <w:t>(d) be subject to appeal.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27. Right to Review and Appeal</w:t>
      </w:r>
    </w:p>
    <w:p>
      <w:pPr>
        <w:pStyle w:val="BodyText"/>
        <w:bidi w:val="0"/>
        <w:jc w:val="left"/>
        <w:rPr/>
      </w:pPr>
      <w:r>
        <w:rPr/>
        <w:t>All adverse administrative actions shall be subject to:</w:t>
        <w:br/>
        <w:t>(a) internal review; and</w:t>
        <w:br/>
        <w:t>(b) independent tribunal or court review.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XI – TRANSPARENCY AND INTEGRITY</w:t>
      </w:r>
    </w:p>
    <w:p>
      <w:pPr>
        <w:pStyle w:val="Heading2"/>
        <w:bidi w:val="0"/>
        <w:jc w:val="left"/>
        <w:rPr/>
      </w:pPr>
      <w:r>
        <w:rPr/>
        <w:t>28. Registry Transparency</w:t>
      </w:r>
    </w:p>
    <w:p>
      <w:pPr>
        <w:pStyle w:val="BodyText"/>
        <w:bidi w:val="0"/>
        <w:jc w:val="left"/>
        <w:rPr/>
      </w:pPr>
      <w:r>
        <w:rPr/>
        <w:t>The Registry shall publish aggregated data on:</w:t>
        <w:br/>
        <w:t>(a) licensing outcomes;</w:t>
        <w:br/>
        <w:t>(b) enforcement actions; and</w:t>
        <w:br/>
        <w:t>(c) enhancement conduct metrics.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29. Anti-Abuse Safeguards</w:t>
      </w:r>
    </w:p>
    <w:p>
      <w:pPr>
        <w:pStyle w:val="BodyText"/>
        <w:bidi w:val="0"/>
        <w:jc w:val="left"/>
        <w:rPr/>
      </w:pPr>
      <w:r>
        <w:rPr/>
        <w:t>No incentive or administrative system under this Act shall be based solely on:</w:t>
        <w:br/>
        <w:t>(a) volume of enforcement actions; or</w:t>
        <w:br/>
        <w:t>(b) punitive output metrics.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PART XII – IMPLEMENTATION</w:t>
      </w:r>
    </w:p>
    <w:p>
      <w:pPr>
        <w:pStyle w:val="Heading2"/>
        <w:bidi w:val="0"/>
        <w:jc w:val="left"/>
        <w:rPr/>
      </w:pPr>
      <w:r>
        <w:rPr/>
        <w:t>30. Transitional Implementation</w:t>
      </w:r>
    </w:p>
    <w:p>
      <w:pPr>
        <w:pStyle w:val="BodyText"/>
        <w:bidi w:val="0"/>
        <w:jc w:val="left"/>
        <w:rPr/>
      </w:pPr>
      <w:r>
        <w:rPr/>
        <w:t>(1) This Act shall be implemented within twenty-four (24) months.</w:t>
      </w:r>
    </w:p>
    <w:p>
      <w:pPr>
        <w:pStyle w:val="BodyText"/>
        <w:bidi w:val="0"/>
        <w:jc w:val="left"/>
        <w:rPr/>
      </w:pPr>
      <w:r>
        <w:rPr/>
        <w:t>(2) Implementation shall be phased by sector and institution.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31. Regulations</w:t>
      </w:r>
    </w:p>
    <w:p>
      <w:pPr>
        <w:pStyle w:val="BodyText"/>
        <w:bidi w:val="0"/>
        <w:jc w:val="left"/>
        <w:rPr/>
      </w:pPr>
      <w:r>
        <w:rPr/>
        <w:t>Relevant Cabinet Secretaries and County Governments shall issue regulations for implementation.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32. Constitutional Supremacy</w:t>
      </w:r>
    </w:p>
    <w:p>
      <w:pPr>
        <w:pStyle w:val="BodyText"/>
        <w:bidi w:val="0"/>
        <w:spacing w:before="0" w:after="140"/>
        <w:jc w:val="left"/>
        <w:rPr/>
      </w:pPr>
      <w:r>
        <w:rPr/>
        <w:t>Where inconsistency arises, the Constitution of Kenya, 2010 shall prevail.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3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Tahoma"/>
        <w:kern w:val="2"/>
        <w:sz w:val="24"/>
        <w:szCs w:val="24"/>
        <w:lang w:val="en-GB" w:eastAsia="zh-CN" w:bidi="zxx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Tahoma"/>
      <w:color w:val="auto"/>
      <w:kern w:val="2"/>
      <w:sz w:val="24"/>
      <w:szCs w:val="24"/>
      <w:lang w:val="en-GB" w:eastAsia="zh-CN" w:bidi="zxx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Tahoma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Tahoma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8</Pages>
  <Words>1215</Words>
  <Characters>7662</Characters>
  <CharactersWithSpaces>8783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2026-06-12T13:37:14Z</dcterms:created>
  <dc:creator/>
  <dc:description/>
  <dc:language>en-KE</dc:language>
  <cp:lastModifiedBy/>
  <dcterms:modified xsi:type="dcterms:W3CDTF">2026-06-12T13:38:03Z</dcterms:modified>
  <cp:revision>1</cp:revision>
  <dc:subject/>
  <dc:title/>
</cp:coreProperties>
</file>