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single consolidated legislative instrument</w:t>
      </w:r>
      <w:r>
        <w:rPr/>
        <w:t xml:space="preserve"> integrating your Unified Regulatory Registry + licensing presumption + dual-department compliance model + audit rotation + manufacturing expansion logic + positive incentive banking signal + tax caps.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It is written in </w:t>
      </w:r>
      <w:r>
        <w:rPr>
          <w:rStyle w:val="Strong"/>
        </w:rPr>
        <w:t>formal Kenyan constitutional drafting style (2010 Constitution compliant)</w:t>
      </w:r>
      <w:r>
        <w:rPr/>
        <w:t xml:space="preserve"> and structured so it can survive High Court/Supreme Court scrutiny by anchoring every innovation to </w:t>
      </w:r>
      <w:r>
        <w:rPr>
          <w:rStyle w:val="Strong"/>
        </w:rPr>
        <w:t>Articles 10, 47, 50, 201, 209, 210, 232, 165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UNIFIED REGULATORY AND ECONOMIC ACCELERATION ACT, 2026</w:t>
      </w:r>
    </w:p>
    <w:p>
      <w:pPr>
        <w:pStyle w:val="BodyText"/>
        <w:bidi w:val="0"/>
        <w:jc w:val="start"/>
        <w:rPr/>
      </w:pPr>
      <w:r>
        <w:rPr>
          <w:rStyle w:val="Strong"/>
        </w:rPr>
        <w:t>AN ACT of Parliament to establish a unified regulatory licensing, compliance, and audit framework for all regulated sectors in Kenya; to introduce time-bound licensing validity rules; to reform administrative enforcement through dual compliance and audit institutions; to create a national regulatory registry of enterprises and conduct; to establish positive-performance-based regulatory incentives; to regulate administrative fines and compliance payments; to promote manufacturing and enterprise growth; to enhance access to credit through verified compliance scoring; and for connected purposes.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 – PRELIMINARY</w:t>
      </w:r>
    </w:p>
    <w:p>
      <w:pPr>
        <w:pStyle w:val="Heading3"/>
        <w:bidi w:val="0"/>
        <w:jc w:val="start"/>
        <w:rPr/>
      </w:pPr>
      <w:r>
        <w:rPr/>
        <w:t>1. Short Title and Commencement</w:t>
      </w:r>
    </w:p>
    <w:p>
      <w:pPr>
        <w:pStyle w:val="BodyText"/>
        <w:bidi w:val="0"/>
        <w:jc w:val="start"/>
        <w:rPr/>
      </w:pPr>
      <w:r>
        <w:rPr/>
        <w:t>This Act may be cited as the Unified Regulatory and Economic Acceleration Act, 2026 and shall come into force upon publication in the Gazette.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Constitutional Foundation</w:t>
      </w:r>
    </w:p>
    <w:p>
      <w:pPr>
        <w:pStyle w:val="BodyText"/>
        <w:bidi w:val="0"/>
        <w:jc w:val="start"/>
        <w:rPr/>
      </w:pPr>
      <w:r>
        <w:rPr/>
        <w:t>This Act shall be interpreted in accordance with: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(a) Articles 10, 47, 50, 201, 209, 210, 232, and 165 of the Constitution of Kenya, 2010;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(b) principles of devolved governance and shared regulatory competence;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(c) principles of administrative justice and procedural fairness;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(d) principles of fiscal accountability and prudent public finance;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(e) principles of efficiency, integrity, transparency, and responsiveness in public service.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Objects and Purpose</w:t>
      </w:r>
    </w:p>
    <w:p>
      <w:pPr>
        <w:pStyle w:val="BodyText"/>
        <w:bidi w:val="0"/>
        <w:jc w:val="start"/>
        <w:rPr/>
      </w:pPr>
      <w:r>
        <w:rPr/>
        <w:t>The purpose of this Act is to: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(a) simplify and unify licensing and regulatory approvals across sectors;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(b) reduce administrative delay as a barrier to enterprise formation;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(c) establish a dual institutional model of </w:t>
      </w:r>
      <w:r>
        <w:rPr>
          <w:rStyle w:val="Strong"/>
        </w:rPr>
        <w:t>Compliance Authority</w:t>
      </w:r>
      <w:r>
        <w:rPr/>
        <w:t xml:space="preserve"> and </w:t>
      </w:r>
      <w:r>
        <w:rPr>
          <w:rStyle w:val="Strong"/>
        </w:rPr>
        <w:t>Audit Authority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(d) create a presumption-of-validity licensing framework subject to verification;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(e) incentivise good regulatory performance rather than punitive enforcement alone;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(f) promote manufacturing, industrial expansion, and enterprise formalisation;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(g) create a transparent national registry of enterprise conduct and compliance;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(h) improve credit access through verified regulatory performance signals;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(i) cap and rationalise tax burdens for early-stage enterprises.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Interpretation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Regulatory Authority” means any national or county body issuing licences, permits, or regulatory approvals.</w:t>
        <w:br/>
        <w:t>“Compliance Authority” means the operational licensing and approval unit.</w:t>
        <w:br/>
        <w:t>“Audit Authority” means an independent verification and review unit.</w:t>
        <w:br/>
        <w:t>“Enterprise” means any registered business or manufacturing entity.</w:t>
        <w:br/>
        <w:t>“Registry” means the Unified Regulatory Registry established under this Act.</w:t>
        <w:br/>
        <w:t>“Provisional Licence” means a deemed-valid approval pending audit confirmation.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II – UNIFIED REGULATORY REGISTRY</w:t>
      </w:r>
    </w:p>
    <w:p>
      <w:pPr>
        <w:pStyle w:val="Heading3"/>
        <w:bidi w:val="0"/>
        <w:jc w:val="start"/>
        <w:rPr/>
      </w:pPr>
      <w:r>
        <w:rPr/>
        <w:t>5. Establishment of Registry</w:t>
      </w:r>
    </w:p>
    <w:p>
      <w:pPr>
        <w:pStyle w:val="BodyText"/>
        <w:bidi w:val="0"/>
        <w:jc w:val="start"/>
        <w:rPr/>
      </w:pPr>
      <w:r>
        <w:rPr/>
        <w:t>(1) There is established a National Unified Regulatory Registry.</w:t>
        <w:br/>
        <w:t>(2) The Registry shall: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(a) record all licensing applications;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(b) track approvals, rejections, and conditions;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(c) maintain enterprise compliance histories;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(d) record positive conduct indicators.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Presumption of Validity of Licensing Applications</w:t>
      </w:r>
    </w:p>
    <w:p>
      <w:pPr>
        <w:pStyle w:val="BodyText"/>
        <w:bidi w:val="0"/>
        <w:jc w:val="start"/>
        <w:rPr/>
      </w:pPr>
      <w:r>
        <w:rPr/>
        <w:t xml:space="preserve">(1) A licensing application not expressly rejected within </w:t>
      </w:r>
      <w:r>
        <w:rPr>
          <w:rStyle w:val="Strong"/>
        </w:rPr>
        <w:t>thirty (30) days</w:t>
      </w:r>
      <w:r>
        <w:rPr/>
        <w:t xml:space="preserve"> shall be deemed: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provisionally approved and operationally valid.</w:t>
      </w:r>
    </w:p>
    <w:p>
      <w:pPr>
        <w:pStyle w:val="BodyText"/>
        <w:bidi w:val="0"/>
        <w:jc w:val="start"/>
        <w:rPr/>
      </w:pPr>
      <w:r>
        <w:rPr/>
        <w:t>(2) Such provisional validity shall remain in force until: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(a) confirmed; or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(b) revoked following due process.</w:t>
      </w:r>
    </w:p>
    <w:p>
      <w:pPr>
        <w:pStyle w:val="BodyText"/>
        <w:bidi w:val="0"/>
        <w:jc w:val="start"/>
        <w:rPr/>
      </w:pPr>
      <w:r>
        <w:rPr/>
        <w:t xml:space="preserve">(3) A physical verification shall occur within </w:t>
      </w:r>
      <w:r>
        <w:rPr>
          <w:rStyle w:val="Strong"/>
        </w:rPr>
        <w:t>one (1) year</w:t>
      </w:r>
      <w:r>
        <w:rPr/>
        <w:t xml:space="preserve"> of provisional approval.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Protection Against Administrative Delay Abuse</w:t>
      </w:r>
    </w:p>
    <w:p>
      <w:pPr>
        <w:pStyle w:val="BodyText"/>
        <w:bidi w:val="0"/>
        <w:jc w:val="start"/>
        <w:rPr/>
      </w:pPr>
      <w:r>
        <w:rPr/>
        <w:t>(1) No licence may be invalidated solely due to administrative backlog.</w:t>
        <w:br/>
        <w:t>(2) Delay beyond statutory timelines shall constitute administrative non-performance subject to audit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III – DUAL REGULATORY INSTITUTIONS</w:t>
      </w:r>
    </w:p>
    <w:p>
      <w:pPr>
        <w:pStyle w:val="Heading3"/>
        <w:bidi w:val="0"/>
        <w:jc w:val="start"/>
        <w:rPr/>
      </w:pPr>
      <w:r>
        <w:rPr/>
        <w:t>8. Compliance Authority</w:t>
      </w:r>
    </w:p>
    <w:p>
      <w:pPr>
        <w:pStyle w:val="BodyText"/>
        <w:bidi w:val="0"/>
        <w:jc w:val="start"/>
        <w:rPr/>
      </w:pPr>
      <w:r>
        <w:rPr/>
        <w:t>(1) Responsible for: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issuing licences;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frontline inspections;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enterprise engagement;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facilitation of compliance.</w:t>
      </w:r>
    </w:p>
    <w:p>
      <w:pPr>
        <w:pStyle w:val="BodyText"/>
        <w:bidi w:val="0"/>
        <w:jc w:val="start"/>
        <w:rPr/>
      </w:pPr>
      <w:r>
        <w:rPr/>
        <w:t>(2) Must act within statutory timelines.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Audit Authority</w:t>
      </w:r>
    </w:p>
    <w:p>
      <w:pPr>
        <w:pStyle w:val="BodyText"/>
        <w:bidi w:val="0"/>
        <w:jc w:val="start"/>
        <w:rPr/>
      </w:pPr>
      <w:r>
        <w:rPr/>
        <w:t>(1) Independent from Compliance Authority.</w:t>
        <w:br/>
        <w:t>(2) Responsible for: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verification of compliance actions;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random inspections;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post-issuance review;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detection of systemic irregularities.</w:t>
      </w:r>
    </w:p>
    <w:p>
      <w:pPr>
        <w:pStyle w:val="BodyText"/>
        <w:bidi w:val="0"/>
        <w:jc w:val="start"/>
        <w:rPr/>
      </w:pPr>
      <w:r>
        <w:rPr/>
        <w:t>(3) Shall not directly administer licensing.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Separation of Functions Principle</w:t>
      </w:r>
    </w:p>
    <w:p>
      <w:pPr>
        <w:pStyle w:val="BodyText"/>
        <w:bidi w:val="0"/>
        <w:jc w:val="start"/>
        <w:rPr/>
      </w:pPr>
      <w:r>
        <w:rPr/>
        <w:t>(1) No officer may simultaneously perform compliance issuance and audit verification functions except by scheduled rotation.</w:t>
        <w:br/>
        <w:t>(2) This separation shall be enforced to prevent institutional capture and conflicts of interest under Article 10.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IV – ROTATION AND INCENTIVE STRUCTURE</w:t>
      </w:r>
    </w:p>
    <w:p>
      <w:pPr>
        <w:pStyle w:val="Heading3"/>
        <w:bidi w:val="0"/>
        <w:jc w:val="start"/>
        <w:rPr/>
      </w:pPr>
      <w:r>
        <w:rPr/>
        <w:t>11. Mandatory Bi-Annual Rotation</w:t>
      </w:r>
    </w:p>
    <w:p>
      <w:pPr>
        <w:pStyle w:val="BodyText"/>
        <w:bidi w:val="0"/>
        <w:jc w:val="start"/>
        <w:rPr/>
      </w:pPr>
      <w:r>
        <w:rPr/>
        <w:t xml:space="preserve">(1) Officers shall rotate between Compliance and Audit departments every </w:t>
      </w:r>
      <w:r>
        <w:rPr>
          <w:rStyle w:val="Strong"/>
        </w:rPr>
        <w:t>two (2) years</w:t>
      </w:r>
      <w:r>
        <w:rPr/>
        <w:t>.</w:t>
        <w:br/>
        <w:t>(2) Rotation shall be mandatory and non-discretionary.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12. Incentive System for Accuracy</w:t>
      </w:r>
    </w:p>
    <w:p>
      <w:pPr>
        <w:pStyle w:val="BodyText"/>
        <w:bidi w:val="0"/>
        <w:jc w:val="start"/>
        <w:rPr/>
      </w:pPr>
      <w:r>
        <w:rPr/>
        <w:t>(1) Compliance officers shall receive performance recognition for: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verified approvals later confirmed correct;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low error rates;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timely processing.</w:t>
      </w:r>
    </w:p>
    <w:p>
      <w:pPr>
        <w:pStyle w:val="BodyText"/>
        <w:bidi w:val="0"/>
        <w:jc w:val="start"/>
        <w:rPr/>
      </w:pPr>
      <w:r>
        <w:rPr/>
        <w:t>(2) Audit officers shall receive recognition for: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accurate detection of non-compliance;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correction of regulatory errors;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improvement of system integrity.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13. Accountability for False Certification</w:t>
      </w:r>
    </w:p>
    <w:p>
      <w:pPr>
        <w:pStyle w:val="BodyText"/>
        <w:bidi w:val="0"/>
        <w:jc w:val="start"/>
        <w:rPr/>
      </w:pPr>
      <w:r>
        <w:rPr/>
        <w:t>(1) Where an approval is later found to be: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fraudulent; or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negligently issued;</w:t>
      </w:r>
    </w:p>
    <w:p>
      <w:pPr>
        <w:pStyle w:val="BodyText"/>
        <w:bidi w:val="0"/>
        <w:jc w:val="start"/>
        <w:rPr/>
      </w:pPr>
      <w:r>
        <w:rPr/>
        <w:t>the responsible officer shall be subject to: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administrative penalties;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financial liability within statutory limits;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disciplinary review.</w:t>
      </w:r>
    </w:p>
    <w:p>
      <w:pPr>
        <w:pStyle w:val="BodyText"/>
        <w:bidi w:val="0"/>
        <w:jc w:val="start"/>
        <w:rPr/>
      </w:pPr>
      <w:r>
        <w:rPr/>
        <w:t xml:space="preserve">(2) Liability shall require </w:t>
      </w:r>
      <w:r>
        <w:rPr>
          <w:rStyle w:val="Strong"/>
        </w:rPr>
        <w:t>material negligence or misconduct</w:t>
      </w:r>
      <w:r>
        <w:rPr/>
        <w:t>, not good-faith error.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V – REGULATORY PAYMENT AND COMPLIANCE STRUCTURE</w:t>
      </w:r>
    </w:p>
    <w:p>
      <w:pPr>
        <w:pStyle w:val="Heading3"/>
        <w:bidi w:val="0"/>
        <w:jc w:val="start"/>
        <w:rPr/>
      </w:pPr>
      <w:r>
        <w:rPr/>
        <w:t>14. Administrative Fines Payment Framework</w:t>
      </w:r>
    </w:p>
    <w:p>
      <w:pPr>
        <w:pStyle w:val="BodyText"/>
        <w:bidi w:val="0"/>
        <w:jc w:val="start"/>
        <w:rPr/>
      </w:pPr>
      <w:r>
        <w:rPr/>
        <w:t>(1) Administrative fines and regulatory fees may be paid within: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six (6) months of issuance.</w:t>
      </w:r>
    </w:p>
    <w:p>
      <w:pPr>
        <w:pStyle w:val="BodyText"/>
        <w:bidi w:val="0"/>
        <w:jc w:val="start"/>
        <w:rPr/>
      </w:pPr>
      <w:r>
        <w:rPr/>
        <w:t>(2) Payment structure: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50% within first 30 days (discounted or standard rate);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balance within remaining period.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15. Positive Compliance Incentives</w:t>
      </w:r>
    </w:p>
    <w:p>
      <w:pPr>
        <w:pStyle w:val="BodyText"/>
        <w:bidi w:val="0"/>
        <w:jc w:val="start"/>
        <w:rPr/>
      </w:pPr>
      <w:r>
        <w:rPr/>
        <w:t>(1) Early compliance shall qualify for: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reduced penalties;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priority processing of future applications;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regulatory fast-track status.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16. Officer Incentive Linkage</w:t>
      </w:r>
    </w:p>
    <w:p>
      <w:pPr>
        <w:pStyle w:val="BodyText"/>
        <w:bidi w:val="0"/>
        <w:jc w:val="start"/>
        <w:rPr/>
      </w:pPr>
      <w:r>
        <w:rPr/>
        <w:t>(1) Officers confirming compliance receive: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structured performance recognition bonuses;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subject to audit confirmation.</w:t>
      </w:r>
    </w:p>
    <w:p>
      <w:pPr>
        <w:pStyle w:val="BodyText"/>
        <w:bidi w:val="0"/>
        <w:jc w:val="start"/>
        <w:rPr/>
      </w:pPr>
      <w:r>
        <w:rPr/>
        <w:t>(2) Subsequent discovery of fraud attributable to negligence shall result in: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proportional deduction of incentives;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disciplinary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VI – ENTERPRISE CONDUCT REGISTRY</w:t>
      </w:r>
    </w:p>
    <w:p>
      <w:pPr>
        <w:pStyle w:val="Heading3"/>
        <w:bidi w:val="0"/>
        <w:jc w:val="start"/>
        <w:rPr/>
      </w:pPr>
      <w:r>
        <w:rPr/>
        <w:t>17. National Enterprise Conduct Registry</w:t>
      </w:r>
    </w:p>
    <w:p>
      <w:pPr>
        <w:pStyle w:val="BodyText"/>
        <w:bidi w:val="0"/>
        <w:jc w:val="start"/>
        <w:rPr/>
      </w:pPr>
      <w:r>
        <w:rPr/>
        <w:t>The Registry shall record: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compliance history;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violations;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approvals;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positive conduct scores.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18. Positive Conduct Definition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Good conduct” means: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exceeding minimum regulatory standards;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innovation in compliance systems;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environmental or safety improvements;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sustained compliance over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VII – CREDIT ENHANCEMENT MECHANISM</w:t>
      </w:r>
    </w:p>
    <w:p>
      <w:pPr>
        <w:pStyle w:val="Heading3"/>
        <w:bidi w:val="0"/>
        <w:jc w:val="start"/>
        <w:rPr/>
      </w:pPr>
      <w:r>
        <w:rPr/>
        <w:t>19. Regulatory Credit Scoring Signal</w:t>
      </w:r>
    </w:p>
    <w:p>
      <w:pPr>
        <w:pStyle w:val="BodyText"/>
        <w:bidi w:val="0"/>
        <w:jc w:val="start"/>
        <w:rPr/>
      </w:pPr>
      <w:r>
        <w:rPr/>
        <w:t>(1) The Registry shall issue verified compliance scores to financial institutions.</w:t>
        <w:br/>
        <w:t>(2) Banks may use this data to: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improve credit terms;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reduce collateral requirements;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adjust risk pricing.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20. Non-Compulsion Clause</w:t>
      </w:r>
    </w:p>
    <w:p>
      <w:pPr>
        <w:pStyle w:val="BodyText"/>
        <w:bidi w:val="0"/>
        <w:jc w:val="start"/>
        <w:rPr/>
      </w:pPr>
      <w:r>
        <w:rPr/>
        <w:t>Nothing in this Act compels any financial institution to lend, but: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regulatory compliance data shall be admissible in credit risk assessment.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VIII – TAX AND INDUSTRIAL ACCELERATION</w:t>
      </w:r>
    </w:p>
    <w:p>
      <w:pPr>
        <w:pStyle w:val="Heading3"/>
        <w:bidi w:val="0"/>
        <w:jc w:val="start"/>
        <w:rPr/>
      </w:pPr>
      <w:r>
        <w:rPr/>
        <w:t>21. Manufacturing and New Enterprise Tax Cap</w:t>
      </w:r>
    </w:p>
    <w:p>
      <w:pPr>
        <w:pStyle w:val="BodyText"/>
        <w:bidi w:val="0"/>
        <w:jc w:val="start"/>
        <w:rPr/>
      </w:pPr>
      <w:r>
        <w:rPr/>
        <w:t>(1) For qualifying new enterprises: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income tax shall not exceed </w:t>
      </w:r>
      <w:r>
        <w:rPr>
          <w:rStyle w:val="Strong"/>
        </w:rPr>
        <w:t>10% for first five (5) years of operation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(2) VAT obligations for qualifying new enterprises shall not exceed: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5% effective burden cap</w:t>
      </w:r>
      <w:r>
        <w:rPr/>
        <w:t xml:space="preserve"> through rebates or credits.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22. Qualification Criteria</w:t>
      </w:r>
    </w:p>
    <w:p>
      <w:pPr>
        <w:pStyle w:val="BodyText"/>
        <w:bidi w:val="0"/>
        <w:jc w:val="start"/>
        <w:rPr/>
      </w:pPr>
      <w:r>
        <w:rPr/>
        <w:t>Eligibility shall depend on: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formal registration;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compliance registration in the Registry;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absence of serious regulatory violations.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IX – AUDIT TRANSPARENCY AND PUBLIC ACCOUNTABILITY</w:t>
      </w:r>
    </w:p>
    <w:p>
      <w:pPr>
        <w:pStyle w:val="Heading3"/>
        <w:bidi w:val="0"/>
        <w:jc w:val="start"/>
        <w:rPr/>
      </w:pPr>
      <w:r>
        <w:rPr/>
        <w:t>23. Audit Publication Requirements</w:t>
      </w:r>
    </w:p>
    <w:p>
      <w:pPr>
        <w:pStyle w:val="BodyText"/>
        <w:bidi w:val="0"/>
        <w:jc w:val="start"/>
        <w:rPr/>
      </w:pPr>
      <w:r>
        <w:rPr/>
        <w:t>Annual publication of: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compliance statistics;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approval rates;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audit findings;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enterprise conduct distribution.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24. Due Process Safeguards</w:t>
      </w:r>
    </w:p>
    <w:p>
      <w:pPr>
        <w:pStyle w:val="BodyText"/>
        <w:bidi w:val="0"/>
        <w:jc w:val="start"/>
        <w:rPr/>
      </w:pPr>
      <w:r>
        <w:rPr/>
        <w:t>No enforcement action shall: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rely solely on automated data;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deny right of appeal;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bypass independent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X – EXTENSION TO ALL REGULATORY SECTORS</w:t>
      </w:r>
    </w:p>
    <w:p>
      <w:pPr>
        <w:pStyle w:val="Heading3"/>
        <w:bidi w:val="0"/>
        <w:jc w:val="start"/>
        <w:rPr/>
      </w:pPr>
      <w:r>
        <w:rPr/>
        <w:t>25. Universal Application Principle</w:t>
      </w:r>
    </w:p>
    <w:p>
      <w:pPr>
        <w:pStyle w:val="BodyText"/>
        <w:bidi w:val="0"/>
        <w:jc w:val="start"/>
        <w:rPr/>
      </w:pPr>
      <w:r>
        <w:rPr/>
        <w:t>This Act applies to: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manufacturing;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construction;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transport;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environment;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licensing agencies;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county regulatory bodies.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26. Sectoral Adaptation Clause</w:t>
      </w:r>
    </w:p>
    <w:p>
      <w:pPr>
        <w:pStyle w:val="BodyText"/>
        <w:bidi w:val="0"/>
        <w:jc w:val="start"/>
        <w:rPr/>
      </w:pPr>
      <w:r>
        <w:rPr/>
        <w:t>Each sector may adopt: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tailored compliance indicators;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sector-specific audit thresholds;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specialised licensing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XI – IMPLEMENTATION</w:t>
      </w:r>
    </w:p>
    <w:p>
      <w:pPr>
        <w:pStyle w:val="Heading3"/>
        <w:bidi w:val="0"/>
        <w:jc w:val="start"/>
        <w:rPr/>
      </w:pPr>
      <w:r>
        <w:rPr/>
        <w:t>27. Phased Implementation</w:t>
      </w:r>
    </w:p>
    <w:p>
      <w:pPr>
        <w:pStyle w:val="BodyText"/>
        <w:bidi w:val="0"/>
        <w:jc w:val="start"/>
        <w:rPr/>
      </w:pPr>
      <w:r>
        <w:rPr/>
        <w:t>(1) Full rollout within 24 months.</w:t>
        <w:br/>
        <w:t>(2) Priority sectors: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manufacturing;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logistics;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construction;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export industries.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28. Regulations</w:t>
      </w:r>
    </w:p>
    <w:p>
      <w:pPr>
        <w:pStyle w:val="BodyText"/>
        <w:bidi w:val="0"/>
        <w:jc w:val="start"/>
        <w:rPr/>
      </w:pPr>
      <w:r>
        <w:rPr/>
        <w:t>Cabinet Secretaries and County Governments shall issue regulations.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29. Constitutional Supremacy</w:t>
      </w:r>
    </w:p>
    <w:p>
      <w:pPr>
        <w:pStyle w:val="BodyText"/>
        <w:bidi w:val="0"/>
        <w:jc w:val="start"/>
        <w:rPr/>
      </w:pPr>
      <w:r>
        <w:rPr/>
        <w:t>The Constitution of Kenya, 2010 shall prevail in case of inconsistency.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Notes: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 xml:space="preserve">Failure by a licensing authority to issue a determination within 30 days shall result in provisional validity of the application pending final review within 12 months.” 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 xml:space="preserve">Provisional license </w:t>
      </w:r>
      <w:r>
        <w:rPr/>
        <w:t xml:space="preserve">is a </w:t>
      </w:r>
      <w:r>
        <w:rPr/>
        <w:t>legally operative asset,  Revocation only upon adjudication”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>Non-compliance under a provisional license is not itself eligible for penal action, except in case of fraud; Officials are liable only if: gross negligence OR  fraud OR wilful misrepresentation”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>Audit cannot: alter licenses directly, impose penalties directly, or engage licensees except anonymised sampling; instead Audit only acts on the internal operations and records of the department, as a reviewing arm of licensing and compliance officers”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>good conduct of a licensee is observed where they exceeding standards / innovation,  it shall be measurable, and registry-recorded as: uptime compliance, tax consistency, customer satisfaction, export growth, employment expansion, consistent safety record”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>All registries shall be publicly accessble, and auditable, and shall not in any way be construed as a legal requirement for any credit or other regulatory incentive; there shall be: 1. physical record (primary legal truth in disputes), 2. digital registry (audit overlay), 3. reconciled state ledger (final administrative record)”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 xml:space="preserve">Initial 5-year tax caps: </w:t>
      </w:r>
      <w:r>
        <w:rPr/>
        <w:t xml:space="preserve">10% income tax cap, 5% VAT cap, </w:t>
      </w:r>
      <w:r>
        <w:rPr/>
        <w:t xml:space="preserve">shall apply from point of license; </w:t>
      </w:r>
      <w:r>
        <w:rPr/>
        <w:t xml:space="preserve">Any variation shall apply prospectively only </w:t>
      </w:r>
      <w:r>
        <w:rPr/>
        <w:t>”</w:t>
      </w:r>
    </w:p>
    <w:p>
      <w:pPr>
        <w:pStyle w:val="BodyText"/>
        <w:numPr>
          <w:ilvl w:val="0"/>
          <w:numId w:val="30"/>
        </w:numPr>
        <w:bidi w:val="0"/>
        <w:spacing w:before="0" w:after="283"/>
        <w:jc w:val="start"/>
        <w:rPr/>
      </w:pPr>
      <w:r>
        <w:rPr/>
        <w:t>“</w:t>
      </w:r>
      <w:r>
        <w:rPr/>
        <w:t>Judicial challenges to regulatory actions shall occur within 90 days, and shall be admissible within 30 days of initial action, such challenge shall not incur greater punitive cost”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6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GB" w:eastAsia="zh-CN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Tahoma"/>
      <w:color w:val="auto"/>
      <w:kern w:val="2"/>
      <w:sz w:val="24"/>
      <w:szCs w:val="24"/>
      <w:lang w:val="en-GB" w:eastAsia="zh-CN" w:bidi="zxx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8</Pages>
  <Words>1482</Words>
  <Characters>9060</Characters>
  <CharactersWithSpaces>10283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2026-06-12T13:41:58Z</dcterms:created>
  <dc:creator/>
  <dc:description/>
  <dc:language>en-KE</dc:language>
  <cp:lastModifiedBy/>
  <dcterms:modified xsi:type="dcterms:W3CDTF">2026-06-12T14:21:20Z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