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Inventory Alerts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Inventory Alerts (Stok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ıları) tablosu, sistemdeki envanter durumunu izlemek ve eksik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tespit etmek amacıyla tasarlanmıştır. Bu tablo,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stok durumu kritik seviyeye ulaştığında veya eksiklikler olduğunda, ilgili uyarıların oluşturulması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 Bu sayede,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ve montaj süreçlerinde ya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şanabilecek aksamalar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önlenebilir.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Tablo,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uyar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Eksik veya kritik stok durumunda olan 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kimlik numarası.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MISSING_QUANTITY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CHECK(MISSING_QUANTITY &gt; 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Eksik miktar.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DEFAULT CURRENT_TIMESTAMP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Uyar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ının oluşturulduğu tarih ve zaman bilgisi.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Her stok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ısını benzersiz şekilde tanımlayan kimlik numarasıdır.</w:t>
        <w:br/>
        <w:t xml:space="preserve">- SERIAL veri tipi kullanılarak otomatik olarak artan bir değer atanır.</w:t>
        <w:br/>
        <w:t xml:space="preserve">- Bu alan, tablonun birincil anahtarı olarak tanımlanmıştır.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PART_ID:</w:t>
        <w:br/>
        <w:t xml:space="preserve">- Eksik veya stok problemi ya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şayan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kimlik numarasını ifade eder.</w:t>
        <w:br/>
        <w:t xml:space="preserve">- INT veri tipi ile tanımlanmış ve FOREIGN KEY olarak Parts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alan,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eksik olduğunu belirlemek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MISSING_QUANTITY:</w:t>
        <w:br/>
        <w:t xml:space="preserve">- Eksik olan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miktarını belirtir.</w:t>
        <w:br/>
        <w:t xml:space="preserve">- INT veri tipi ile pozitif tam sayı değerleri saklanır.</w:t>
        <w:br/>
        <w:t xml:space="preserve">- CHECK(MISSING_QUANTITY &gt; 0) kısıtlaması ile eksik miktarın sıfırdan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üyük olmas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sağlanmıştır.</w:t>
        <w:br/>
        <w:t xml:space="preserve">- Bu alan, envanterdeki eksikliği doğru bir şekilde hesaplamak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CREATED_AT:</w:t>
        <w:br/>
        <w:t xml:space="preserve">-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oluşturulduğu tarih ve zaman bilgisi.</w:t>
        <w:br/>
        <w:t xml:space="preserve">- TIMESTAMP veri tipi kullanılarak otomatik olarak oluşturulma anında atanır.</w:t>
        <w:br/>
        <w:t xml:space="preserve">- DEFAULT CURRENT_TIMESTAMP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ile tarih ve zaman değeri otomatik atanır.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Parts (Parçalar)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PART_ID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eksik parçay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tanımlamak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 ve Parts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  <w:br/>
        <w:t xml:space="preserve">- Bu ilişki sayesinde eksik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bilgileri 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ğrudan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envanter bilgileri ile eşleştirilebilir.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MISSING_QUANTITY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09:00:00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10:30:00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11:45:00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13:20:00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14:50:00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Stok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İzleme ve Eksiklik Tespiti:</w:t>
        <w:br/>
        <w:t xml:space="preserve">- Stokta kritik seviyeye inen veya eksik olan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çalar, bu tablo üzerinden kolayca takip edilebilir.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montaj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ürecinde 'Kanat' parças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eksik olduğunda, bu tablo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örüntülenir.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Üretim Planlamas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ı:</w:t>
        <w:br/>
        <w:t xml:space="preserve">- Eksik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tespit edilerek üretim önceliklendirilmesi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'Aviyonik'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eksikliği, ilgili takım tarafından hızlıca giderilebilir.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Tedarik Süreci Yönetimi:</w:t>
        <w:br/>
        <w:t xml:space="preserve">- Eksik miktarlar baz 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ınarak yeni siparişler oluşturulabilir.</w:t>
        <w:br/>
        <w:t xml:space="preserve">- Tedarik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ürecinde bu tablo, kritik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zamanında temin edilmesini sağlar.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Raporlama ve Analiz:</w:t>
        <w:br/>
        <w:t xml:space="preserve">-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 tarih bazlı raporlanabilir ve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en sık eksik olduğu analiz edilebilir.</w:t>
        <w:br/>
        <w:t xml:space="preserve">- Bu sayede, uzun vadeli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ve tedarik planlamas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yapılabilir.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