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Parts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Parts (Parçalar) tablosu, uçaklar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montajında kullanılan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bilgilerini saklamak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şturulmuş kritik bir tablodur. Bu tablo, her bir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stok durumunu,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 için üretildi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ğini ve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adlar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takip etmek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 Sistem genelinde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 ve takibi için bu tablo temel 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Tablo,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parça için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VARCHAR(50)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UNIQUE, NOT NULL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adı. 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Örne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ğin: Kanat, G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övde, Kuyruk, Aviyonik.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STOCK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CHECK(STOCK &gt;= 0)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mevcut stok sayısı. Negatif değer kabul edilmez.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AIRCRAFT_ID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hangi u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ça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ğa ait olduğunu belirten referans.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Bu sütun, tablonun birincil anahtar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ıdır ve her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benzersiz şekilde tanımlamak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  <w:br/>
        <w:t xml:space="preserve">- SERIAL veri tipi sayesinde her yeni kayıt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otomatik olarak bir kimlik numaras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atanır.</w:t>
        <w:br/>
        <w:t xml:space="preserve">- Bu alan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 herhangi bir tekrar (duplicate) bulunamaz.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NAME:</w:t>
        <w:br/>
        <w:t xml:space="preserve">-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adını veya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ürünü belirtir.</w:t>
        <w:br/>
        <w:t xml:space="preserve">- VARCHAR(50) veri tipi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50 karakter uzunluğunda bir metin saklanabilir.</w:t>
        <w:br/>
        <w:t xml:space="preserve">- NOT NULL kısıtlaması ile bu alanın boş bırakılması engellenmiştir.</w:t>
        <w:br/>
        <w:t xml:space="preserve">- UNIQUE kısıtlaması ile aynı isimde birden fazla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eklenmesi önlenmi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STOCK:</w:t>
        <w:br/>
        <w:t xml:space="preserve">-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mevcut stok miktarını ifade eder.</w:t>
        <w:br/>
        <w:t xml:space="preserve">- INT veri tipi kullanılarak pozitif tam sayılar saklanır.</w:t>
        <w:br/>
        <w:t xml:space="preserve">- CHECK(STOCK &gt;= 0) kısıtlaması sayesinde stok miktarı negatif bir değer alamaz.</w:t>
        <w:br/>
        <w:t xml:space="preserve">- Stok 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önetimi ve envanter kontrolleri için kritik bir sütundur.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AIRCRAFT_ID:</w:t>
        <w:br/>
        <w:t xml:space="preserve">- Bu sütun,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ait olduğunu belirtmek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  <w:br/>
        <w:t xml:space="preserve">- FOREIGN KEY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ile Aircraft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Eğer bir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 kayd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silinirse, bu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ğerinin NULL olması sağlanabilir (isteğe bağlı).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Aircraft (Uçaklar)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AIRCRAFT_ID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her bir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 ait olduğunu belirlemek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  <w:br/>
        <w:t xml:space="preserve">- Bu sayede her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 için özel parçalar tan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ımlanabilir.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TB2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'TB2 Kanat', 'TB2 Gövde' gibi.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Production (Üretim)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Parts tablosundaki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çalar, üretim süreçlerinde Production tablosu üzerinden takibe 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ınır.</w:t>
        <w:br/>
        <w:t xml:space="preserve">- Bu ilişki sayesinde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üretildi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ve ne kadar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üretildi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Assembly (Montaj)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çalar, montaj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ırasında Assembly tablosu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üzerinden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  <w:br/>
        <w:t xml:space="preserve">- Bu ilişki,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bir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çakta nas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 kullanıldığını ve eksik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belirlenmesini sağlar.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STOCK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AIRCRAFT_ID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TB2 Kanat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TB2 Gövde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TB3 Kuyruk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AKINCI Aviyonik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Parça Yönetimi:</w:t>
        <w:br/>
        <w:t xml:space="preserve">- Stok miktarlar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üzenli olarak kontrol edilerek üretim ve montaj süreçlerinde eksiklikler giderilebilir.</w:t>
        <w:br/>
        <w:t xml:space="preserve">- 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'Kanat' stoklarının kritik seviyeye inmesi durumunda ilgili birimlere uyarı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önderilebilir.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Uçak Bazl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Takibi:</w:t>
        <w:br/>
        <w:t xml:space="preserve">- Her uçak için özel olarak üretilmi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takip edilebilir.</w:t>
        <w:br/>
        <w:t xml:space="preserve">- 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TB2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ızlıca filtrelenebilir.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Montaj Süreci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İzleme:</w:t>
        <w:br/>
        <w:t xml:space="preserve">-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montaj sırasında hangi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çakta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ıldığı ve kalan stok miktarları izlenebilir.</w:t>
        <w:br/>
        <w:t xml:space="preserve">- Montajda kullanılan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eksiksiz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şekilde Assembly tablosuyla ilişkilendirilir.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