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Aircraft Tablosu: Detayl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ıklama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Aircraft (Uçaklar) tablosu,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her bir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ğın temel bilgilerini tutmak amacıyla oluşturulmuştur. Bu tablo, sistemde kullanılan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 modellerini tan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ımlamak, diğer tablolarla ilişkili olarak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ışmak ve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çaklara özgü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şlemleri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önetmek için kritik bir rol oynar.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Tablo Yap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Tablo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şağıdaki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ütunlardan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şmaktadır: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Sütun Ad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Veri Türü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Özellikler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SERIAL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Her bir uçak için benzersiz bir kimlik numaras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ı. Otomatik artan bir değerdir.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UNIQUE, NOT NULL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Uça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ğın adı veya modeli. 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Örne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ğin: TB2, TB3, AKINCI, KIZILELMA.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Sütun Detaylar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ID:</w:t>
        <w:br/>
        <w:t xml:space="preserve">- Bu sütun, tablonun birincil anahtar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ıdır ve her bir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 benzersiz şekilde tanımlamak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  <w:br/>
        <w:t xml:space="preserve">- SERIAL veri tipi kullanılarak otomatik artan bir değer atanır. Bu, manuel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üdahale olmadan her yeni kay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ıt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benzersiz bir kimlik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NAME:</w:t>
        <w:br/>
        <w:t xml:space="preserve">- Uça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ğın adını veya modelini belirtir.</w:t>
        <w:br/>
        <w:t xml:space="preserve">- VARCHAR(50) veri tipi ile maksimum 50 karakter uzunluğunda bir metin saklanabilir.</w:t>
        <w:br/>
        <w:t xml:space="preserve">- NOT NULL kısıtlaması sayesinde bu alan boş bırakılamaz.</w:t>
        <w:br/>
        <w:t xml:space="preserve">- UNIQUE kısıtlaması ile aynı isimde birden fazla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 eklenmesini engeller.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İlişkiler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Aircraft tablosu, 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ğer tablolarla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şitli ilişkiler kurarak sistemdeki verilerin organize bir şekilde tutulmasını sağlar: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Parts (Parçalar) Tablosu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İlişkisi:</w:t>
        <w:br/>
        <w:t xml:space="preserve">- Her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çak, kendine özgü parçalardan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şur.</w:t>
        <w:br/>
        <w:t xml:space="preserve">- Parts tablosundaki AIRCRAFT_ID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ütunu, bu tabloya referans verir ve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hangi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 ait olduğunu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österir.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Assembly (Montaj) Tablosu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İlişkisi:</w:t>
        <w:br/>
        <w:t xml:space="preserve">- Montaj sırasında,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çaklar için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 ve montaj bilgileri bu tablo üzerinden ili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şkilendirilir.</w:t>
        <w:br/>
        <w:t xml:space="preserve">- Assembly tablosundaki AIRCRAFT_ID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ütunu, montaj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hangi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 ait olduğunu tanımlar.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 Kay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ıtlar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2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2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TB2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2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TB3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2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AKINCI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2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KIZILELMA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Senaryoları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Parça Takibi:</w:t>
        <w:br/>
        <w:t xml:space="preserve">- Bir uça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ğın montajında kullanılan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 Parts ve Assembly tablolar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ile ilişkilendirilerek takip edilebilir.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Montaj Süreci Yönetimi:</w:t>
        <w:br/>
        <w:t xml:space="preserve">- Her uça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ğın montaj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ürecinde hangi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eksik olduğu Inventory Alerts tablosu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üzerinden belirlenebilir ve ilgili uçaklar bu tablo ile ili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şkilendirilir.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Uçak Envanteri Yönetimi:</w:t>
        <w:br/>
        <w:t xml:space="preserve">-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ındaki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çaklar, modellerine göre listelenebilir veya belirli bir uça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 ait detaylar kolayca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çekilebilir.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