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MIGRION™ – Move with certainty.</w:t>
      </w:r>
    </w:p>
    <w:p>
      <w:pPr>
        <w:pStyle w:val="Heading2"/>
      </w:pPr>
      <w:r>
        <w:t>WHITE PAPER – PART VI (EXPANDED)</w:t>
      </w:r>
    </w:p>
    <w:p>
      <w:pPr>
        <w:pStyle w:val="Heading3"/>
      </w:pPr>
      <w:r>
        <w:t>Valuation Framework, Investor Deal Structures, Governance &amp; Exit Scenarios</w:t>
      </w:r>
    </w:p>
    <w:p>
      <w:r>
        <w:br/>
        <w:t>INTRODUCTION</w:t>
        <w:br/>
        <w:br/>
        <w:t>This section addresses how MIGRION™ should be valued, financed, governed, and ultimately exited. The objective is not to maximize headline valuation, but to construct a structure that aligns long-term execution with investor protection, regulatory credibility, and strategic optionality.</w:t>
        <w:br/>
        <w:br/>
        <w:t>MIGRION™ is positioned as infrastructure, not a speculative consumer platform. Its valuation logic therefore differs from traditional venture-backed marketplaces.</w:t>
        <w:br/>
        <w:br/>
        <w:t>VALUATION PHILOSOPHY</w:t>
        <w:br/>
        <w:br/>
        <w:t>MIGRION™ combines characteristics of:</w:t>
        <w:br/>
        <w:t>• A two-sided marketplace (candidates and employers)</w:t>
        <w:br/>
        <w:t>• A fintech-like platform (escrowed, conditional capital flows)</w:t>
        <w:br/>
        <w:t>• An AI-enabled decision infrastructure</w:t>
        <w:br/>
        <w:br/>
        <w:t>As such, valuation must reflect:</w:t>
        <w:br/>
        <w:t>• Revenue quality, not just growth</w:t>
        <w:br/>
        <w:t>• Predictability of cash flows</w:t>
        <w:br/>
        <w:t>• Regulatory resilience</w:t>
        <w:br/>
        <w:t>• Data defensibility</w:t>
        <w:br/>
        <w:br/>
        <w:t>Pure user-based or hype-driven valuation models are inappropriate.</w:t>
        <w:br/>
        <w:br/>
        <w:t>HYBRID VALUATION MODEL</w:t>
        <w:br/>
        <w:br/>
        <w:t>The recommended approach is a hybrid multiple combining:</w:t>
        <w:br/>
        <w:t>• Marketplace revenue multiples</w:t>
        <w:br/>
        <w:t>• Infrastructure and platform multiples</w:t>
        <w:br/>
        <w:t>• Risk-adjusted discounting for jurisdictional exposure</w:t>
        <w:br/>
        <w:br/>
        <w:t>Indicative benchmarks:</w:t>
        <w:br/>
        <w:t>• Recruitment and HR platforms: 4x–8x revenue</w:t>
        <w:br/>
        <w:t>• Fintech infrastructure platforms: 6x–10x revenue</w:t>
        <w:br/>
        <w:t>• Regulated service infrastructure: premium on stability, discount on speed</w:t>
        <w:br/>
        <w:br/>
        <w:t>Given MIGRION™’s diversified revenue and escrow-protected outcomes, a conservative blended multiple of 5x–7x forward revenue is justified at scale.</w:t>
        <w:br/>
        <w:br/>
        <w:t>EARLY-STAGE VALUATION LOGIC</w:t>
        <w:br/>
        <w:br/>
        <w:t>For early institutional rounds, valuation should prioritize:</w:t>
        <w:br/>
        <w:t>• Execution credibility</w:t>
        <w:br/>
        <w:t>• Capital efficiency</w:t>
        <w:br/>
        <w:t>• Downside protection</w:t>
        <w:br/>
        <w:br/>
        <w:t>An initial post-money valuation range of USD 50–70 million allows:</w:t>
        <w:br/>
        <w:t>• Meaningful investor ownership</w:t>
        <w:br/>
        <w:t>• Sufficient dilution headroom</w:t>
        <w:br/>
        <w:t>• Strategic flexibility for future rounds</w:t>
        <w:br/>
        <w:br/>
        <w:t>This range is intentionally conservative relative to long-term potential.</w:t>
        <w:br/>
        <w:br/>
        <w:t>INVESTOR DEAL STRUCTURE</w:t>
        <w:br/>
        <w:br/>
        <w:t>Preferred structure:</w:t>
        <w:br/>
        <w:t>• Equity financing with standard preferred shares</w:t>
        <w:br/>
        <w:t>• No revenue guarantees</w:t>
        <w:br/>
        <w:t>• No liquidation traps</w:t>
        <w:br/>
        <w:br/>
        <w:t>Key terms:</w:t>
        <w:br/>
        <w:t>• Liquidation preference: 1x non-participating</w:t>
        <w:br/>
        <w:t>• Board representation: proportional, not dominant</w:t>
        <w:br/>
        <w:t>• Protective provisions limited to material events</w:t>
        <w:br/>
        <w:br/>
        <w:t>This structure attracts serious long-term investors rather than short-term financial engineers.</w:t>
        <w:br/>
        <w:br/>
        <w:t>USE OF FUNDS</w:t>
        <w:br/>
        <w:br/>
        <w:t>Capital raised should be allocated with discipline:</w:t>
        <w:br/>
        <w:t>• Technology and AI refinement</w:t>
        <w:br/>
        <w:t>• Employer network expansion</w:t>
        <w:br/>
        <w:t>• Legal and compliance structuring</w:t>
        <w:br/>
        <w:t>• Country execution readiness</w:t>
        <w:br/>
        <w:t>• Operating buffer</w:t>
        <w:br/>
        <w:br/>
        <w:t>Aggressive marketing spend is deliberately deprioritized.</w:t>
        <w:br/>
        <w:br/>
        <w:t>GOVERNANCE FRAMEWORK</w:t>
        <w:br/>
        <w:br/>
        <w:t>Governance is critical given MIGRION™’s interaction with migration systems and escrowed funds.</w:t>
        <w:br/>
        <w:br/>
        <w:t>Key principles:</w:t>
        <w:br/>
        <w:t>• Clear separation between platform and escrow entities</w:t>
        <w:br/>
        <w:t>• Independent auditability</w:t>
        <w:br/>
        <w:t>• Transparent decision logging</w:t>
        <w:br/>
        <w:t>• Defined escalation paths</w:t>
        <w:br/>
        <w:br/>
        <w:t>A strong governance posture reduces regulatory and reputational risk.</w:t>
        <w:br/>
        <w:br/>
        <w:t>REGULATORY SURVIVABILITY</w:t>
        <w:br/>
        <w:br/>
        <w:t>MIGRION™ is structured to avoid classification as:</w:t>
        <w:br/>
        <w:t>• An immigration consultant</w:t>
        <w:br/>
        <w:t>• A recruitment agency of record</w:t>
        <w:br/>
        <w:t>• A financial institution holding client funds</w:t>
        <w:br/>
        <w:br/>
        <w:t>Instead, it operates as:</w:t>
        <w:br/>
        <w:t>• A coordination and execution platform</w:t>
        <w:br/>
        <w:t>• A validation layer between parties</w:t>
        <w:br/>
        <w:t>• An orchestrator of regulated partners</w:t>
        <w:br/>
        <w:br/>
        <w:t>This positioning allows adaptation across jurisdictions.</w:t>
        <w:br/>
        <w:br/>
        <w:t>EXIT SCENARIOS</w:t>
        <w:br/>
        <w:br/>
        <w:t>MIGRION™ supports multiple credible exits:</w:t>
        <w:br/>
        <w:br/>
        <w:t>1. Strategic acquisition</w:t>
        <w:br/>
        <w:t>• Global recruitment firms</w:t>
        <w:br/>
        <w:t>• HR technology platforms</w:t>
        <w:br/>
        <w:t>• Workforce mobility providers</w:t>
        <w:br/>
        <w:t>• Fintech infrastructure groups</w:t>
        <w:br/>
        <w:br/>
        <w:t>2. Private equity buyout</w:t>
        <w:br/>
        <w:t>• Driven by predictable cash flows</w:t>
        <w:br/>
        <w:t>• Attractive once EBITDA stabilizes</w:t>
        <w:br/>
        <w:br/>
        <w:t>3. Public listing (long-term)</w:t>
        <w:br/>
        <w:t>• Framed as global mobility infrastructure</w:t>
        <w:br/>
        <w:t>• Requires sustained governance and scale</w:t>
        <w:br/>
        <w:br/>
        <w:t>Exit timing should be opportunistic, not forced.</w:t>
        <w:br/>
        <w:br/>
        <w:t>RISK AND INVESTOR PROTECTION</w:t>
        <w:br/>
        <w:br/>
        <w:t>Primary risks:</w:t>
        <w:br/>
        <w:t>• Policy shifts</w:t>
        <w:br/>
        <w:t>• Employer demand cycles</w:t>
        <w:br/>
        <w:t>• Execution discipline</w:t>
        <w:br/>
        <w:br/>
        <w:t>Mitigations:</w:t>
        <w:br/>
        <w:t>• Multi-country diversification</w:t>
        <w:br/>
        <w:t>• Early risk filtering</w:t>
        <w:br/>
        <w:t>• Capital-light structure</w:t>
        <w:br/>
        <w:br/>
        <w:t>These factors materially reduce downside exposure.</w:t>
        <w:br/>
        <w:br/>
        <w:t>CONCLUSION</w:t>
        <w:br/>
        <w:br/>
        <w:t>MIGRION™’s valuation and governance framework are designed to attract patient capital aligned with execution rather than speculation. The platform’s outcome-based model, diversified revenue, and disciplined governance create a foundation for sustainable growth and multiple exit options.</w:t>
        <w:br/>
        <w:br/>
        <w:t>This concludes the expanded white paper.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