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MIGRION™ – Move with certainty.</w:t>
      </w:r>
    </w:p>
    <w:p>
      <w:pPr>
        <w:pStyle w:val="Heading2"/>
      </w:pPr>
      <w:r>
        <w:t>WHITE PAPER – PART V (EXPANDED)</w:t>
      </w:r>
    </w:p>
    <w:p>
      <w:pPr>
        <w:pStyle w:val="Heading3"/>
      </w:pPr>
      <w:r>
        <w:t>Financial Architecture, Unit Economics, Cash-Flow Timing &amp; Sensitivity Analysis</w:t>
      </w:r>
    </w:p>
    <w:p>
      <w:r>
        <w:br/>
        <w:t>INTRODUCTION</w:t>
        <w:br/>
        <w:br/>
        <w:t>This section presents the detailed financial architecture of MIGRION™. It goes beyond topline projections to explain how value is created, when cash is generated, where risk concentrates, and how the platform remains resilient under adverse scenarios. The focus is on unit economics, timing, and downside protection rather than optimistic growth narratives.</w:t>
        <w:br/>
        <w:br/>
        <w:t>MIGRION™ is designed to be financially conservative at the system level while remaining highly scalable at the operational level.</w:t>
        <w:br/>
        <w:br/>
        <w:t>REVENUE PER CANDIDATE: PHASED VIEW</w:t>
        <w:br/>
        <w:br/>
        <w:t>MIGRION™ generates revenue across three phases, each with distinct cost and risk characteristics.</w:t>
        <w:br/>
        <w:br/>
        <w:t>Phase 1 – Preparation &amp; Positioning:</w:t>
        <w:br/>
        <w:t>• Average revenue per candidate: USD 1,000</w:t>
        <w:br/>
        <w:t>• Primary costs: AI processing, human review, tooling</w:t>
        <w:br/>
        <w:t>• Cash timing: Immediate</w:t>
        <w:br/>
        <w:t>• Risk exposure: Minimal</w:t>
        <w:br/>
        <w:br/>
        <w:t>Phase 2 – Employer Access &amp; Validation:</w:t>
        <w:br/>
        <w:t>• Average revenue per candidate: USD 2,000</w:t>
        <w:br/>
        <w:t>• Additional employer interview revenue: USD 800–1,200 per candidate cohort (indirect)</w:t>
        <w:br/>
        <w:t>• Primary costs: Employer onboarding, interview infrastructure, case management</w:t>
        <w:br/>
        <w:t>• Cash timing: Immediate</w:t>
        <w:br/>
        <w:t>• Risk exposure: Low</w:t>
        <w:br/>
        <w:br/>
        <w:t>Phase 3 – Outcome-Based Execution:</w:t>
        <w:br/>
        <w:t>• Average escrow release per success: USD 10,000</w:t>
        <w:br/>
        <w:t>• Primary costs: Legal coordination, compliance, escrow fees</w:t>
        <w:br/>
        <w:t>• Cash timing: Delayed (3–12 months)</w:t>
        <w:br/>
        <w:t>• Risk exposure: Controlled by prior validation</w:t>
        <w:br/>
        <w:br/>
        <w:t>This phased structure ensures early liquidity and delayed but high-margin outcome revenue.</w:t>
        <w:br/>
        <w:br/>
        <w:t>EMPLOYER REVENUE CONTRIBUTION</w:t>
        <w:br/>
        <w:br/>
        <w:t>Employer-paid interviews are not ancillary; they materially improve unit economics.</w:t>
        <w:br/>
        <w:br/>
        <w:t>Per active employer:</w:t>
        <w:br/>
        <w:t>• Average interviews per quarter: 6–10</w:t>
        <w:br/>
        <w:t>• Average spend per quarter: USD 2,000–3,500</w:t>
        <w:br/>
        <w:t>• Gross margin: &gt;80%</w:t>
        <w:br/>
        <w:br/>
        <w:t>Employer revenue:</w:t>
        <w:br/>
        <w:t>• Reduces dependence on escrow timing</w:t>
        <w:br/>
        <w:t>• Offsets fixed platform costs</w:t>
        <w:br/>
        <w:t>• Acts as demand-side quality control</w:t>
        <w:br/>
        <w:br/>
        <w:t>COST STRUCTURE BY FUNCTION</w:t>
        <w:br/>
        <w:br/>
        <w:t>Core cost categories:</w:t>
        <w:br/>
        <w:t>• AI and cloud infrastructure</w:t>
        <w:br/>
        <w:t>• Case managers and compliance specialists</w:t>
        <w:br/>
        <w:t>• Employer success and support</w:t>
        <w:br/>
        <w:t>• Legal and escrow operations</w:t>
        <w:br/>
        <w:t>• General administration</w:t>
        <w:br/>
        <w:br/>
        <w:t>Cost scaling characteristics:</w:t>
        <w:br/>
        <w:t>• AI costs scale sub-linearly</w:t>
        <w:br/>
        <w:t>• Human oversight scales linearly</w:t>
        <w:br/>
        <w:t>• Legal and escrow costs scale per success</w:t>
        <w:br/>
        <w:br/>
        <w:t>This structure allows margins to improve with volume.</w:t>
        <w:br/>
        <w:br/>
        <w:t>CASH-FLOW TIMING AND LIQUIDITY</w:t>
        <w:br/>
        <w:br/>
        <w:t>MIGRION™ is designed to avoid cash-flow gaps common in outcome-based models.</w:t>
        <w:br/>
        <w:br/>
        <w:t>Liquidity drivers:</w:t>
        <w:br/>
        <w:t>• Phase 1 fees generate upfront cash</w:t>
        <w:br/>
        <w:t>• Phase 2 candidate fees and employer interviews add recurring inflows</w:t>
        <w:br/>
        <w:t>• Phase 3 escrow releases provide high-margin back-end revenue</w:t>
        <w:br/>
        <w:br/>
        <w:t>This staggered timing ensures operational continuity even during immigration delays.</w:t>
        <w:br/>
        <w:br/>
        <w:t>SENSITIVITY ANALYSIS</w:t>
        <w:br/>
        <w:br/>
        <w:t>Scenario 1 – Slower Immigration Processing:</w:t>
        <w:br/>
        <w:t>• Impact: Delayed Phase 3 revenue</w:t>
        <w:br/>
        <w:t>• Mitigation: Employer revenue and Phase 1–2 fees sustain operations</w:t>
        <w:br/>
        <w:br/>
        <w:t>Scenario 2 – Employer Hiring Slowdown:</w:t>
        <w:br/>
        <w:t>• Impact: Reduced interview revenue</w:t>
        <w:br/>
        <w:t>• Mitigation: Diversified geographies and sectors; candidate fees unaffected</w:t>
        <w:br/>
        <w:br/>
        <w:t>Scenario 3 – Regulatory Tightening in One Country:</w:t>
        <w:br/>
        <w:t>• Impact: Reduced success volume in that jurisdiction</w:t>
        <w:br/>
        <w:t>• Mitigation: Multi-country execution layer redistributes flow</w:t>
        <w:br/>
        <w:br/>
        <w:t>Scenario 4 – Lower Conversion to Phase 3:</w:t>
        <w:br/>
        <w:t>• Impact: Reduced escrow releases</w:t>
        <w:br/>
        <w:t>• Mitigation: Early filtering reduces sunk costs; margins preserved</w:t>
        <w:br/>
        <w:br/>
        <w:t>BREAK-EVEN ANALYSIS</w:t>
        <w:br/>
        <w:br/>
        <w:t>Due to early-phase revenues, MIGRION™ reaches operational break-even at relatively low success volumes.</w:t>
        <w:br/>
        <w:br/>
        <w:t>Illustrative:</w:t>
        <w:br/>
        <w:t>• Break-even at approximately 400–500 Phase 1 candidates per quarter</w:t>
        <w:br/>
        <w:t>• Does not require Phase 3 success to remain solvent</w:t>
        <w:br/>
        <w:br/>
        <w:t>This materially reduces investor risk.</w:t>
        <w:br/>
        <w:br/>
        <w:t>CAPITAL EFFICIENCY</w:t>
        <w:br/>
        <w:br/>
        <w:t>MIGRION™ does not rely on heavy upfront capital expenditure.</w:t>
        <w:br/>
        <w:br/>
        <w:t>Key characteristics:</w:t>
        <w:br/>
        <w:t>• Low fixed asset requirements</w:t>
        <w:br/>
        <w:t>• No inventory</w:t>
        <w:br/>
        <w:t>• No capital lock-up in escrow funds</w:t>
        <w:br/>
        <w:t>• Capital-light international expansion</w:t>
        <w:br/>
        <w:br/>
        <w:t>Capital is primarily allocated to:</w:t>
        <w:br/>
        <w:t>• Technology</w:t>
        <w:br/>
        <w:t>• Talent</w:t>
        <w:br/>
        <w:t>• Regulatory readiness</w:t>
        <w:br/>
        <w:br/>
        <w:t>CONCLUSION</w:t>
        <w:br/>
        <w:br/>
        <w:t>MIGRION™’s financial architecture is intentionally asymmetric: low downside exposure with high upside participation. Early cash flows fund operations, employer revenue stabilizes liquidity, and outcome-based execution delivers scalable profitability.</w:t>
        <w:br/>
        <w:br/>
        <w:t>This structure makes MIGRION™ resilient, investable, and suitable for institutional capital.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