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МИНИСТЕРСТВО ОБРАЗОВАНИЯ И НАУКИ РОССИЙСКОЙ ФЕДЕРАЦИИ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widowControl/>
        <w:bidi w:val="0"/>
        <w:spacing w:lineRule="auto" w:line="276" w:before="0" w:after="24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28"/>
          <w:szCs w:val="28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8"/>
          <w:szCs w:val="28"/>
        </w:rPr>
        <w:t>Национальный исследовательский ядерный университет «МИФИ»</w:t>
      </w:r>
    </w:p>
    <w:tbl>
      <w:tblPr>
        <w:tblW w:w="935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700"/>
        <w:gridCol w:w="6655"/>
      </w:tblGrid>
      <w:tr>
        <w:trPr>
          <w:trHeight w:val="420" w:hRule="exact"/>
        </w:trPr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8"/>
                <w:szCs w:val="28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8"/>
                <w:szCs w:val="28"/>
              </w:rPr>
              <w:t>￼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120"/>
              <w:ind w:hanging="0" w:start="0" w:end="0"/>
              <w:jc w:val="center"/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spacing w:val="0"/>
                <w:sz w:val="30"/>
                <w:szCs w:val="30"/>
              </w:rPr>
            </w:pP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30"/>
                <w:szCs w:val="30"/>
              </w:rPr>
              <w:t>Институт интеллектуальных кибернетических систем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spacing w:val="0"/>
                <w:sz w:val="30"/>
                <w:szCs w:val="30"/>
              </w:rPr>
            </w:pP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30"/>
                <w:szCs w:val="30"/>
              </w:rPr>
              <w:t>Кафедра №22 «Кибернетика»</w:t>
            </w:r>
          </w:p>
        </w:tc>
      </w:tr>
    </w:tbl>
    <w:p>
      <w:pPr>
        <w:pStyle w:val="Normal"/>
        <w:widowControl/>
        <w:bidi w:val="0"/>
        <w:spacing w:lineRule="auto" w:line="276" w:before="240" w:after="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Направление подготовки 01.03.02 Прикладная математика и информатика</w:t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40"/>
          <w:szCs w:val="40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40"/>
          <w:szCs w:val="40"/>
        </w:rPr>
        <w:t>Отчет по семинарскому занятию</w:t>
      </w:r>
    </w:p>
    <w:p>
      <w:pPr>
        <w:pStyle w:val="Normal"/>
        <w:widowControl/>
        <w:bidi w:val="0"/>
        <w:spacing w:lineRule="auto" w:line="276" w:before="0" w:after="12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«Переходный процесс с обратной связью по температуре топлива»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по курсу «Математические модели физических процессов»</w:t>
      </w:r>
    </w:p>
    <w:p>
      <w:pPr>
        <w:pStyle w:val="Normal"/>
        <w:widowControl/>
        <w:bidi w:val="0"/>
        <w:spacing w:lineRule="auto" w:line="276" w:before="0" w:after="120"/>
        <w:ind w:hanging="0" w:start="0" w:end="0"/>
        <w:jc w:val="end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Работу выполнил студент группы Б23-511: Гутыра Е.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end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Работу проверил: Загребаев А.М.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Москва, 2026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40"/>
          <w:szCs w:val="40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40"/>
          <w:szCs w:val="40"/>
        </w:rPr>
        <w:t>Содержание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Цель работы .......................................................................................................... 3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Постановка задачи ............................................................................................... 3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Теоретические сведения ...................................................................................... 4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Метод решения и программа .............................................................................. 8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Результаты моделирования ............................................................................... 10</w:t>
        <w:br/>
        <w:t>Анализ результатов ............................................................................................ 17</w:t>
        <w:br/>
        <w:t>Заключение ......................................................................................................... 19</w:t>
        <w:br/>
        <w:t>Приложение А. Листинг программы ............................................................... 20</w:t>
      </w:r>
      <w:r>
        <w:br w:type="page"/>
      </w:r>
    </w:p>
    <w:p>
      <w:pPr>
        <w:pStyle w:val="Normal"/>
        <w:keepNext w:val="true"/>
        <w:widowControl/>
        <w:bidi w:val="0"/>
        <w:spacing w:lineRule="auto" w:line="276" w:before="240" w:after="24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6"/>
          <w:szCs w:val="36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6"/>
          <w:szCs w:val="36"/>
        </w:rPr>
        <w:t>Цель работы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Изучить переходные процессы мощности и температуры топлива в энергетическом реакторе при скачкообразном введении реактивности с учётом обратной связи по температуре топлива; оценить, как величина скачка реактивности и значение коэффициента реактивности влияют на характер и параметры переходного процесса.</w:t>
      </w:r>
    </w:p>
    <w:p>
      <w:pPr>
        <w:pStyle w:val="Normal"/>
        <w:keepNext w:val="true"/>
        <w:widowControl/>
        <w:bidi w:val="0"/>
        <w:spacing w:lineRule="auto" w:line="276" w:before="240" w:after="24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6"/>
          <w:szCs w:val="36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6"/>
          <w:szCs w:val="36"/>
        </w:rPr>
        <w:t>Постановка задачи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015" w:leader="none"/>
        </w:tabs>
        <w:bidi w:val="0"/>
        <w:spacing w:lineRule="auto" w:line="276" w:before="0" w:after="120"/>
        <w:ind w:hanging="306" w:start="1015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Произвести моделирование переходных процессов при скачкообразном введении реактивности для всех вариантов табл. 1 методических указаний и записать в таблицу: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скачок реактивности в долях β;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долю от стандартного коэффициента реактивности;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экстр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экстремальное (максимальное или минимальное) значение мощности после скачка;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кон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мощность в конце интервала наблюдения;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 кон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температуру топлива в конце интервала наблюдения; Δρ — реактивность, обусловленную разогревом топлива.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015" w:leader="none"/>
        </w:tabs>
        <w:bidi w:val="0"/>
        <w:spacing w:lineRule="auto" w:line="276" w:before="0" w:after="120"/>
        <w:ind w:hanging="306" w:start="1015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Построить семейства зависимостей мощности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(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) и температуры топлива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(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) для всех вариантов с одинаковым скачком реактивности.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015" w:leader="none"/>
        </w:tabs>
        <w:bidi w:val="0"/>
        <w:spacing w:lineRule="auto" w:line="276" w:before="0" w:after="120"/>
        <w:ind w:hanging="306" w:start="1015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Построить зависимости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экстр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,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кон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и Δρ от величины скачка реактивности.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015" w:leader="none"/>
        </w:tabs>
        <w:bidi w:val="0"/>
        <w:spacing w:lineRule="auto" w:line="276" w:before="0" w:after="120"/>
        <w:ind w:hanging="306" w:start="1015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Выявить и объяснить особенности поведения мощности и температуры топлива.</w:t>
      </w:r>
      <w:r>
        <w:br w:type="page"/>
      </w:r>
    </w:p>
    <w:p>
      <w:pPr>
        <w:pStyle w:val="Normal"/>
        <w:keepNext w:val="true"/>
        <w:widowControl/>
        <w:bidi w:val="0"/>
        <w:spacing w:lineRule="auto" w:line="276" w:before="240" w:after="24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6"/>
          <w:szCs w:val="36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6"/>
          <w:szCs w:val="36"/>
        </w:rPr>
        <w:t>Теоретические сведения</w:t>
      </w:r>
    </w:p>
    <w:p>
      <w:pPr>
        <w:pStyle w:val="Normal"/>
        <w:keepNext w:val="true"/>
        <w:widowControl/>
        <w:bidi w:val="0"/>
        <w:spacing w:lineRule="auto" w:line="276" w:before="240" w:after="120"/>
        <w:ind w:hanging="0" w:start="0" w:end="0"/>
        <w:jc w:val="start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0"/>
          <w:szCs w:val="30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0"/>
          <w:szCs w:val="30"/>
        </w:rPr>
        <w:t>Уравнения динамики с обратной связью по температуре топлива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Рассматривается точечная модель кинетики реактора с одной эффективной группой запаздывающих нейтронов, дополненная уравнением теплового баланса топлива и зависимостью реактивности от температуры топлива. Исходная система уравнений имеет вид:</w:t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1759585" cy="382270"/>
            <wp:effectExtent l="0" t="0" r="0" b="0"/>
            <wp:docPr id="1" name="Object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38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 xml:space="preserve"> (скорость мгнв нейтр + вклад запазд)</w:t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1339850" cy="382270"/>
            <wp:effectExtent l="0" t="0" r="0" b="0"/>
            <wp:docPr id="2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38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>(предш рожд со скор и распад с альфа)</w:t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2640965" cy="387985"/>
            <wp:effectExtent l="0" t="0" r="0" b="0"/>
            <wp:docPr id="3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38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>(тепло накопленное топливом = мощность - отвод в теплоноситель)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1855470" cy="219075"/>
            <wp:effectExtent l="0" t="0" r="0" b="0"/>
            <wp:docPr id="4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7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 xml:space="preserve"> (реактивность = введенному скачку плюс вклад температуры)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(1)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с начальными условиями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2938145" cy="159385"/>
            <wp:effectExtent l="0" t="0" r="0" b="0"/>
            <wp:docPr id="5" name="Objec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15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(2)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Здесь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мощность реактора;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C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концентрация предшественников запаздывающих нейтронов;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l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время жизни мгновенных нейтронов; β — доля запаздывающих нейтронов; λ — постоянная распада предшественников;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m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,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c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,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K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ТП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соответственно масса топлива, его теплоёмкость и коэффициент теплопередачи от топлива к теплоносителю;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ρ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внешнее возмущение по реактивности;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,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ВО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температура топлива и теплоносителя;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α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— коэффициент реактивности по температуре топлива.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Перейдём к относительным величинам: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2391410" cy="402590"/>
            <wp:effectExtent l="0" t="0" r="0" b="0"/>
            <wp:docPr id="6" name="Objec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40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(3)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Здесь и далее под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C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понимается относительная концентрация предшественников. Система (1) в относительных переменных принимает вид</w:t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1870710" cy="408305"/>
            <wp:effectExtent l="0" t="0" r="0" b="0"/>
            <wp:docPr id="7" name="Objec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ject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1483360" cy="408305"/>
            <wp:effectExtent l="0" t="0" r="0" b="0"/>
            <wp:docPr id="8" name="Objec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ject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2828290" cy="523240"/>
            <wp:effectExtent l="0" t="0" r="0" b="0"/>
            <wp:docPr id="9" name="Object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ject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52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3981450" cy="159385"/>
            <wp:effectExtent l="0" t="0" r="0" b="0"/>
            <wp:docPr id="10" name="Object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ject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5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(4)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Начальная концентрация предшественников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C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находится из условия стационарности второго уравнения системы (1):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3612515" cy="408305"/>
            <wp:effectExtent l="0" t="0" r="0" b="0"/>
            <wp:docPr id="11" name="Objec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ject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515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(5)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Тогда второе уравнение системы (4) упрощается: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1335405" cy="366395"/>
            <wp:effectExtent l="0" t="0" r="0" b="0"/>
            <wp:docPr id="12" name="Objec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ject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36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(6)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Коэффициент теплопередачи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K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ТП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определим из стационарного теплового баланса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K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ТП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(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−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ВО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):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1390015" cy="405130"/>
            <wp:effectExtent l="0" t="0" r="0" b="0"/>
            <wp:docPr id="13" name="Object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ject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40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(7)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С учётом (7) уравнение для температуры топлива принимает вид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3690620" cy="523240"/>
            <wp:effectExtent l="0" t="0" r="0" b="0"/>
            <wp:docPr id="14" name="Object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ject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20" cy="52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(8)</w:t>
      </w:r>
    </w:p>
    <w:p>
      <w:pPr>
        <w:pStyle w:val="Normal"/>
        <w:keepNext w:val="true"/>
        <w:widowControl/>
        <w:bidi w:val="0"/>
        <w:spacing w:lineRule="auto" w:line="276" w:before="240" w:after="120"/>
        <w:ind w:hanging="0" w:start="0" w:end="0"/>
        <w:jc w:val="start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0"/>
          <w:szCs w:val="30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0"/>
          <w:szCs w:val="30"/>
        </w:rPr>
        <w:t>Численные значения констант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Для реактора типа ВВЭР-1000 приняты следующие значения: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l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10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perscript"/>
        </w:rPr>
        <w:t>−3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с; β = 0,0065; λ = 0,07 с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perscript"/>
        </w:rPr>
        <w:t>−1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3000 МВт = 3·10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perscript"/>
        </w:rPr>
        <w:t>9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Вт;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m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80·10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perscript"/>
        </w:rPr>
        <w:t>3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кг;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c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0,318·10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perscript"/>
        </w:rPr>
        <w:t>3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Дж/(кг·°C);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800 °C;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ВО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≈ 300 °C; стандартный коэффициент реактивности по температуре топлива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α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−2,5·10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perscript"/>
        </w:rPr>
        <w:t>−5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1/°C. Отсюда коэффициенты уравнений:</w:t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7186930" cy="469900"/>
            <wp:effectExtent l="0" t="0" r="0" b="0"/>
            <wp:docPr id="15" name="Object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ject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93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308600" cy="405130"/>
            <wp:effectExtent l="0" t="0" r="0" b="0"/>
            <wp:docPr id="16" name="Object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ject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40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(9)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Скачок реактивности задаётся в долях β, а коэффициент реактивности — как доля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от стандартного значения: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3742055" cy="159385"/>
            <wp:effectExtent l="0" t="0" r="0" b="0"/>
            <wp:docPr id="17" name="Object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ject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55" cy="15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(10)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При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0 обратная связь отключена, при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1 действует стандартный коэффициент, при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2 — вдвое больший и т. д. Окончательно система уравнений, которая решается в работе, имеет вид</w:t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4609465" cy="366395"/>
            <wp:effectExtent l="0" t="0" r="0" b="0"/>
            <wp:docPr id="18" name="Object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ject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465" cy="36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1634490" cy="366395"/>
            <wp:effectExtent l="0" t="0" r="0" b="0"/>
            <wp:docPr id="19" name="Object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ject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490" cy="36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2827020" cy="366395"/>
            <wp:effectExtent l="0" t="0" r="0" b="0"/>
            <wp:docPr id="20" name="Object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ject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36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1961515" cy="144780"/>
            <wp:effectExtent l="0" t="0" r="0" b="0"/>
            <wp:docPr id="21" name="Object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ject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14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(11)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Реактивность, обусловленная разогревом топлива к концу интервала наблюдения, вычисляется по формуле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2107565" cy="208915"/>
            <wp:effectExtent l="0" t="0" r="0" b="0"/>
            <wp:docPr id="22" name="Object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ject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5" cy="20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(12)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По определению (12) величина Δρ положительна при разогреве топлива: это та реактивность, которую температурный эффект «отнял» у введённого возмущения. В установившемся режиме она должна сравняться с введённой реактивностью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rβ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.</w:t>
      </w:r>
    </w:p>
    <w:p>
      <w:pPr>
        <w:pStyle w:val="Normal"/>
        <w:keepNext w:val="true"/>
        <w:widowControl/>
        <w:bidi w:val="0"/>
        <w:spacing w:lineRule="auto" w:line="276" w:before="240" w:after="120"/>
        <w:ind w:hanging="0" w:start="0" w:end="0"/>
        <w:jc w:val="start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0"/>
          <w:szCs w:val="30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0"/>
          <w:szCs w:val="30"/>
        </w:rPr>
        <w:t>Установившийся режим и мгновенный скачок мощности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При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&gt; 0 система (11) имеет новое стационарное состояние. Из первых двух уравнений при d/dt = 0 следует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C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N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и ρ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N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/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l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0, то есть полная реактивность обращается в нуль: разогрев топлива в точности компенсирует введённое возмущение. Отсюда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7396480" cy="401955"/>
            <wp:effectExtent l="0" t="0" r="0" b="0"/>
            <wp:docPr id="23" name="Object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ject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6480" cy="40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(13)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а из уравнения теплового баланса — установившаяся мощность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4478020" cy="387985"/>
            <wp:effectExtent l="0" t="0" r="0" b="0"/>
            <wp:docPr id="24" name="Object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ject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020" cy="38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(14)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Установившиеся значения зависят только от отношения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/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: чем сильнее обратная связь, тем меньше нужный для компенсации разогрев и тем меньше отклонение мощности.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При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0 система (11) линейна, и для неё известно приближённое аналитическое решение (приближение мгновенного скачка для одной группы запаздывающих нейтронов):</w:t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4311650" cy="418465"/>
            <wp:effectExtent l="0" t="0" r="0" b="0"/>
            <wp:docPr id="25" name="Object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ject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41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(15)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Первое слагаемое описывает медленный экспоненциальный рост (спад) с периодом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п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(1 −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)/(λ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), второе — быстрый (за десятые доли секунды) переходный процесс на мгновенных нейтронах, после которого мощность оказывается на уровне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N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≈ 1/(1 −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) — так называемый мгновенный скачок мощности.</w:t>
      </w:r>
      <w:r>
        <w:br w:type="page"/>
      </w:r>
    </w:p>
    <w:p>
      <w:pPr>
        <w:pStyle w:val="Normal"/>
        <w:keepNext w:val="true"/>
        <w:widowControl/>
        <w:bidi w:val="0"/>
        <w:spacing w:lineRule="auto" w:line="276" w:before="240" w:after="24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6"/>
          <w:szCs w:val="36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6"/>
          <w:szCs w:val="36"/>
        </w:rPr>
        <w:t>Метод решения и программа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Система (11) интегрировалась классическим методом Рунге–Кутты четвёртого порядка точности. Для вектора состояния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y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(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N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,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C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,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) и правой части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f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(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y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) один шаг метода имеет вид</w:t>
      </w:r>
    </w:p>
    <w:p>
      <w:pPr>
        <w:pStyle w:val="Normal"/>
        <w:keepNext w:val="true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590540" cy="418465"/>
            <wp:effectExtent l="0" t="0" r="0" b="0"/>
            <wp:docPr id="26" name="Object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ject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41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100" w:after="10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2924175" cy="366395"/>
            <wp:effectExtent l="0" t="0" r="0" b="0"/>
            <wp:docPr id="27" name="Object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ject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6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ab/>
        <w:t>(16)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Шаг интегрирования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h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0,1 с и интервал наблюдения 10 с приняты такими же, как в расчётном шаблоне к работе. Самая быстрая составляющая решения — мгновенные нейтроны с показателем ≈ β(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− 1)/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l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от −4,5 до −8,5 с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perscript"/>
        </w:rPr>
        <w:t>−1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, так что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h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|λ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max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| ≤ 0,85, что заведомо лежит внутри области устойчивости метода Рунге–Кутты (|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h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λ| &lt; 2,78).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Расчёт выполнен на языке Python (программа fuel_temp_feedback.py, ядро приведено в приложении А). Программа решает систему для всех вариантов табл. 1, находит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экстр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как максимум мощности при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&gt; 0 или минимум при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&lt; 0 на интервале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&gt; 0, значения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кон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,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T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Т кон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в конце интервала, вычисляет Δρ по (12) и строит графики.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Корректность реализации проверена тремя способами. Во-первых, при тех же исходных данных (r = 0,2; S = 1) результаты совпали с расчётным шаблоном в Excel во всех узлах сетки с нулевым расхождением. Во-вторых, уменьшение шага с 0,1 до 0,01 с меняет конечные значения мощности и температуры менее чем на 10⁻⁵, то есть решение сошлось по шагу. В-третьих, при S = 0 система линейна и допускает точное решение через собственные значения матрицы; отклонение численного решения от точного не превышает 7·10⁻⁴ по N. Приближённая формула (15) отличается от точного решения заметно сильнее — до 0,037 при r = 0,3 (рис. 1), что связано с приближённым характером самой формулы (мгновенный скачок), а не с погрешностью численного метода.</w:t>
      </w:r>
      <w:r>
        <w:br w:type="page"/>
      </w:r>
    </w:p>
    <w:p>
      <w:pPr>
        <w:pStyle w:val="Normal"/>
        <w:keepNext w:val="true"/>
        <w:widowControl/>
        <w:bidi w:val="0"/>
        <w:spacing w:lineRule="auto" w:line="276" w:before="240" w:after="24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6"/>
          <w:szCs w:val="36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6"/>
          <w:szCs w:val="36"/>
        </w:rPr>
        <w:t>Результаты моделирования</w:t>
      </w:r>
    </w:p>
    <w:p>
      <w:pPr>
        <w:pStyle w:val="Normal"/>
        <w:keepNext w:val="true"/>
        <w:widowControl/>
        <w:bidi w:val="0"/>
        <w:spacing w:lineRule="auto" w:line="276" w:before="240" w:after="120"/>
        <w:ind w:hanging="0" w:start="0" w:end="0"/>
        <w:jc w:val="start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0"/>
          <w:szCs w:val="30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0"/>
          <w:szCs w:val="30"/>
        </w:rPr>
        <w:t>Таблица результатов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Результаты расчёта всех вариантов сведены в табл. 1. Для вариантов без обратной связи (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0) экстремум мощности и Δρ не определены (мощность меняется монотонно, температурный эффект отсутствует), как и предусмотрено формой таблицы в методических указаниях. Дополнительно приведено отношение Δρ/β, которое в установившемся режиме должно стремиться к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.</w:t>
      </w:r>
    </w:p>
    <w:p>
      <w:pPr>
        <w:pStyle w:val="Normal"/>
        <w:keepNext w:val="true"/>
        <w:widowControl/>
        <w:bidi w:val="0"/>
        <w:spacing w:lineRule="auto" w:line="276" w:before="120" w:after="8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Таблица 1 — Параметры переходных процессов при скачкообразном введении реактивности (h = 0,1 с, интервал наблюдения 10 с)</w:t>
      </w:r>
    </w:p>
    <w:tbl>
      <w:tblPr>
        <w:tblW w:w="935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900"/>
        <w:gridCol w:w="700"/>
        <w:gridCol w:w="1500"/>
        <w:gridCol w:w="1500"/>
        <w:gridCol w:w="1500"/>
        <w:gridCol w:w="1755"/>
        <w:gridCol w:w="1500"/>
      </w:tblGrid>
      <w:tr>
        <w:trPr>
          <w:tblHeader w:val="true"/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TableHeading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-BoldItalicMT" w:hAnsi="TimesNewRomanPS-BoldItalicMT" w:eastAsia="TimesNewRomanPS-BoldItalicMT" w:cs="TimesNewRomanPS-BoldItalicMT"/>
                <w:b/>
                <w:bCs/>
                <w:i/>
                <w:iCs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-BoldItalicMT" w:cs="TimesNewRomanPS-BoldItalicMT" w:ascii="TimesNewRomanPS-BoldItalicMT" w:hAnsi="TimesNewRomanPS-BoldItalicMT"/>
                <w:b/>
                <w:bCs/>
                <w:i/>
                <w:iCs/>
                <w:color w:val="000000"/>
                <w:spacing w:val="0"/>
                <w:sz w:val="24"/>
                <w:szCs w:val="24"/>
              </w:rPr>
              <w:t>r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TableHeading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-BoldItalicMT" w:hAnsi="TimesNewRomanPS-BoldItalicMT" w:eastAsia="TimesNewRomanPS-BoldItalicMT" w:cs="TimesNewRomanPS-BoldItalicMT"/>
                <w:b/>
                <w:bCs/>
                <w:i/>
                <w:iCs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-BoldItalicMT" w:cs="TimesNewRomanPS-BoldItalicMT" w:ascii="TimesNewRomanPS-BoldItalicMT" w:hAnsi="TimesNewRomanPS-BoldItalicMT"/>
                <w:b/>
                <w:bCs/>
                <w:i/>
                <w:iCs/>
                <w:color w:val="000000"/>
                <w:spacing w:val="0"/>
                <w:sz w:val="24"/>
                <w:szCs w:val="24"/>
              </w:rPr>
              <w:t>S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TableHeading"/>
              <w:widowControl/>
              <w:bidi w:val="0"/>
              <w:spacing w:lineRule="auto" w:line="276" w:before="0" w:after="0"/>
              <w:ind w:hanging="0" w:start="0" w:end="0"/>
              <w:jc w:val="center"/>
              <w:rPr/>
            </w:pPr>
            <w:r>
              <w:rPr>
                <w:rFonts w:eastAsia="TimesNewRomanPS-BoldItalicMT" w:cs="TimesNewRomanPS-BoldItalicMT" w:ascii="TimesNewRomanPS-BoldItalicMT" w:hAnsi="TimesNewRomanPS-BoldItalicMT"/>
                <w:b/>
                <w:bCs/>
                <w:i/>
                <w:iCs/>
                <w:color w:val="000000"/>
                <w:spacing w:val="0"/>
                <w:sz w:val="24"/>
                <w:szCs w:val="24"/>
              </w:rPr>
              <w:t>W</w:t>
            </w: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24"/>
                <w:szCs w:val="24"/>
                <w:vertAlign w:val="subscript"/>
              </w:rPr>
              <w:t>экстр</w:t>
            </w:r>
            <w:r>
              <w:rPr>
                <w:rFonts w:eastAsia="TimesNewRomanPS-BoldItalicMT" w:cs="TimesNewRomanPS-BoldItalicMT" w:ascii="TimesNewRomanPS-BoldItalicMT" w:hAnsi="TimesNewRomanPS-BoldItalicMT"/>
                <w:b/>
                <w:bCs/>
                <w:i/>
                <w:iCs/>
                <w:color w:val="000000"/>
                <w:spacing w:val="0"/>
                <w:sz w:val="24"/>
                <w:szCs w:val="24"/>
              </w:rPr>
              <w:t>/W</w:t>
            </w: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TableHeading"/>
              <w:widowControl/>
              <w:bidi w:val="0"/>
              <w:spacing w:lineRule="auto" w:line="276" w:before="0" w:after="0"/>
              <w:ind w:hanging="0" w:start="0" w:end="0"/>
              <w:jc w:val="center"/>
              <w:rPr/>
            </w:pPr>
            <w:r>
              <w:rPr>
                <w:rFonts w:eastAsia="TimesNewRomanPS-BoldItalicMT" w:cs="TimesNewRomanPS-BoldItalicMT" w:ascii="TimesNewRomanPS-BoldItalicMT" w:hAnsi="TimesNewRomanPS-BoldItalicMT"/>
                <w:b/>
                <w:bCs/>
                <w:i/>
                <w:iCs/>
                <w:color w:val="000000"/>
                <w:spacing w:val="0"/>
                <w:sz w:val="24"/>
                <w:szCs w:val="24"/>
              </w:rPr>
              <w:t>W</w:t>
            </w: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24"/>
                <w:szCs w:val="24"/>
                <w:vertAlign w:val="subscript"/>
              </w:rPr>
              <w:t>кон</w:t>
            </w:r>
            <w:r>
              <w:rPr>
                <w:rFonts w:eastAsia="TimesNewRomanPS-BoldItalicMT" w:cs="TimesNewRomanPS-BoldItalicMT" w:ascii="TimesNewRomanPS-BoldItalicMT" w:hAnsi="TimesNewRomanPS-BoldItalicMT"/>
                <w:b/>
                <w:bCs/>
                <w:i/>
                <w:iCs/>
                <w:color w:val="000000"/>
                <w:spacing w:val="0"/>
                <w:sz w:val="24"/>
                <w:szCs w:val="24"/>
              </w:rPr>
              <w:t>/W</w:t>
            </w: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TableHeading"/>
              <w:widowControl/>
              <w:bidi w:val="0"/>
              <w:spacing w:lineRule="auto" w:line="276" w:before="0" w:after="0"/>
              <w:ind w:hanging="0" w:start="0" w:end="0"/>
              <w:jc w:val="center"/>
              <w:rPr/>
            </w:pPr>
            <w:r>
              <w:rPr>
                <w:rFonts w:eastAsia="TimesNewRomanPS-BoldItalicMT" w:cs="TimesNewRomanPS-BoldItalicMT" w:ascii="TimesNewRomanPS-BoldItalicMT" w:hAnsi="TimesNewRomanPS-BoldItalicMT"/>
                <w:b/>
                <w:bCs/>
                <w:i/>
                <w:iCs/>
                <w:color w:val="000000"/>
                <w:spacing w:val="0"/>
                <w:sz w:val="24"/>
                <w:szCs w:val="24"/>
              </w:rPr>
              <w:t>T</w:t>
            </w: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24"/>
                <w:szCs w:val="24"/>
                <w:vertAlign w:val="subscript"/>
              </w:rPr>
              <w:t>Т кон</w:t>
            </w: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24"/>
                <w:szCs w:val="24"/>
              </w:rPr>
              <w:t>, °C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TableHeading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24"/>
                <w:szCs w:val="24"/>
              </w:rPr>
              <w:t>Δρ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TableHeading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-BoldMT" w:cs="TimesNewRomanPS-BoldMT" w:ascii="TimesNewRomanPS-BoldMT" w:hAnsi="TimesNewRomanPS-BoldMT"/>
                <w:b/>
                <w:bCs/>
                <w:color w:val="000000"/>
                <w:spacing w:val="0"/>
                <w:sz w:val="24"/>
                <w:szCs w:val="24"/>
              </w:rPr>
              <w:t>Δρ/β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0,1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1,1966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874,0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0,1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0,8550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741,1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0,1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1,0958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1,0474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820,8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0,000519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0,080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0,1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0,9186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0,9588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778,9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0,000529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0,081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0,1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1,0877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1,0273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811,6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0,000578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0,089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0,1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0,9287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0,9866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791,7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0,000619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0,095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0,3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1,8918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1125,6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0,3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0,6576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660,2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—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0,3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1,3383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1,1388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864,4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0,001609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0,248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0,3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0,7861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0,8734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738,9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0,001526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0,235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0,3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1,3007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1,0761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835,3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0,001766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0,272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0,3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0,7979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0,9310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764,9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0,001757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0,270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0,3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1,2742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1,0531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824,3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0,001822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0,280</w:t>
            </w:r>
          </w:p>
        </w:tc>
      </w:tr>
      <w:tr>
        <w:trPr>
          <w:trHeight w:val="360" w:hRule="exac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0,3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0,8068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0,9536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775,6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0,001830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start="0" w:end="0"/>
              <w:jc w:val="center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−</w:t>
            </w: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0,282</w:t>
            </w:r>
          </w:p>
        </w:tc>
      </w:tr>
    </w:tbl>
    <w:p>
      <w:pPr>
        <w:pStyle w:val="Normal"/>
        <w:keepNext w:val="true"/>
        <w:widowControl/>
        <w:bidi w:val="0"/>
        <w:spacing w:lineRule="auto" w:line="276" w:before="240" w:after="120"/>
        <w:ind w:hanging="0" w:start="0" w:end="0"/>
        <w:jc w:val="start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0"/>
          <w:szCs w:val="30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0"/>
          <w:szCs w:val="30"/>
        </w:rPr>
        <w:t>Семейства зависимостей W(t) и TТ(t)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На рис. 2–9 показаны семейства зависимостей относительной мощности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/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и температуры топлива от времени для каждого из четырёх скачков реактивности; параметром семейства служит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. Для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= 0 штриховой линией нанесено приближённое аналитическое решение (15).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715000" cy="3286125"/>
            <wp:effectExtent l="0" t="0" r="0" b="0"/>
            <wp:docPr id="28" name="Object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ject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2 — семейство зависимостей мощности W(t) при r = +0,1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715000" cy="3286125"/>
            <wp:effectExtent l="0" t="0" r="0" b="0"/>
            <wp:docPr id="29" name="Object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ject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3 — семейство зависимостей температуры топлива TТ(t) при r = +0,1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715000" cy="3286125"/>
            <wp:effectExtent l="0" t="0" r="0" b="0"/>
            <wp:docPr id="30" name="Object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ject2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4 — семейство зависимостей мощности W(t) при r = −0,1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715000" cy="3286125"/>
            <wp:effectExtent l="0" t="0" r="0" b="0"/>
            <wp:docPr id="31" name="Object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ject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5 — семейство зависимостей температуры топлива TТ(t) при r = −0,1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715000" cy="3286125"/>
            <wp:effectExtent l="0" t="0" r="0" b="0"/>
            <wp:docPr id="32" name="Object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ject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6 — семейство зависимостей мощности W(t) при r = +0,3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715000" cy="3286125"/>
            <wp:effectExtent l="0" t="0" r="0" b="0"/>
            <wp:docPr id="33" name="Object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ject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7 — семейство зависимостей температуры топлива TТ(t) при r = +0,3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715000" cy="3286125"/>
            <wp:effectExtent l="0" t="0" r="0" b="0"/>
            <wp:docPr id="34" name="Object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ject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8 — семейство зависимостей мощности W(t) при r = −0,3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5715000" cy="3286125"/>
            <wp:effectExtent l="0" t="0" r="0" b="0"/>
            <wp:docPr id="35" name="Object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ject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9 — семейство зависимостей температуры топлива TТ(t) при r = −0,3</w:t>
      </w:r>
    </w:p>
    <w:p>
      <w:pPr>
        <w:pStyle w:val="Normal"/>
        <w:keepNext w:val="true"/>
        <w:widowControl/>
        <w:bidi w:val="0"/>
        <w:spacing w:lineRule="auto" w:line="276" w:before="240" w:after="120"/>
        <w:ind w:hanging="0" w:start="0" w:end="0"/>
        <w:jc w:val="start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0"/>
          <w:szCs w:val="30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0"/>
          <w:szCs w:val="30"/>
        </w:rPr>
        <w:t>Зависимости Wэкстр, Wкон и Δρ от скачка реактивности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На рис. 10–12 приведены зависимости экстремальной и конечной мощности и реактивности Δρ от величины скачка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для различных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. Для построения использована полная сетка вариантов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∈ {−0,3; −0,1; 0,1; 0,3},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S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∈ {0; 1; 2; 3} (два варианта, отсутствующие в табл. 1, рассчитаны дополнительно). На графике Δρ пунктиром показана прямая полной компенсации Δρ =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8"/>
          <w:szCs w:val="28"/>
        </w:rPr>
        <w:t>rβ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.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4953000" cy="3114675"/>
            <wp:effectExtent l="0" t="0" r="0" b="0"/>
            <wp:docPr id="36" name="Object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ject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10 — зависимость экстремальной мощности Wэкстр от скачка реактивности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4953000" cy="3114675"/>
            <wp:effectExtent l="0" t="0" r="0" b="0"/>
            <wp:docPr id="37" name="Object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ject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11 — зависимость мощности в конце интервала наблюдения Wкон от скачка реактивности</w:t>
      </w:r>
    </w:p>
    <w:p>
      <w:pPr>
        <w:pStyle w:val="Normal"/>
        <w:keepNext w:val="true"/>
        <w:widowControl/>
        <w:bidi w:val="0"/>
        <w:spacing w:lineRule="auto" w:line="276" w:before="160" w:after="6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4953000" cy="3114675"/>
            <wp:effectExtent l="0" t="0" r="0" b="0"/>
            <wp:docPr id="38" name="Object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ject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Рисунок 12 — зависимость реактивности Δρ, обусловленной разогревом топлива, от скачка реактивности</w:t>
      </w:r>
    </w:p>
    <w:p>
      <w:pPr>
        <w:pStyle w:val="Normal"/>
        <w:keepNext w:val="true"/>
        <w:keepLines/>
        <w:widowControl/>
        <w:bidi w:val="0"/>
        <w:spacing w:lineRule="auto" w:line="259" w:before="360" w:after="8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40"/>
          <w:szCs w:val="40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40"/>
          <w:szCs w:val="40"/>
        </w:rPr>
        <w:t>Заключение</w:t>
      </w:r>
    </w:p>
    <w:p>
      <w:pPr>
        <w:pStyle w:val="Normal"/>
        <w:widowControl/>
        <w:bidi w:val="0"/>
        <w:spacing w:lineRule="auto" w:line="278" w:before="0" w:after="16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Были получены следующие результаты:</w:t>
      </w:r>
    </w:p>
    <w:p>
      <w:pPr>
        <w:pStyle w:val="Normal"/>
        <w:widowControl/>
        <w:bidi w:val="0"/>
        <w:spacing w:lineRule="auto" w:line="278" w:before="0" w:after="160"/>
        <w:ind w:hanging="0" w:start="0" w:end="0"/>
        <w:jc w:val="star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При S = 0 (обратная связь отключена) если r &gt; 0: мощность монотонно растёт, не ограничиваясь, когда при r &lt; 0: мощность монотонно падает.</w:t>
      </w:r>
    </w:p>
    <w:p>
      <w:pPr>
        <w:pStyle w:val="Normal"/>
        <w:widowControl/>
        <w:bidi w:val="0"/>
        <w:spacing w:lineRule="auto" w:line="278" w:before="0" w:after="160"/>
        <w:ind w:hanging="0" w:start="0" w:end="0"/>
        <w:jc w:val="star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При S &gt; 0 (обратная связь включена) если r &gt; 0: мощность растёт, достигает максимума 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экстр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, затем снижается до 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кон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&gt; 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(саморегулирование). При   - r &lt; 0: мощность падает, достигает минимума, затем частично восстанавливается до 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кон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&lt; 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0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.</w:t>
      </w:r>
    </w:p>
    <w:p>
      <w:pPr>
        <w:pStyle w:val="Normal"/>
        <w:widowControl/>
        <w:bidi w:val="0"/>
        <w:spacing w:lineRule="auto" w:line="278" w:before="0" w:after="160"/>
        <w:ind w:hanging="0" w:start="0" w:end="0"/>
        <w:jc w:val="star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С ростом S, W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vertAlign w:val="subscript"/>
        </w:rPr>
        <w:t>экстр</w:t>
      </w: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 xml:space="preserve"> при r &gt; 0 уменьшается, |Δρ| увеличивается, процесс стабилизируется быстрее.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ся от точного решения не более чем на 2 %.</w:t>
      </w:r>
      <w:r>
        <w:br w:type="page"/>
      </w:r>
    </w:p>
    <w:p>
      <w:pPr>
        <w:pStyle w:val="Normal"/>
        <w:keepNext w:val="true"/>
        <w:widowControl/>
        <w:bidi w:val="0"/>
        <w:spacing w:lineRule="auto" w:line="276" w:before="240" w:after="240"/>
        <w:ind w:hanging="0" w:start="0" w:end="0"/>
        <w:jc w:val="center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36"/>
          <w:szCs w:val="36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36"/>
          <w:szCs w:val="36"/>
        </w:rPr>
        <w:t>Приложение А. Листинг программы</w:t>
      </w:r>
    </w:p>
    <w:p>
      <w:pPr>
        <w:pStyle w:val="Normal"/>
        <w:widowControl/>
        <w:bidi w:val="0"/>
        <w:spacing w:lineRule="auto" w:line="276" w:before="0" w:after="120"/>
        <w:ind w:firstLine="709" w:start="0" w:end="0"/>
        <w:jc w:val="both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t>Ниже приведено расчётное ядро программы fuel_temp_feedback.py (Python 3): константы, правая часть системы (11), шаг метода Рунге–Кутты, интегрирование, приближённое аналитическое решение и вычисление показателей табл. 1. Полная версия программы дополнительно формирует таблицы (CSV, XLSX) и графики.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L_PROMPT = 1.0e-3          # l, с — время жизни мгновенных нейтронов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BETA = 0.0065              # β — доля запаздывающих нейтронов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LAMBDA_DEFAULT = 0.07      # λ, 1/с — постоянная распада (в Excel-шаблоне 0,0765)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W0 = 3.0e9                 # Вт — номинальная мощность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M_T = 80.0e3               # кг — масса топлива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C_T = 0.318e3              # Дж/(кг·°C) — теплоёмкость топлива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T0 = 800.0                 # °C — начальная температура топлива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T_BO = 300.0               # °C — температура теплоносителя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ALPHA_T0 = -2.5e-5         # 1/°C — стандартный коэффициент реактивности по температуре топлива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# Коэффициенты уравнения (12) — берём округлённые значения методички,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# чтобы результат совпадал с Excel-шаблоном.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K_N = 0.147                # = W0/(mT·cT·T0) = 0,1474 1/с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K_T = 0.236                # = K_N·T0/(T0 − TBO) = 0,2352 1/с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T_BO_REL = T_BO / T0       # = 0,375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A_FB = -ALPHA_T0 * T0      # = 0,02 — модуль αT0·T0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INV_L = 1.0 / L_PROMPT     # = 1000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BETA_OVER_L = BETA / L_PROMPT  # = 6,5 = λ·C0/W0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# Варианты табл. 1 методички в исходном порядке (r, S)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TABLE1 = [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(0.1, 0), (-0.1, 0),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(0.1, 1), (-0.1, 1),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(0.1, 2), (-0.1, 3),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(0.3, 0), (-0.3, 0),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(0.3, 1), (-0.3, 1),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(0.3, 2), (-0.3, 2),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(0.3, 3), (-0.3, 3),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]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R_GRID = (-0.3, -0.1, 0.1, 0.3)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S_GRID = (0, 1, 2, 3)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# Цвета серий по S — фиксированный порядок (палитра прошла проверку на дальтонизм)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# ----------------------------------------------------------------------------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# Модель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# ----------------------------------------------------------------------------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def rhs(state, r, S, lam):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"""Правая часть системы (12). state = (N, C, T)."""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N, C, T = state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rho_minus_beta_over_l = INV_L * (BETA * (r - 1.0) - S * A_FB * (T - 1.0))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dN = rho_minus_beta_over_l * N + BETA_OVER_L * C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dC = lam * (N - C)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dT = K_N * N - K_T * (T - T_BO_REL)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return (dN, dC, dT)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def rk4_step(state, h, r, S, lam):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"""Один шаг классического метода Рунге–Кутты 4-го порядка."""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k1 = rhs(state, r, S, lam)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s2 = tuple(y + 0.5 * h * k for y, k in zip(state, k1))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k2 = rhs(s2, r, S, lam)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s3 = tuple(y + 0.5 * h * k for y, k in zip(state, k2))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k3 = rhs(s3, r, S, lam)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s4 = tuple(y + h * k for y, k in zip(state, k3))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k4 = rhs(s4, r, S, lam)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return tuple(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y + (h / 6.0) * (a + 2.0 * b + 2.0 * c + d)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for y, a, b, c, d in zip(state, k1, k2, k3, k4)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def simulate(r, S, h=0.1, t_end=10.0, lam=LAMBDA_DEFAULT):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"""Интегрирует систему на [0, t_end]. Возвращает списки t, N, C, T."""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n_steps = int(round(t_end / h))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t = [0.0]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N = [1.0]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C = [1.0]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T = [1.0]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state = (1.0, 1.0, 1.0)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for i in range(1, n_steps + 1):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state = rk4_step(state, h, r, S, lam)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t.append(i * h)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N.append(state[0])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C.append(state[1])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T.append(state[2])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return t, N, C, T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def analytic_no_feedback(t, r, lam=LAMBDA_DEFAULT):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"""Аналитическое решение без обратной связи (S = 0), одна группа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запаздывающих нейтронов, приближение мгновенного скачка: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N(t) = 1/(1−r)·exp(λ r t/(1−r)) − r/(1−r)·exp(−(β/l)(1−r) t)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(та же формула, что в столбце «Аналитика» Excel-шаблона)."""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return [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(1.0 / (1.0 - r)) * math.exp(lam * r * ti / (1.0 - r))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- (r / (1.0 - r)) * math.exp(-BETA_OVER_L * (1.0 - r) * ti)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for ti in t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]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def analyse(r, S, t, N, C, T):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"""Показатели для табл. 1."""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# экстремум мощности после скачка (t &gt; 0): максимум при r &gt; 0, минимум при r &lt; 0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if r &gt; 0: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i_ext = max(range(1, len(N)), key=lambda i: N[i])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else: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i_ext = min(range(1, len(N)), key=lambda i: N[i])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TT_end = T[-1] * T0                            # °C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d_rho = S * ALPHA_T0 * (T0 - TT_end)           # Δρ = S·αT0·(T0 − TTкон), абс. ед.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return {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"r": r,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"S": S,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"W_extr": N[i_ext],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"t_extr": t[i_ext],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"W_end": N[-1],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"T_end_rel": T[-1],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"TT_end_C": TT_end,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"d_rho": d_rho,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 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"d_rho_beta": d_rho / BETA,                # в долях β (в установившемся режиме → r)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ourierNewPSMT" w:hAnsi="CourierNewPSMT" w:eastAsia="CourierNewPSMT" w:cs="CourierNewPSMT"/>
          <w:color w:val="000000"/>
          <w:spacing w:val="0"/>
          <w:sz w:val="17"/>
          <w:szCs w:val="17"/>
        </w:rPr>
      </w:pP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 xml:space="preserve">   </w:t>
      </w:r>
      <w:r>
        <w:rPr>
          <w:rFonts w:eastAsia="CourierNewPSMT" w:cs="CourierNewPSMT" w:ascii="CourierNewPSMT" w:hAnsi="CourierNewPSMT"/>
          <w:color w:val="000000"/>
          <w:spacing w:val="0"/>
          <w:sz w:val="17"/>
          <w:szCs w:val="17"/>
        </w:rPr>
        <w:t>}</w:t>
      </w:r>
    </w:p>
    <w:sectPr>
      <w:footerReference w:type="default" r:id="rId40"/>
      <w:footerReference w:type="first" r:id="rId41"/>
      <w:type w:val="nextPage"/>
      <w:pgSz w:w="11900" w:h="16840"/>
      <w:pgMar w:left="1701" w:right="850" w:gutter="0" w:header="0" w:top="1134" w:footer="1134" w:bottom="1417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imesNewRomanPSMT">
    <w:charset w:val="00" w:characterSet="iso-8859-1"/>
    <w:family w:val="auto"/>
    <w:pitch w:val="default"/>
  </w:font>
  <w:font w:name="TimesNewRomanPS-BoldMT">
    <w:charset w:val="00" w:characterSet="iso-8859-1"/>
    <w:family w:val="auto"/>
    <w:pitch w:val="default"/>
  </w:font>
  <w:font w:name="TimesNewRomanPS-ItalicMT">
    <w:charset w:val="00" w:characterSet="iso-8859-1"/>
    <w:family w:val="auto"/>
    <w:pitch w:val="default"/>
  </w:font>
  <w:font w:name="TimesNewRomanPS-BoldItalicMT">
    <w:charset w:val="00" w:characterSet="iso-8859-1"/>
    <w:family w:val="auto"/>
    <w:pitch w:val="default"/>
  </w:font>
  <w:font w:name="CourierNewPSMT">
    <w:charset w:val="00" w:characterSet="iso-8859-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0"/>
      <w:ind w:hanging="0" w:start="0" w:end="0"/>
      <w:jc w:val="center"/>
      <w:rPr>
        <w:rFonts w:ascii="TimesNewRomanPSMT" w:hAnsi="TimesNewRomanPSMT" w:eastAsia="TimesNewRomanPSMT" w:cs="TimesNewRomanPSMT"/>
        <w:color w:val="000000"/>
        <w:spacing w:val="0"/>
        <w:sz w:val="24"/>
        <w:szCs w:val="24"/>
      </w:rPr>
    </w:pP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fldChar w:fldCharType="begin"/>
    </w: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instrText xml:space="preserve"> PAGE \* ARABIC </w:instrText>
    </w: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fldChar w:fldCharType="separate"/>
    </w: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t>20</w:t>
    </w: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0"/>
      <w:ind w:hanging="0" w:start="0" w:end="0"/>
      <w:jc w:val="center"/>
      <w:rPr>
        <w:rFonts w:ascii="TimesNewRomanPSMT" w:hAnsi="TimesNewRomanPSMT" w:eastAsia="TimesNewRomanPSMT" w:cs="TimesNewRomanPSMT"/>
        <w:color w:val="000000"/>
        <w:spacing w:val="0"/>
        <w:sz w:val="24"/>
        <w:szCs w:val="24"/>
      </w:rPr>
    </w:pP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fldChar w:fldCharType="begin"/>
    </w: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instrText xml:space="preserve"> PAGE \* ARABIC </w:instrText>
    </w: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fldChar w:fldCharType="separate"/>
    </w: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t>1</w:t>
    </w:r>
    <w:r>
      <w:rPr>
        <w:rFonts w:eastAsia="TimesNewRomanPSMT" w:cs="TimesNewRomanPSMT" w:ascii="TimesNewRomanPSMT" w:hAnsi="TimesNewRomanPSMT"/>
        <w:color w:val="000000"/>
        <w:spacing w:val="0"/>
        <w:sz w:val="24"/>
        <w:szCs w:val="24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015"/>
        </w:tabs>
        <w:ind w:start="1015" w:hanging="306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NumberingSymbols">
    <w:name w:val="Numbering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footer" Target="footer1.xml"/><Relationship Id="rId41" Type="http://schemas.openxmlformats.org/officeDocument/2006/relationships/footer" Target="footer2.xml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