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/>
          <w:b/>
          <w:color w:val="0F63E9"/>
          <w:sz w:val="40"/>
        </w:rPr>
        <w:t>市政道路改造工程采购方案测试资料</w:t>
      </w:r>
    </w:p>
    <w:p>
      <w:pPr>
        <w:jc w:val="center"/>
      </w:pPr>
      <w:r>
        <w:rPr>
          <w:rFonts w:ascii="Microsoft YaHei" w:hAnsi="Microsoft YaHei" w:eastAsia="Microsoft YaHei"/>
          <w:color w:val="66748A"/>
          <w:sz w:val="20"/>
        </w:rPr>
        <w:t>用于测试招标文件自动填充、知识库召回与溯源</w:t>
      </w:r>
    </w:p>
    <w:p>
      <w:pPr>
        <w:pStyle w:val="Heading1"/>
      </w:pPr>
      <w:r>
        <w:t>一、项目基本信息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vAlign w:val="center"/>
            <w:shd w:fill="EAF1FF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字段</w:t>
            </w:r>
          </w:p>
        </w:tc>
        <w:tc>
          <w:tcPr>
            <w:tcW w:type="dxa" w:w="4896"/>
            <w:vAlign w:val="center"/>
            <w:shd w:fill="EAF1FF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测试资料内容</w:t>
            </w:r>
          </w:p>
        </w:tc>
      </w:tr>
      <w:tr>
        <w:tc>
          <w:tcPr>
            <w:tcW w:type="dxa" w:w="4896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项目编号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GF-SZDL-2026-0718</w:t>
            </w:r>
          </w:p>
        </w:tc>
      </w:tr>
      <w:tr>
        <w:tc>
          <w:tcPr>
            <w:tcW w:type="dxa" w:w="4896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项目名称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广安市城南片区雨污分流及道路黑化改造工程</w:t>
            </w:r>
          </w:p>
        </w:tc>
      </w:tr>
      <w:tr>
        <w:tc>
          <w:tcPr>
            <w:tcW w:type="dxa" w:w="4896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采购人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广安发展市政建设有限公司</w:t>
            </w:r>
          </w:p>
        </w:tc>
      </w:tr>
      <w:tr>
        <w:tc>
          <w:tcPr>
            <w:tcW w:type="dxa" w:w="4896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采购方式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公开招标</w:t>
            </w:r>
          </w:p>
        </w:tc>
      </w:tr>
      <w:tr>
        <w:tc>
          <w:tcPr>
            <w:tcW w:type="dxa" w:w="4896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评审办法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综合评分法</w:t>
            </w:r>
          </w:p>
        </w:tc>
      </w:tr>
      <w:tr>
        <w:tc>
          <w:tcPr>
            <w:tcW w:type="dxa" w:w="4896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最高限价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人民币 1286.40 万元，不含暂列金</w:t>
            </w:r>
          </w:p>
        </w:tc>
      </w:tr>
    </w:tbl>
    <w:p/>
    <w:p>
      <w:pPr>
        <w:pStyle w:val="Heading1"/>
      </w:pPr>
      <w:r>
        <w:t>二、采购范围与技术要求</w:t>
      </w:r>
    </w:p>
    <w:p>
      <w:r>
        <w:t>本项目建设范围包含城南片区三条市政道路的雨污管网改造、机动车道黑化、人行道透水砖铺装、路缘石更换、检查井提升、交通标线恢复及临时交通组织。施工单位应结合现状管网探测结果编制专项施工方案，保证居民通行、商铺经营和公交绕行安全。</w:t>
      </w:r>
    </w:p>
    <w:p>
      <w:pPr>
        <w:pStyle w:val="Heading1"/>
      </w:pPr>
      <w:r>
        <w:t>三、资质、业绩与人员要求</w:t>
      </w:r>
    </w:p>
    <w:p>
      <w:pPr>
        <w:pStyle w:val="ListBullet"/>
      </w:pPr>
      <w:r>
        <w:t>资质要求：投标人须具备市政公用工程施工总承包三级及以上资质，并具备有效的安全生产许可证。</w:t>
      </w:r>
    </w:p>
    <w:p>
      <w:pPr>
        <w:pStyle w:val="ListBullet"/>
      </w:pPr>
      <w:r>
        <w:t>业绩要求：近三年（2023年1月1日至今）至少完成 2 个市政道路或雨污分流改造类似项目业绩，单个合同金额不低于 600 万元。</w:t>
      </w:r>
    </w:p>
    <w:p>
      <w:pPr>
        <w:pStyle w:val="ListBullet"/>
      </w:pPr>
      <w:r>
        <w:t>项目负责人：须具有市政公用工程专业二级及以上注册建造师资格，并具备有效安全生产考核合格证 B 证。</w:t>
      </w:r>
    </w:p>
    <w:p>
      <w:pPr>
        <w:pStyle w:val="ListBullet"/>
      </w:pPr>
      <w:r>
        <w:t>技术负责人：须具有市政工程相关专业中级及以上职称。</w:t>
      </w:r>
    </w:p>
    <w:p>
      <w:pPr>
        <w:pStyle w:val="ListBullet"/>
      </w:pPr>
      <w:r>
        <w:t>专职安全员：不少于 1 名，须持有 C2 或 C3 类安全生产考核合格证。</w:t>
      </w:r>
    </w:p>
    <w:p>
      <w:pPr>
        <w:pStyle w:val="Heading1"/>
      </w:pPr>
      <w:r>
        <w:t>四、工期与付款条件</w:t>
      </w:r>
    </w:p>
    <w:p>
      <w:r>
        <w:t>计划工期为 180 个日历天，自监理人签发开工令之日起计算。工程款按月计量支付，支付比例为当期审核产值的 80%；竣工验收合格并完成结算审核后支付至结算金额的 97%，剩余 3% 作为质量保证金，缺陷责任期满后无息退还。</w:t>
      </w:r>
    </w:p>
    <w:p>
      <w:pPr>
        <w:pStyle w:val="Heading1"/>
      </w:pPr>
      <w:r>
        <w:t>五、AI填充测试提示</w:t>
      </w:r>
    </w:p>
    <w:p>
      <w:r>
        <w:t>如果模板字段询问“评审办法”，应填写“综合评分法”；如果询问“业绩要求”，应优先引用第三章条款；如果询问“工期”，应填写“180 个日历天”。</w:t>
      </w:r>
    </w:p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D7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D7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D7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