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THE EU AI ACT</w:t>
      </w:r>
    </w:p>
    <w:p>
      <w:pPr>
        <w:spacing w:after="400"/>
        <w:jc w:val="center"/>
      </w:pPr>
      <w:r>
        <w:rPr>
          <w:rFonts w:ascii="Arial" w:cs="Arial" w:eastAsia="Arial" w:hAnsi="Arial"/>
          <w:color w:val="2E5A88"/>
          <w:sz w:val="32"/>
          <w:szCs w:val="32"/>
        </w:rPr>
        <w:t xml:space="preserve">Research Notes &amp; Analysis</w:t>
      </w:r>
    </w:p>
    <w:p>
      <w:pPr>
        <w:spacing w:after="200"/>
        <w:jc w:val="center"/>
      </w:pPr>
      <w:r>
        <w:rPr>
          <w:rFonts w:ascii="Arial" w:cs="Arial" w:eastAsia="Arial" w:hAnsi="Arial"/>
          <w:color w:val="666666"/>
          <w:sz w:val="24"/>
          <w:szCs w:val="24"/>
        </w:rPr>
        <w:t xml:space="preserve">SeattleWren — AI Act Thread</w:t>
      </w:r>
    </w:p>
    <w:p>
      <w:pPr>
        <w:spacing w:after="100"/>
        <w:jc w:val="center"/>
      </w:pPr>
      <w:r>
        <w:rPr>
          <w:rFonts w:ascii="Arial" w:cs="Arial" w:eastAsia="Arial" w:hAnsi="Arial"/>
          <w:color w:val="888888"/>
          <w:sz w:val="22"/>
          <w:szCs w:val="22"/>
        </w:rPr>
        <w:t xml:space="preserve">Compiled: March 27, 2026</w:t>
      </w:r>
    </w:p>
    <w:p>
      <w:pPr>
        <w:pBdr>
          <w:top w:val="single" w:color="1B3A5C" w:sz="6" w:space="1"/>
        </w:pBdr>
        <w:spacing w:before="600"/>
        <w:jc w:val="center"/>
      </w:pPr>
    </w:p>
    <w:p>
      <w:pPr>
        <w:spacing w:after="100" w:before="200"/>
        <w:jc w:val="center"/>
      </w:pPr>
      <w:r>
        <w:rPr>
          <w:rFonts w:ascii="Arial" w:cs="Arial" w:eastAsia="Arial" w:hAnsi="Arial"/>
          <w:i/>
          <w:iCs/>
          <w:color w:val="555555"/>
          <w:sz w:val="20"/>
          <w:szCs w:val="20"/>
        </w:rPr>
        <w:t xml:space="preserve">Topics: What It Is • Who’s Behind It • Enforcement • EU vs US • US Federal Proposals • Sentiment Tie-In</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What Is the EU AI Act?</w:t>
      </w:r>
    </w:p>
    <w:p>
      <w:pPr>
        <w:spacing w:after="160"/>
      </w:pPr>
      <w:r>
        <w:rPr>
          <w:rFonts w:ascii="Arial" w:cs="Arial" w:eastAsia="Arial" w:hAnsi="Arial"/>
          <w:sz w:val="20"/>
          <w:szCs w:val="20"/>
        </w:rPr>
        <w:t xml:space="preserve">The EU AI Act (Regulation (EU) 2024/1689) is the world’s first comprehensive legal framework regulating artificial intelligence. Officially entered into force on August 1, 2024, it establishes binding, risk-based rules for the development, deployment, and use of AI systems across all 27 EU member states.</w:t>
      </w:r>
    </w:p>
    <w:p>
      <w:pPr>
        <w:spacing w:after="160"/>
      </w:pPr>
      <w:r>
        <w:rPr>
          <w:rFonts w:ascii="Arial" w:cs="Arial" w:eastAsia="Arial" w:hAnsi="Arial"/>
          <w:sz w:val="20"/>
          <w:szCs w:val="20"/>
        </w:rPr>
        <w:t xml:space="preserve">This is not a directive that requires each country to write its own version—it’s a regulation, meaning it’s directly applicable law across the entire European Union without further local legislation. Think of it as the GDPR of AI.</w:t>
      </w:r>
    </w:p>
    <w:p>
      <w:pPr>
        <w:pStyle w:val="Heading2"/>
        <w:spacing w:after="160" w:before="280"/>
      </w:pPr>
      <w:r>
        <w:rPr>
          <w:rFonts w:ascii="Arial" w:cs="Arial" w:eastAsia="Arial" w:hAnsi="Arial"/>
          <w:b/>
          <w:bCs/>
          <w:color w:val="2E5A88"/>
          <w:sz w:val="26"/>
          <w:szCs w:val="26"/>
        </w:rPr>
        <w:t xml:space="preserve">Core Architecture: The Risk-Based Framework</w:t>
      </w:r>
    </w:p>
    <w:p>
      <w:pPr>
        <w:spacing w:after="160"/>
      </w:pPr>
      <w:r>
        <w:rPr>
          <w:rFonts w:ascii="Arial" w:cs="Arial" w:eastAsia="Arial" w:hAnsi="Arial"/>
          <w:sz w:val="20"/>
          <w:szCs w:val="20"/>
        </w:rPr>
        <w:t xml:space="preserve">The Act sorts every AI system into one of four risk tiers, and your obligations scale with the risk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 Tier</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c>
          <w:tcPr>
            <w:tcW w:type="dxa" w:w="3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What’s Required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Unacceptable</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Social scoring by governments, real-time biometric surveillance in public spaces (with narrow exceptions), subliminal manipulation, exploitation of vulnerable groups</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BANNED outright. No compliance path—these are prohibited. Effective Feb 2, 2025.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Risk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 hiring/employment, credit scoring, law enforcement, migration management, education access, critical infrastructure safety components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Conformity assessments, risk management systems, human oversight, transparency, data governance, mandatory registration in EU database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Limited Risk</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Chatbots, deepfakes, emotion recognition systems, AI-generated content</w:t>
            </w:r>
          </w:p>
        </w:tc>
        <w:tc>
          <w:tcPr>
            <w:tcW w:type="dxa" w:w="3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Transparency obligations—users must be told they’re interacting with AI or viewing AI-generated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Minimal Risk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Spam filters, AI in video games, inventory management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specific obligations. Voluntary codes of conduct encouraged.</w:t>
            </w:r>
          </w:p>
        </w:tc>
      </w:tr>
    </w:tbl>
    <w:p>
      <w:pPr>
        <w:spacing w:after="200"/>
      </w:pPr>
    </w:p>
    <w:p>
      <w:pPr>
        <w:pStyle w:val="Heading2"/>
        <w:spacing w:after="160" w:before="280"/>
      </w:pPr>
      <w:r>
        <w:rPr>
          <w:rFonts w:ascii="Arial" w:cs="Arial" w:eastAsia="Arial" w:hAnsi="Arial"/>
          <w:b/>
          <w:bCs/>
          <w:color w:val="2E5A88"/>
          <w:sz w:val="26"/>
          <w:szCs w:val="26"/>
        </w:rPr>
        <w:t xml:space="preserve">General-Purpose AI (GPAI) Models</w:t>
      </w:r>
    </w:p>
    <w:p>
      <w:pPr>
        <w:spacing w:after="160"/>
      </w:pPr>
      <w:r>
        <w:rPr>
          <w:rFonts w:ascii="Arial" w:cs="Arial" w:eastAsia="Arial" w:hAnsi="Arial"/>
          <w:sz w:val="20"/>
          <w:szCs w:val="20"/>
        </w:rPr>
        <w:t xml:space="preserve">The Act includes a separate regime for foundation models and general-purpose AI (think GPT, Claude, Gemini). All GPAI providers must publish training data summaries, comply with EU copyright law, and provide technical documentation. Models classified as posing “systemic risk” (trained with compute &gt; 10^25 FLOPs) face additional obligations including adversarial testing, incident reporting, and cybersecurity measures. These GPAI rules became applicable August 2, 2025.</w:t>
      </w:r>
    </w:p>
    <w:p>
      <w:pPr>
        <w:pStyle w:val="Heading2"/>
        <w:spacing w:after="160" w:before="280"/>
      </w:pPr>
      <w:r>
        <w:rPr>
          <w:rFonts w:ascii="Arial" w:cs="Arial" w:eastAsia="Arial" w:hAnsi="Arial"/>
          <w:b/>
          <w:bCs/>
          <w:color w:val="2E5A88"/>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Takes Effect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Aug 1, 2024</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Act enters into force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 2, 2025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Prohibited AI practices banned; AI literacy obligations begin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Aug 2, 2025</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GPAI model rules apply; governance structure and penalty framework active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Aug 2, 2026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applicability—all remaining provisions, including high-risk AI system rules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Aug 2, 2027</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Extended deadline for high-risk AI embedded in regulated products (medical devices, automotive, etc.)</w:t>
            </w:r>
          </w:p>
        </w:tc>
      </w:tr>
    </w:tbl>
    <w:p>
      <w:pPr>
        <w:spacing w:after="200"/>
      </w:pPr>
    </w:p>
    <w:p>
      <w:r>
        <w:br w:type="page"/>
      </w:r>
    </w:p>
    <w:p>
      <w:pPr>
        <w:pStyle w:val="Heading1"/>
        <w:spacing w:after="200" w:before="360"/>
      </w:pPr>
      <w:r>
        <w:rPr>
          <w:rFonts w:ascii="Arial" w:cs="Arial" w:eastAsia="Arial" w:hAnsi="Arial"/>
          <w:b/>
          <w:bCs/>
          <w:color w:val="1B3A5C"/>
          <w:sz w:val="32"/>
          <w:szCs w:val="32"/>
        </w:rPr>
        <w:t xml:space="preserve">2. Who’s Championing It?</w:t>
      </w:r>
    </w:p>
    <w:p>
      <w:pPr>
        <w:spacing w:after="160"/>
      </w:pPr>
      <w:r>
        <w:rPr>
          <w:rFonts w:ascii="Arial" w:cs="Arial" w:eastAsia="Arial" w:hAnsi="Arial"/>
          <w:sz w:val="20"/>
          <w:szCs w:val="20"/>
        </w:rPr>
        <w:t xml:space="preserve">The AI Act wasn’t the work of a single politician—it was a multi-institutional effort across the EU’s three legislative bodies. But there are clear names to know.</w:t>
      </w:r>
    </w:p>
    <w:p>
      <w:pPr>
        <w:pStyle w:val="Heading2"/>
        <w:spacing w:after="160" w:before="280"/>
      </w:pPr>
      <w:r>
        <w:rPr>
          <w:rFonts w:ascii="Arial" w:cs="Arial" w:eastAsia="Arial" w:hAnsi="Arial"/>
          <w:b/>
          <w:bCs/>
          <w:color w:val="2E5A88"/>
          <w:sz w:val="26"/>
          <w:szCs w:val="26"/>
        </w:rPr>
        <w:t xml:space="preserve">The Architects</w:t>
      </w:r>
    </w:p>
    <w:p>
      <w:pPr>
        <w:spacing w:after="160"/>
      </w:pPr>
      <w:r>
        <w:rPr>
          <w:rFonts w:ascii="Arial" w:cs="Arial" w:eastAsia="Arial" w:hAnsi="Arial"/>
          <w:b/>
          <w:bCs/>
          <w:sz w:val="20"/>
          <w:szCs w:val="20"/>
        </w:rPr>
        <w:t xml:space="preserve">European Commission: </w:t>
      </w:r>
      <w:r>
        <w:rPr>
          <w:rFonts w:ascii="Arial" w:cs="Arial" w:eastAsia="Arial" w:hAnsi="Arial"/>
          <w:sz w:val="20"/>
          <w:szCs w:val="20"/>
        </w:rPr>
        <w:t xml:space="preserve">Proposed the original legislation in April 2021 as part of its broader digital strategy. Ursula von der Leyen’s Commission made AI regulation a priority. Margrethe Vestager (Executive VP for “A Europe Fit for the Digital Age”) and Thierry Breton (Commissioner for Internal Market) were the two Commission heavyweights driving it forward.</w:t>
      </w:r>
    </w:p>
    <w:p>
      <w:pPr>
        <w:spacing w:after="160"/>
      </w:pPr>
      <w:r>
        <w:rPr>
          <w:rFonts w:ascii="Arial" w:cs="Arial" w:eastAsia="Arial" w:hAnsi="Arial"/>
          <w:b/>
          <w:bCs/>
          <w:sz w:val="20"/>
          <w:szCs w:val="20"/>
        </w:rPr>
        <w:t xml:space="preserve">European Parliament Co-Rapporteurs: </w:t>
      </w:r>
      <w:r>
        <w:rPr>
          <w:rFonts w:ascii="Arial" w:cs="Arial" w:eastAsia="Arial" w:hAnsi="Arial"/>
          <w:sz w:val="20"/>
          <w:szCs w:val="20"/>
        </w:rPr>
        <w:t xml:space="preserve">Brando Benifei (S&amp;D, Italy) and Dragoș Tudorache (Renew Europe, Romania) were the co-rapporteurs—essentially the lead negotiators who shepherded the legislation through Parliament. These two are the closest thing to individual “champions” of the Act. They managed the committee work, the amendments, the floor debates, and the trilogue negotiations with the Council.</w:t>
      </w:r>
    </w:p>
    <w:p>
      <w:pPr>
        <w:spacing w:after="160"/>
      </w:pPr>
      <w:r>
        <w:rPr>
          <w:rFonts w:ascii="Arial" w:cs="Arial" w:eastAsia="Arial" w:hAnsi="Arial"/>
          <w:b/>
          <w:bCs/>
          <w:sz w:val="20"/>
          <w:szCs w:val="20"/>
        </w:rPr>
        <w:t xml:space="preserve">Shadow Rapporteurs: </w:t>
      </w:r>
      <w:r>
        <w:rPr>
          <w:rFonts w:ascii="Arial" w:cs="Arial" w:eastAsia="Arial" w:hAnsi="Arial"/>
          <w:sz w:val="20"/>
          <w:szCs w:val="20"/>
        </w:rPr>
        <w:t xml:space="preserve">Eva Maydell, Marcel Kolaja, and Axel Voss also played significant roles in shaping the Parliament’s position.</w:t>
      </w:r>
    </w:p>
    <w:p>
      <w:pPr>
        <w:spacing w:after="160"/>
      </w:pPr>
      <w:r>
        <w:rPr>
          <w:rFonts w:ascii="Arial" w:cs="Arial" w:eastAsia="Arial" w:hAnsi="Arial"/>
          <w:b/>
          <w:bCs/>
          <w:sz w:val="20"/>
          <w:szCs w:val="20"/>
        </w:rPr>
        <w:t xml:space="preserve">Council of the EU: </w:t>
      </w:r>
      <w:r>
        <w:rPr>
          <w:rFonts w:ascii="Arial" w:cs="Arial" w:eastAsia="Arial" w:hAnsi="Arial"/>
          <w:sz w:val="20"/>
          <w:szCs w:val="20"/>
        </w:rPr>
        <w:t xml:space="preserve">The Spanish presidency (second half of 2023) played a critical role in brokering the final trilogue deal. Carme Artigas, Spain’s Secretary of State for Digitalization and AI, was a key figure in getting the Council and Parliament to align.</w:t>
      </w:r>
    </w:p>
    <w:p>
      <w:pPr>
        <w:pStyle w:val="Heading2"/>
        <w:spacing w:after="160" w:before="280"/>
      </w:pPr>
      <w:r>
        <w:rPr>
          <w:rFonts w:ascii="Arial" w:cs="Arial" w:eastAsia="Arial" w:hAnsi="Arial"/>
          <w:b/>
          <w:bCs/>
          <w:color w:val="2E5A88"/>
          <w:sz w:val="26"/>
          <w:szCs w:val="26"/>
        </w:rPr>
        <w:t xml:space="preserve">The Trilogue Process</w:t>
      </w:r>
    </w:p>
    <w:p>
      <w:pPr>
        <w:spacing w:after="160"/>
      </w:pPr>
      <w:r>
        <w:rPr>
          <w:rFonts w:ascii="Arial" w:cs="Arial" w:eastAsia="Arial" w:hAnsi="Arial"/>
          <w:sz w:val="20"/>
          <w:szCs w:val="20"/>
        </w:rPr>
        <w:t xml:space="preserve">This is important context for US readers: EU legislation goes through a “trilogue”—a three-way negotiation between the Commission (proposes), the Parliament (amends), and the Council (represents member states). The AI Act went through marathon trilogue sessions in late 2023, with the political agreement reached on December 9, 2023. The final text was approved by Parliament on March 13, 2024, with 523 votes in favor, 46 against, and 49 abstentions.</w:t>
      </w:r>
    </w:p>
    <w:p>
      <w:r>
        <w:br w:type="page"/>
      </w:r>
    </w:p>
    <w:p>
      <w:pPr>
        <w:pStyle w:val="Heading1"/>
        <w:spacing w:after="200" w:before="360"/>
      </w:pPr>
      <w:r>
        <w:rPr>
          <w:rFonts w:ascii="Arial" w:cs="Arial" w:eastAsia="Arial" w:hAnsi="Arial"/>
          <w:b/>
          <w:bCs/>
          <w:color w:val="1B3A5C"/>
          <w:sz w:val="32"/>
          <w:szCs w:val="32"/>
        </w:rPr>
        <w:t xml:space="preserve">3. How Does It Actually Get Enforced?</w:t>
      </w:r>
    </w:p>
    <w:p>
      <w:pPr>
        <w:spacing w:after="160"/>
      </w:pPr>
      <w:r>
        <w:rPr>
          <w:rFonts w:ascii="Arial" w:cs="Arial" w:eastAsia="Arial" w:hAnsi="Arial"/>
          <w:sz w:val="20"/>
          <w:szCs w:val="20"/>
        </w:rPr>
        <w:t xml:space="preserve">Enforcement is a dual-layer system: EU-level oversight plus national-level enforcement.</w:t>
      </w:r>
    </w:p>
    <w:p>
      <w:pPr>
        <w:pStyle w:val="Heading2"/>
        <w:spacing w:after="160" w:before="280"/>
      </w:pPr>
      <w:r>
        <w:rPr>
          <w:rFonts w:ascii="Arial" w:cs="Arial" w:eastAsia="Arial" w:hAnsi="Arial"/>
          <w:b/>
          <w:bCs/>
          <w:color w:val="2E5A88"/>
          <w:sz w:val="26"/>
          <w:szCs w:val="26"/>
        </w:rPr>
        <w:t xml:space="preserve">EU-Level: The European AI Office</w:t>
      </w:r>
    </w:p>
    <w:p>
      <w:pPr>
        <w:spacing w:after="160"/>
      </w:pPr>
      <w:r>
        <w:rPr>
          <w:rFonts w:ascii="Arial" w:cs="Arial" w:eastAsia="Arial" w:hAnsi="Arial"/>
          <w:sz w:val="20"/>
          <w:szCs w:val="20"/>
        </w:rPr>
        <w:t xml:space="preserve">Established within the European Commission, the AI Office is the central enforcement body with real teeth. It can evaluate AI models, demand technical documentation from providers, require corrective measures for non-compliance, and recommend sanctions or fines. Its primary focus is on GPAI models with systemic risk—the big foundation models.</w:t>
      </w:r>
    </w:p>
    <w:p>
      <w:pPr>
        <w:pStyle w:val="Heading2"/>
        <w:spacing w:after="160" w:before="280"/>
      </w:pPr>
      <w:r>
        <w:rPr>
          <w:rFonts w:ascii="Arial" w:cs="Arial" w:eastAsia="Arial" w:hAnsi="Arial"/>
          <w:b/>
          <w:bCs/>
          <w:color w:val="2E5A88"/>
          <w:sz w:val="26"/>
          <w:szCs w:val="26"/>
        </w:rPr>
        <w:t xml:space="preserve">National Level: Member State Authorities</w:t>
      </w:r>
    </w:p>
    <w:p>
      <w:pPr>
        <w:spacing w:after="160"/>
      </w:pPr>
      <w:r>
        <w:rPr>
          <w:rFonts w:ascii="Arial" w:cs="Arial" w:eastAsia="Arial" w:hAnsi="Arial"/>
          <w:sz w:val="20"/>
          <w:szCs w:val="20"/>
        </w:rPr>
        <w:t xml:space="preserve">Each member state must designate National Competent Authorities (NCAs) by August 2, 2025. These include a Notifying Authority (handles conformity assessment bodies) and a Market Surveillance Authority (oversees day-to-day compliance). This is the on-the-ground enforcement—think of it as the national-level police for AI compliance.</w:t>
      </w:r>
    </w:p>
    <w:p>
      <w:pPr>
        <w:pStyle w:val="Heading2"/>
        <w:spacing w:after="160" w:before="280"/>
      </w:pPr>
      <w:r>
        <w:rPr>
          <w:rFonts w:ascii="Arial" w:cs="Arial" w:eastAsia="Arial" w:hAnsi="Arial"/>
          <w:b/>
          <w:bCs/>
          <w:color w:val="2E5A88"/>
          <w:sz w:val="26"/>
          <w:szCs w:val="26"/>
        </w:rPr>
        <w:t xml:space="preserve">Penalty Structure</w:t>
      </w:r>
    </w:p>
    <w:p>
      <w:pPr>
        <w:spacing w:after="160"/>
      </w:pPr>
      <w:r>
        <w:rPr>
          <w:rFonts w:ascii="Arial" w:cs="Arial" w:eastAsia="Arial" w:hAnsi="Arial"/>
          <w:sz w:val="20"/>
          <w:szCs w:val="20"/>
        </w:rPr>
        <w:t xml:space="preserve">The fine structure is tiered and designed to hurt: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Violation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Max Fine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OR % of Global Turnover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Prohibited AI practices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€35 million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 worldwide annual turnover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 AI Act obligations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million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worldwide annual turnover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Misleading information to authorities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€7.5 million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1% worldwide annual turnover</w:t>
            </w:r>
          </w:p>
        </w:tc>
      </w:tr>
    </w:tbl>
    <w:p>
      <w:pPr>
        <w:spacing w:after="120"/>
      </w:pPr>
    </w:p>
    <w:p>
      <w:pPr>
        <w:spacing w:after="160"/>
      </w:pPr>
      <w:r>
        <w:rPr>
          <w:rFonts w:ascii="Arial" w:cs="Arial" w:eastAsia="Arial" w:hAnsi="Arial"/>
          <w:sz w:val="20"/>
          <w:szCs w:val="20"/>
        </w:rPr>
        <w:t xml:space="preserve">For SMEs and startups, the same percentages apply but whichever amount is LOWER (not higher). This is a deliberate carve-out to avoid crushing small companies.</w:t>
      </w:r>
    </w:p>
    <w:p>
      <w:pPr>
        <w:spacing w:after="160"/>
      </w:pPr>
      <w:r>
        <w:rPr>
          <w:rFonts w:ascii="Arial" w:cs="Arial" w:eastAsia="Arial" w:hAnsi="Arial"/>
          <w:sz w:val="20"/>
          <w:szCs w:val="20"/>
        </w:rPr>
        <w:t xml:space="preserve">Key point: This is extraterritorial. If you’re a US company deploying AI that affects EU citizens or is used within the EU market, you’re subject to this. Same playbook as GDPR.</w:t>
      </w:r>
    </w:p>
    <w:p>
      <w:r>
        <w:br w:type="page"/>
      </w:r>
    </w:p>
    <w:p>
      <w:pPr>
        <w:pStyle w:val="Heading1"/>
        <w:spacing w:after="200" w:before="360"/>
      </w:pPr>
      <w:r>
        <w:rPr>
          <w:rFonts w:ascii="Arial" w:cs="Arial" w:eastAsia="Arial" w:hAnsi="Arial"/>
          <w:b/>
          <w:bCs/>
          <w:color w:val="1B3A5C"/>
          <w:sz w:val="32"/>
          <w:szCs w:val="32"/>
        </w:rPr>
        <w:t xml:space="preserve">4. EU vs US: Why Can the EU Do This?</w:t>
      </w:r>
    </w:p>
    <w:p>
      <w:pPr>
        <w:spacing w:after="160"/>
      </w:pPr>
      <w:r>
        <w:rPr>
          <w:rFonts w:ascii="Arial" w:cs="Arial" w:eastAsia="Arial" w:hAnsi="Arial"/>
          <w:sz w:val="20"/>
          <w:szCs w:val="20"/>
        </w:rPr>
        <w:t xml:space="preserve">This is where it gets interesting from a structural standpoint. The EU and US have fundamentally different governance architectures that produce fundamentally different regulatory outcomes.</w:t>
      </w:r>
    </w:p>
    <w:p>
      <w:pPr>
        <w:pStyle w:val="Heading2"/>
        <w:spacing w:after="160" w:before="280"/>
      </w:pPr>
      <w:r>
        <w:rPr>
          <w:rFonts w:ascii="Arial" w:cs="Arial" w:eastAsia="Arial" w:hAnsi="Arial"/>
          <w:b/>
          <w:bCs/>
          <w:color w:val="2E5A88"/>
          <w:sz w:val="26"/>
          <w:szCs w:val="26"/>
        </w:rPr>
        <w:t xml:space="preserve">The EU’s Structural Advantage for Regulation</w:t>
      </w:r>
    </w:p>
    <w:p>
      <w:pPr>
        <w:pStyle w:val="ListParagraph"/>
        <w:numPr>
          <w:ilvl w:val="0"/>
          <w:numId w:val="2"/>
        </w:numPr>
        <w:spacing w:after="80"/>
      </w:pPr>
      <w:r>
        <w:rPr>
          <w:rFonts w:ascii="Arial" w:cs="Arial" w:eastAsia="Arial" w:hAnsi="Arial"/>
          <w:b/>
          <w:bCs/>
          <w:sz w:val="20"/>
          <w:szCs w:val="20"/>
        </w:rPr>
        <w:t xml:space="preserve">Supranational Authority: </w:t>
      </w:r>
      <w:r>
        <w:rPr>
          <w:rFonts w:ascii="Arial" w:cs="Arial" w:eastAsia="Arial" w:hAnsi="Arial"/>
          <w:sz w:val="20"/>
          <w:szCs w:val="20"/>
        </w:rPr>
        <w:t xml:space="preserve">The EU functions as a supranational union where regulations adopted at the EU level are directly binding on all 27 member states. No individual country gets to opt out. The AI Act is a Regulation (not a Directive), meaning it doesn’t require local transposition—it IS the law everywhere, immediately.</w:t>
      </w:r>
    </w:p>
    <w:p>
      <w:pPr>
        <w:pStyle w:val="ListParagraph"/>
        <w:numPr>
          <w:ilvl w:val="0"/>
          <w:numId w:val="2"/>
        </w:numPr>
        <w:spacing w:after="80"/>
      </w:pPr>
      <w:r>
        <w:rPr>
          <w:rFonts w:ascii="Arial" w:cs="Arial" w:eastAsia="Arial" w:hAnsi="Arial"/>
          <w:b/>
          <w:bCs/>
          <w:sz w:val="20"/>
          <w:szCs w:val="20"/>
        </w:rPr>
        <w:t xml:space="preserve">Precautionary Principle: </w:t>
      </w:r>
      <w:r>
        <w:rPr>
          <w:rFonts w:ascii="Arial" w:cs="Arial" w:eastAsia="Arial" w:hAnsi="Arial"/>
          <w:sz w:val="20"/>
          <w:szCs w:val="20"/>
        </w:rPr>
        <w:t xml:space="preserve">The EU’s regulatory philosophy is preventative. They regulate BEFORE harm occurs. The operating assumption is that trust and safety are prerequisites for adoption and long-term economic benefit. This is baked into the EU’s DNA—it’s the same principle behind GDPR, REACH (chemicals), and food safety regulations.</w:t>
      </w:r>
    </w:p>
    <w:p>
      <w:pPr>
        <w:pStyle w:val="ListParagraph"/>
        <w:numPr>
          <w:ilvl w:val="0"/>
          <w:numId w:val="2"/>
        </w:numPr>
        <w:spacing w:after="80"/>
      </w:pPr>
      <w:r>
        <w:rPr>
          <w:rFonts w:ascii="Arial" w:cs="Arial" w:eastAsia="Arial" w:hAnsi="Arial"/>
          <w:b/>
          <w:bCs/>
          <w:sz w:val="20"/>
          <w:szCs w:val="20"/>
        </w:rPr>
        <w:t xml:space="preserve">Single Market Mandate: </w:t>
      </w:r>
      <w:r>
        <w:rPr>
          <w:rFonts w:ascii="Arial" w:cs="Arial" w:eastAsia="Arial" w:hAnsi="Arial"/>
          <w:sz w:val="20"/>
          <w:szCs w:val="20"/>
        </w:rPr>
        <w:t xml:space="preserve">The EU’s internal market justification gives it enormous regulatory reach. Anything that could fragment the single market or create barriers to trade across member states is fair game for EU-level regulation.</w:t>
      </w:r>
    </w:p>
    <w:p>
      <w:pPr>
        <w:pStyle w:val="ListParagraph"/>
        <w:numPr>
          <w:ilvl w:val="0"/>
          <w:numId w:val="2"/>
        </w:numPr>
        <w:spacing w:after="80"/>
      </w:pPr>
      <w:r>
        <w:rPr>
          <w:rFonts w:ascii="Arial" w:cs="Arial" w:eastAsia="Arial" w:hAnsi="Arial"/>
          <w:b/>
          <w:bCs/>
          <w:sz w:val="20"/>
          <w:szCs w:val="20"/>
        </w:rPr>
        <w:t xml:space="preserve">Rights-First Framework: </w:t>
      </w:r>
      <w:r>
        <w:rPr>
          <w:rFonts w:ascii="Arial" w:cs="Arial" w:eastAsia="Arial" w:hAnsi="Arial"/>
          <w:sz w:val="20"/>
          <w:szCs w:val="20"/>
        </w:rPr>
        <w:t xml:space="preserve">The EU Charter of Fundamental Rights provides constitutional backing. The AI Act explicitly ties its risk categories to fundamental rights protections—privacy, non-discrimination, human dignity.</w:t>
      </w:r>
    </w:p>
    <w:p>
      <w:pPr>
        <w:pStyle w:val="Heading2"/>
        <w:spacing w:after="160" w:before="280"/>
      </w:pPr>
      <w:r>
        <w:rPr>
          <w:rFonts w:ascii="Arial" w:cs="Arial" w:eastAsia="Arial" w:hAnsi="Arial"/>
          <w:b/>
          <w:bCs/>
          <w:color w:val="2E5A88"/>
          <w:sz w:val="26"/>
          <w:szCs w:val="26"/>
        </w:rPr>
        <w:t xml:space="preserve">Why the US Can’t (or Won’t) Do the Same</w:t>
      </w:r>
    </w:p>
    <w:p>
      <w:pPr>
        <w:pStyle w:val="ListParagraph"/>
        <w:numPr>
          <w:ilvl w:val="0"/>
          <w:numId w:val="2"/>
        </w:numPr>
        <w:spacing w:after="80"/>
      </w:pPr>
      <w:r>
        <w:rPr>
          <w:rFonts w:ascii="Arial" w:cs="Arial" w:eastAsia="Arial" w:hAnsi="Arial"/>
          <w:b/>
          <w:bCs/>
          <w:sz w:val="20"/>
          <w:szCs w:val="20"/>
        </w:rPr>
        <w:t xml:space="preserve">Federalism: </w:t>
      </w:r>
      <w:r>
        <w:rPr>
          <w:rFonts w:ascii="Arial" w:cs="Arial" w:eastAsia="Arial" w:hAnsi="Arial"/>
          <w:sz w:val="20"/>
          <w:szCs w:val="20"/>
        </w:rPr>
        <w:t xml:space="preserve">The US Constitution reserves most regulatory authority to states unless explicitly granted to the federal government. There is no clear constitutional hook for comprehensive federal AI regulation the way the EU has its single market and fundamental rights mandates.</w:t>
      </w:r>
    </w:p>
    <w:p>
      <w:pPr>
        <w:pStyle w:val="ListParagraph"/>
        <w:numPr>
          <w:ilvl w:val="0"/>
          <w:numId w:val="2"/>
        </w:numPr>
        <w:spacing w:after="80"/>
      </w:pPr>
      <w:r>
        <w:rPr>
          <w:rFonts w:ascii="Arial" w:cs="Arial" w:eastAsia="Arial" w:hAnsi="Arial"/>
          <w:b/>
          <w:bCs/>
          <w:sz w:val="20"/>
          <w:szCs w:val="20"/>
        </w:rPr>
        <w:t xml:space="preserve">Innovation-First Philosophy: </w:t>
      </w:r>
      <w:r>
        <w:rPr>
          <w:rFonts w:ascii="Arial" w:cs="Arial" w:eastAsia="Arial" w:hAnsi="Arial"/>
          <w:sz w:val="20"/>
          <w:szCs w:val="20"/>
        </w:rPr>
        <w:t xml:space="preserve">The US regulatory tradition sees government’s role as removing obstacles to innovation, not proactively shaping markets. Both Democratic and Republican administrations have favored light-touch, sector-specific approaches over comprehensive horizontal regulation.</w:t>
      </w:r>
    </w:p>
    <w:p>
      <w:pPr>
        <w:pStyle w:val="ListParagraph"/>
        <w:numPr>
          <w:ilvl w:val="0"/>
          <w:numId w:val="2"/>
        </w:numPr>
        <w:spacing w:after="80"/>
      </w:pPr>
      <w:r>
        <w:rPr>
          <w:rFonts w:ascii="Arial" w:cs="Arial" w:eastAsia="Arial" w:hAnsi="Arial"/>
          <w:b/>
          <w:bCs/>
          <w:sz w:val="20"/>
          <w:szCs w:val="20"/>
        </w:rPr>
        <w:t xml:space="preserve">Industry Lobbying: </w:t>
      </w:r>
      <w:r>
        <w:rPr>
          <w:rFonts w:ascii="Arial" w:cs="Arial" w:eastAsia="Arial" w:hAnsi="Arial"/>
          <w:sz w:val="20"/>
          <w:szCs w:val="20"/>
        </w:rPr>
        <w:t xml:space="preserve">Big Tech has enormous political influence in Washington. The EU’s regulatory bodies are more insulated from direct industry lobbying than US Congress, where tech companies are among the largest campaign donors.</w:t>
      </w:r>
    </w:p>
    <w:p>
      <w:pPr>
        <w:pStyle w:val="ListParagraph"/>
        <w:numPr>
          <w:ilvl w:val="0"/>
          <w:numId w:val="2"/>
        </w:numPr>
        <w:spacing w:after="80"/>
      </w:pPr>
      <w:r>
        <w:rPr>
          <w:rFonts w:ascii="Arial" w:cs="Arial" w:eastAsia="Arial" w:hAnsi="Arial"/>
          <w:b/>
          <w:bCs/>
          <w:sz w:val="20"/>
          <w:szCs w:val="20"/>
        </w:rPr>
        <w:t xml:space="preserve">Litigation-Based Enforcement: </w:t>
      </w:r>
      <w:r>
        <w:rPr>
          <w:rFonts w:ascii="Arial" w:cs="Arial" w:eastAsia="Arial" w:hAnsi="Arial"/>
          <w:sz w:val="20"/>
          <w:szCs w:val="20"/>
        </w:rPr>
        <w:t xml:space="preserve">The US defaults to ex-post enforcement through lawsuits rather than ex-ante regulation. Without explicit legal authority to regulate AI algorithms, the US approach relies on novel litigation—which is slow, inconsistent, and often jurisdiction-specific.</w:t>
      </w:r>
    </w:p>
    <w:p>
      <w:pPr>
        <w:pStyle w:val="Heading2"/>
        <w:spacing w:after="160" w:before="280"/>
      </w:pPr>
      <w:r>
        <w:rPr>
          <w:rFonts w:ascii="Arial" w:cs="Arial" w:eastAsia="Arial" w:hAnsi="Arial"/>
          <w:b/>
          <w:bCs/>
          <w:color w:val="2E5A88"/>
          <w:sz w:val="26"/>
          <w:szCs w:val="26"/>
        </w:rPr>
        <w:t xml:space="preserve">The Resulting Landscape</w:t>
      </w:r>
    </w:p>
    <w:p>
      <w:pPr>
        <w:spacing w:after="160"/>
      </w:pPr>
      <w:r>
        <w:rPr>
          <w:rFonts w:ascii="Arial" w:cs="Arial" w:eastAsia="Arial" w:hAnsi="Arial"/>
          <w:sz w:val="20"/>
          <w:szCs w:val="20"/>
        </w:rPr>
        <w:t xml:space="preserve">The EU has one comprehensive law. The US has a patchwork. In 2025 alone, 1,208 AI-related bills were introduced across all 50 US states, with 145 enacted into law. Major examples include Colorado’s AI Act (first comprehensive state AI law, effective June 30, 2026), California’s Transparency in Frontier AI Act (SB 53, effective January 1, 2026), and Illinois’ HB 3773 (amending the Human Rights Act to cover AI discrimination in employment).</w:t>
      </w:r>
    </w:p>
    <w:p>
      <w:r>
        <w:br w:type="page"/>
      </w:r>
    </w:p>
    <w:p>
      <w:pPr>
        <w:pStyle w:val="Heading1"/>
        <w:spacing w:after="200" w:before="360"/>
      </w:pPr>
      <w:r>
        <w:rPr>
          <w:rFonts w:ascii="Arial" w:cs="Arial" w:eastAsia="Arial" w:hAnsi="Arial"/>
          <w:b/>
          <w:bCs/>
          <w:color w:val="1B3A5C"/>
          <w:sz w:val="32"/>
          <w:szCs w:val="32"/>
        </w:rPr>
        <w:t xml:space="preserve">5. Current US Federal Proposals</w:t>
      </w:r>
    </w:p>
    <w:p>
      <w:pPr>
        <w:spacing w:after="160"/>
      </w:pPr>
      <w:r>
        <w:rPr>
          <w:rFonts w:ascii="Arial" w:cs="Arial" w:eastAsia="Arial" w:hAnsi="Arial"/>
          <w:sz w:val="20"/>
          <w:szCs w:val="20"/>
        </w:rPr>
        <w:t xml:space="preserve">While there’s no US equivalent to the AI Act yet, momentum is building—though the approach is very different.</w:t>
      </w:r>
    </w:p>
    <w:p>
      <w:pPr>
        <w:pStyle w:val="Heading2"/>
        <w:spacing w:after="160" w:before="280"/>
      </w:pPr>
      <w:r>
        <w:rPr>
          <w:rFonts w:ascii="Arial" w:cs="Arial" w:eastAsia="Arial" w:hAnsi="Arial"/>
          <w:b/>
          <w:bCs/>
          <w:color w:val="2E5A88"/>
          <w:sz w:val="26"/>
          <w:szCs w:val="26"/>
        </w:rPr>
        <w:t xml:space="preserve">The December 2025 Executive Order</w:t>
      </w:r>
    </w:p>
    <w:p>
      <w:pPr>
        <w:spacing w:after="160"/>
      </w:pPr>
      <w:r>
        <w:rPr>
          <w:rFonts w:ascii="Arial" w:cs="Arial" w:eastAsia="Arial" w:hAnsi="Arial"/>
          <w:sz w:val="20"/>
          <w:szCs w:val="20"/>
        </w:rPr>
        <w:t xml:space="preserve">On December 11, 2025, President Trump signed an executive order titled “Ensuring a National Policy Framework for Artificial Intelligence.” This is significant not because it creates regulation, but because it signals the federal government’s intent to PREEMPT state AI laws. Key elements:</w:t>
      </w:r>
    </w:p>
    <w:p>
      <w:pPr>
        <w:pStyle w:val="ListParagraph"/>
        <w:numPr>
          <w:ilvl w:val="0"/>
          <w:numId w:val="2"/>
        </w:numPr>
        <w:spacing w:after="80"/>
      </w:pPr>
      <w:r>
        <w:rPr>
          <w:rFonts w:ascii="Arial" w:cs="Arial" w:eastAsia="Arial" w:hAnsi="Arial"/>
          <w:sz w:val="20"/>
          <w:szCs w:val="20"/>
        </w:rPr>
        <w:t xml:space="preserve">Mobilizes the DOJ to identify and challenge “onerous” state AI laws</w:t>
      </w:r>
    </w:p>
    <w:p>
      <w:pPr>
        <w:pStyle w:val="ListParagraph"/>
        <w:numPr>
          <w:ilvl w:val="0"/>
          <w:numId w:val="2"/>
        </w:numPr>
        <w:spacing w:after="80"/>
      </w:pPr>
      <w:r>
        <w:rPr>
          <w:rFonts w:ascii="Arial" w:cs="Arial" w:eastAsia="Arial" w:hAnsi="Arial"/>
          <w:sz w:val="20"/>
          <w:szCs w:val="20"/>
        </w:rPr>
        <w:t xml:space="preserve">Discourages state enactment and enforcement of AI laws that conflict with federal policy</w:t>
      </w:r>
    </w:p>
    <w:p>
      <w:pPr>
        <w:pStyle w:val="ListParagraph"/>
        <w:numPr>
          <w:ilvl w:val="0"/>
          <w:numId w:val="2"/>
        </w:numPr>
        <w:spacing w:after="80"/>
      </w:pPr>
      <w:r>
        <w:rPr>
          <w:rFonts w:ascii="Arial" w:cs="Arial" w:eastAsia="Arial" w:hAnsi="Arial"/>
          <w:sz w:val="20"/>
          <w:szCs w:val="20"/>
        </w:rPr>
        <w:t xml:space="preserve">Directs a Secretary’s report expected to flag comprehensive frameworks in California, Colorado, and Texas as problematic</w:t>
      </w:r>
    </w:p>
    <w:p>
      <w:pPr>
        <w:pStyle w:val="ListParagraph"/>
        <w:numPr>
          <w:ilvl w:val="0"/>
          <w:numId w:val="2"/>
        </w:numPr>
        <w:spacing w:after="80"/>
      </w:pPr>
      <w:r>
        <w:rPr>
          <w:rFonts w:ascii="Arial" w:cs="Arial" w:eastAsia="Arial" w:hAnsi="Arial"/>
          <w:sz w:val="20"/>
          <w:szCs w:val="20"/>
        </w:rPr>
        <w:t xml:space="preserve">Advances federal preemption through litigation and agency action</w:t>
      </w:r>
    </w:p>
    <w:p>
      <w:pPr>
        <w:pStyle w:val="ListParagraph"/>
        <w:numPr>
          <w:ilvl w:val="0"/>
          <w:numId w:val="2"/>
        </w:numPr>
        <w:spacing w:after="80"/>
      </w:pPr>
      <w:r>
        <w:rPr>
          <w:rFonts w:ascii="Arial" w:cs="Arial" w:eastAsia="Arial" w:hAnsi="Arial"/>
          <w:sz w:val="20"/>
          <w:szCs w:val="20"/>
        </w:rPr>
        <w:t xml:space="preserve">Presses Congress to enact a uniform national framework</w:t>
      </w:r>
    </w:p>
    <w:p>
      <w:pPr>
        <w:spacing w:after="120"/>
      </w:pPr>
    </w:p>
    <w:p>
      <w:pPr>
        <w:spacing w:after="160"/>
      </w:pPr>
      <w:r>
        <w:rPr>
          <w:rFonts w:ascii="Arial" w:cs="Arial" w:eastAsia="Arial" w:hAnsi="Arial"/>
          <w:sz w:val="20"/>
          <w:szCs w:val="20"/>
        </w:rPr>
        <w:t xml:space="preserve">Important nuance: This EO doesn’t CREATE regulation. It’s an anti-regulation move at the state level, clearing the deck for a federal framework that’s expected to be much lighter-touch than anything the states have passed.</w:t>
      </w:r>
    </w:p>
    <w:p>
      <w:pPr>
        <w:pStyle w:val="Heading2"/>
        <w:spacing w:after="160" w:before="280"/>
      </w:pPr>
      <w:r>
        <w:rPr>
          <w:rFonts w:ascii="Arial" w:cs="Arial" w:eastAsia="Arial" w:hAnsi="Arial"/>
          <w:b/>
          <w:bCs/>
          <w:color w:val="2E5A88"/>
          <w:sz w:val="26"/>
          <w:szCs w:val="26"/>
        </w:rPr>
        <w:t xml:space="preserve">The TRUMP AMERICA AI Act (March 2026)</w:t>
      </w:r>
    </w:p>
    <w:p>
      <w:pPr>
        <w:spacing w:after="160"/>
      </w:pPr>
      <w:r>
        <w:rPr>
          <w:rFonts w:ascii="Arial" w:cs="Arial" w:eastAsia="Arial" w:hAnsi="Arial"/>
          <w:sz w:val="20"/>
          <w:szCs w:val="20"/>
        </w:rPr>
        <w:t xml:space="preserve">Senator Marsha Blackburn (R-TN) released a discussion draft on March 18, 2026—the most ambitious congressional attempt at comprehensive federal AI governance to date. Full name: “Republic Unifying Meritocratic Performance Advancing Machine Intelligence by Eliminating Regulatory Interstate Chaos Across American Industry Act.”</w:t>
      </w:r>
    </w:p>
    <w:p>
      <w:pPr>
        <w:pStyle w:val="Heading3"/>
        <w:spacing w:after="120" w:before="200"/>
      </w:pPr>
      <w:r>
        <w:rPr>
          <w:rFonts w:ascii="Arial" w:cs="Arial" w:eastAsia="Arial" w:hAnsi="Arial"/>
          <w:b/>
          <w:bCs/>
          <w:color w:val="3D7ABF"/>
          <w:sz w:val="22"/>
          <w:szCs w:val="22"/>
        </w:rPr>
        <w:t xml:space="preserve">The “4 Cs” Framework</w:t>
      </w:r>
    </w:p>
    <w:p>
      <w:pPr>
        <w:spacing w:after="160"/>
      </w:pPr>
      <w:r>
        <w:rPr>
          <w:rFonts w:ascii="Arial" w:cs="Arial" w:eastAsia="Arial" w:hAnsi="Arial"/>
          <w:sz w:val="20"/>
          <w:szCs w:val="20"/>
        </w:rPr>
        <w:t xml:space="preserve">The bill is organized around protecting Children, Creators, Conservatives, and Communities:</w:t>
      </w:r>
    </w:p>
    <w:p>
      <w:pPr>
        <w:pStyle w:val="ListParagraph"/>
        <w:numPr>
          <w:ilvl w:val="0"/>
          <w:numId w:val="2"/>
        </w:numPr>
        <w:spacing w:after="80"/>
      </w:pPr>
      <w:r>
        <w:rPr>
          <w:rFonts w:ascii="Arial" w:cs="Arial" w:eastAsia="Arial" w:hAnsi="Arial"/>
          <w:b/>
          <w:bCs/>
          <w:sz w:val="20"/>
          <w:szCs w:val="20"/>
        </w:rPr>
        <w:t xml:space="preserve">Children: </w:t>
      </w:r>
      <w:r>
        <w:rPr>
          <w:rFonts w:ascii="Arial" w:cs="Arial" w:eastAsia="Arial" w:hAnsi="Arial"/>
          <w:sz w:val="20"/>
          <w:szCs w:val="20"/>
        </w:rPr>
        <w:t xml:space="preserve">Restricts platforms from conducting market/product research on children under 13. Requires parental consent for research on minors up to 17.</w:t>
      </w:r>
    </w:p>
    <w:p>
      <w:pPr>
        <w:pStyle w:val="ListParagraph"/>
        <w:numPr>
          <w:ilvl w:val="0"/>
          <w:numId w:val="2"/>
        </w:numPr>
        <w:spacing w:after="80"/>
      </w:pPr>
      <w:r>
        <w:rPr>
          <w:rFonts w:ascii="Arial" w:cs="Arial" w:eastAsia="Arial" w:hAnsi="Arial"/>
          <w:b/>
          <w:bCs/>
          <w:sz w:val="20"/>
          <w:szCs w:val="20"/>
        </w:rPr>
        <w:t xml:space="preserve">Creators: </w:t>
      </w:r>
      <w:r>
        <w:rPr>
          <w:rFonts w:ascii="Arial" w:cs="Arial" w:eastAsia="Arial" w:hAnsi="Arial"/>
          <w:sz w:val="20"/>
          <w:szCs w:val="20"/>
        </w:rPr>
        <w:t xml:space="preserve">Declares that unauthorized use of copyrighted works for AI training does NOT qualify as fair use. Protects voice and visual likeness from unauthorized digital replicas.</w:t>
      </w:r>
    </w:p>
    <w:p>
      <w:pPr>
        <w:pStyle w:val="ListParagraph"/>
        <w:numPr>
          <w:ilvl w:val="0"/>
          <w:numId w:val="2"/>
        </w:numPr>
        <w:spacing w:after="80"/>
      </w:pPr>
      <w:r>
        <w:rPr>
          <w:rFonts w:ascii="Arial" w:cs="Arial" w:eastAsia="Arial" w:hAnsi="Arial"/>
          <w:b/>
          <w:bCs/>
          <w:sz w:val="20"/>
          <w:szCs w:val="20"/>
        </w:rPr>
        <w:t xml:space="preserve">Conservatives: </w:t>
      </w:r>
      <w:r>
        <w:rPr>
          <w:rFonts w:ascii="Arial" w:cs="Arial" w:eastAsia="Arial" w:hAnsi="Arial"/>
          <w:sz w:val="20"/>
          <w:szCs w:val="20"/>
        </w:rPr>
        <w:t xml:space="preserve">Codifies Trump’s EO preventing “woke AI” in federal procurement. Requires government-procured LLMs to be “truthful” and “neutral.”</w:t>
      </w:r>
    </w:p>
    <w:p>
      <w:pPr>
        <w:pStyle w:val="ListParagraph"/>
        <w:numPr>
          <w:ilvl w:val="0"/>
          <w:numId w:val="2"/>
        </w:numPr>
        <w:spacing w:after="80"/>
      </w:pPr>
      <w:r>
        <w:rPr>
          <w:rFonts w:ascii="Arial" w:cs="Arial" w:eastAsia="Arial" w:hAnsi="Arial"/>
          <w:b/>
          <w:bCs/>
          <w:sz w:val="20"/>
          <w:szCs w:val="20"/>
        </w:rPr>
        <w:t xml:space="preserve">Communities: </w:t>
      </w:r>
      <w:r>
        <w:rPr>
          <w:rFonts w:ascii="Arial" w:cs="Arial" w:eastAsia="Arial" w:hAnsi="Arial"/>
          <w:sz w:val="20"/>
          <w:szCs w:val="20"/>
        </w:rPr>
        <w:t xml:space="preserve">Requires quarterly reports on AI-related job displacement to the Department of Labor. Directs the Secretary of Energy to manage data center impacts on consumer energy rates.</w:t>
      </w:r>
    </w:p>
    <w:p>
      <w:pPr>
        <w:pStyle w:val="Heading3"/>
        <w:spacing w:after="120" w:before="200"/>
      </w:pPr>
      <w:r>
        <w:rPr>
          <w:rFonts w:ascii="Arial" w:cs="Arial" w:eastAsia="Arial" w:hAnsi="Arial"/>
          <w:b/>
          <w:bCs/>
          <w:color w:val="3D7ABF"/>
          <w:sz w:val="22"/>
          <w:szCs w:val="22"/>
        </w:rPr>
        <w:t xml:space="preserve">Other Key Provisions</w:t>
      </w:r>
    </w:p>
    <w:p>
      <w:pPr>
        <w:pStyle w:val="ListParagraph"/>
        <w:numPr>
          <w:ilvl w:val="0"/>
          <w:numId w:val="2"/>
        </w:numPr>
        <w:spacing w:after="80"/>
      </w:pPr>
      <w:r>
        <w:rPr>
          <w:rFonts w:ascii="Arial" w:cs="Arial" w:eastAsia="Arial" w:hAnsi="Arial"/>
          <w:b/>
          <w:bCs/>
          <w:sz w:val="20"/>
          <w:szCs w:val="20"/>
        </w:rPr>
        <w:t xml:space="preserve">Duty of Care: </w:t>
      </w:r>
      <w:r>
        <w:rPr>
          <w:rFonts w:ascii="Arial" w:cs="Arial" w:eastAsia="Arial" w:hAnsi="Arial"/>
          <w:sz w:val="20"/>
          <w:szCs w:val="20"/>
        </w:rPr>
        <w:t xml:space="preserve">Mandates AI developers exercise “reasonable care” in design, development, and operation to prevent “foreseeable harm” to users.</w:t>
      </w:r>
    </w:p>
    <w:p>
      <w:pPr>
        <w:pStyle w:val="ListParagraph"/>
        <w:numPr>
          <w:ilvl w:val="0"/>
          <w:numId w:val="2"/>
        </w:numPr>
        <w:spacing w:after="80"/>
      </w:pPr>
      <w:r>
        <w:rPr>
          <w:rFonts w:ascii="Arial" w:cs="Arial" w:eastAsia="Arial" w:hAnsi="Arial"/>
          <w:b/>
          <w:bCs/>
          <w:sz w:val="20"/>
          <w:szCs w:val="20"/>
        </w:rPr>
        <w:t xml:space="preserve">Risk Assessments: </w:t>
      </w:r>
      <w:r>
        <w:rPr>
          <w:rFonts w:ascii="Arial" w:cs="Arial" w:eastAsia="Arial" w:hAnsi="Arial"/>
          <w:sz w:val="20"/>
          <w:szCs w:val="20"/>
        </w:rPr>
        <w:t xml:space="preserve">Requires regular assessment of advanced AI risks with safety protocol reporting to the Department of Homeland Security.</w:t>
      </w:r>
    </w:p>
    <w:p>
      <w:pPr>
        <w:pStyle w:val="ListParagraph"/>
        <w:numPr>
          <w:ilvl w:val="0"/>
          <w:numId w:val="2"/>
        </w:numPr>
        <w:spacing w:after="80"/>
      </w:pPr>
      <w:r>
        <w:rPr>
          <w:rFonts w:ascii="Arial" w:cs="Arial" w:eastAsia="Arial" w:hAnsi="Arial"/>
          <w:b/>
          <w:bCs/>
          <w:sz w:val="20"/>
          <w:szCs w:val="20"/>
        </w:rPr>
        <w:t xml:space="preserve">Federal Preemption: </w:t>
      </w:r>
      <w:r>
        <w:rPr>
          <w:rFonts w:ascii="Arial" w:cs="Arial" w:eastAsia="Arial" w:hAnsi="Arial"/>
          <w:sz w:val="20"/>
          <w:szCs w:val="20"/>
        </w:rPr>
        <w:t xml:space="preserve">Would preempt certain state AI laws—this is the big structural play. Consolidates regulatory authority at the federal level.</w:t>
      </w:r>
    </w:p>
    <w:p>
      <w:pPr>
        <w:spacing w:after="120"/>
      </w:pPr>
    </w:p>
    <w:p>
      <w:pPr>
        <w:spacing w:after="160"/>
      </w:pPr>
      <w:r>
        <w:rPr>
          <w:rFonts w:ascii="Arial" w:cs="Arial" w:eastAsia="Arial" w:hAnsi="Arial"/>
          <w:sz w:val="20"/>
          <w:szCs w:val="20"/>
        </w:rPr>
        <w:t xml:space="preserve">Status: This is a discussion draft, not yet introduced as formal legislation. Expected timeline for any federal AI law: late 2026 to early 2027 at the earliest.</w:t>
      </w:r>
    </w:p>
    <w:p>
      <w:pPr>
        <w:pStyle w:val="Heading2"/>
        <w:spacing w:after="160" w:before="280"/>
      </w:pPr>
      <w:r>
        <w:rPr>
          <w:rFonts w:ascii="Arial" w:cs="Arial" w:eastAsia="Arial" w:hAnsi="Arial"/>
          <w:b/>
          <w:bCs/>
          <w:color w:val="2E5A88"/>
          <w:sz w:val="26"/>
          <w:szCs w:val="26"/>
        </w:rPr>
        <w:t xml:space="preserve">Key Comparison: EU AI Act vs TRUMP AMERICA AI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EU AI Act</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TRUMP AMERICA AI Act</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Philosophy</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Precautionary, rights-first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Innovation-first, anti-regulatory chaos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Risk-based tiers (4 levels)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Sector/issue-based (4 Cs)</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Scope</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 AI systems by risk level</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Focus on children, copyright, government procurement, employment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Copyright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must comply with EU copyright; opt-out mechanisms for rights holders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Unauthorized training explicitly NOT fair use</w:t>
            </w:r>
          </w:p>
        </w:tc>
      </w:tr>
      <w:tr>
        <w:tc>
          <w:tcPr>
            <w:tcW w:type="dxa" w:w="234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Enforcement</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EU AI Office + national authorities; fines up to 7% global turnover</w:t>
            </w:r>
          </w:p>
        </w:tc>
        <w:tc>
          <w:tcPr>
            <w:tcW w:type="dxa" w:w="351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Duty of care standard; DHS reporting; details TBD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Law since Aug 2024; phased enforcement underway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Discussion draft (March 2026); not yet formal legislation</w:t>
            </w:r>
          </w:p>
        </w:tc>
      </w:tr>
    </w:tbl>
    <w:p>
      <w:r>
        <w:br w:type="page"/>
      </w:r>
    </w:p>
    <w:p>
      <w:pPr>
        <w:pStyle w:val="Heading1"/>
        <w:spacing w:after="200" w:before="360"/>
      </w:pPr>
      <w:r>
        <w:rPr>
          <w:rFonts w:ascii="Arial" w:cs="Arial" w:eastAsia="Arial" w:hAnsi="Arial"/>
          <w:b/>
          <w:bCs/>
          <w:color w:val="1B3A5C"/>
          <w:sz w:val="32"/>
          <w:szCs w:val="32"/>
        </w:rPr>
        <w:t xml:space="preserve">6. Sentiment Tie-In: Where This Connects</w:t>
      </w:r>
    </w:p>
    <w:p>
      <w:pPr>
        <w:spacing w:after="160"/>
      </w:pPr>
      <w:r>
        <w:rPr>
          <w:rFonts w:ascii="Arial" w:cs="Arial" w:eastAsia="Arial" w:hAnsi="Arial"/>
          <w:sz w:val="20"/>
          <w:szCs w:val="20"/>
        </w:rPr>
        <w:t xml:space="preserve">This is where the AI Act thread feeds directly into the broader SeattleWren work on sentiment analysis. A few angles to develop:</w:t>
      </w:r>
    </w:p>
    <w:p>
      <w:pPr>
        <w:pStyle w:val="Heading2"/>
        <w:spacing w:after="160" w:before="280"/>
      </w:pPr>
      <w:r>
        <w:rPr>
          <w:rFonts w:ascii="Arial" w:cs="Arial" w:eastAsia="Arial" w:hAnsi="Arial"/>
          <w:b/>
          <w:bCs/>
          <w:color w:val="2E5A88"/>
          <w:sz w:val="26"/>
          <w:szCs w:val="26"/>
        </w:rPr>
        <w:t xml:space="preserve">Public Sentiment Angles</w:t>
      </w:r>
    </w:p>
    <w:p>
      <w:pPr>
        <w:pStyle w:val="ListParagraph"/>
        <w:numPr>
          <w:ilvl w:val="0"/>
          <w:numId w:val="2"/>
        </w:numPr>
        <w:spacing w:after="80"/>
      </w:pPr>
      <w:r>
        <w:rPr>
          <w:rFonts w:ascii="Arial" w:cs="Arial" w:eastAsia="Arial" w:hAnsi="Arial"/>
          <w:b/>
          <w:bCs/>
          <w:sz w:val="20"/>
          <w:szCs w:val="20"/>
        </w:rPr>
        <w:t xml:space="preserve">Trust Gap: </w:t>
      </w:r>
      <w:r>
        <w:rPr>
          <w:rFonts w:ascii="Arial" w:cs="Arial" w:eastAsia="Arial" w:hAnsi="Arial"/>
          <w:sz w:val="20"/>
          <w:szCs w:val="20"/>
        </w:rPr>
        <w:t xml:space="preserve">The EU’s precautionary approach reflects a fundamentally different public sentiment toward technology. European publics tend to be more skeptical of unregulated tech, more privacy-conscious, and more supportive of government intervention. US sentiment is more polarized—split between techno-optimism and growing unease about job displacement, deepfakes, and surveillance.</w:t>
      </w:r>
    </w:p>
    <w:p>
      <w:pPr>
        <w:pStyle w:val="ListParagraph"/>
        <w:numPr>
          <w:ilvl w:val="0"/>
          <w:numId w:val="2"/>
        </w:numPr>
        <w:spacing w:after="80"/>
      </w:pPr>
      <w:r>
        <w:rPr>
          <w:rFonts w:ascii="Arial" w:cs="Arial" w:eastAsia="Arial" w:hAnsi="Arial"/>
          <w:b/>
          <w:bCs/>
          <w:sz w:val="20"/>
          <w:szCs w:val="20"/>
        </w:rPr>
        <w:t xml:space="preserve">The “Protection vs Innovation” Narrative: </w:t>
      </w:r>
      <w:r>
        <w:rPr>
          <w:rFonts w:ascii="Arial" w:cs="Arial" w:eastAsia="Arial" w:hAnsi="Arial"/>
          <w:sz w:val="20"/>
          <w:szCs w:val="20"/>
        </w:rPr>
        <w:t xml:space="preserve">Sentiment on AI regulation maps almost perfectly onto existing political fault lines. In the US, the framing is often “regulation kills innovation” vs “unregulated AI threatens democracy.” The EU has largely resolved this tension in favor of regulation-as-enabler. This framing difference is a rich vein for sentiment analysis.</w:t>
      </w:r>
    </w:p>
    <w:p>
      <w:pPr>
        <w:pStyle w:val="ListParagraph"/>
        <w:numPr>
          <w:ilvl w:val="0"/>
          <w:numId w:val="2"/>
        </w:numPr>
        <w:spacing w:after="80"/>
      </w:pPr>
      <w:r>
        <w:rPr>
          <w:rFonts w:ascii="Arial" w:cs="Arial" w:eastAsia="Arial" w:hAnsi="Arial"/>
          <w:b/>
          <w:bCs/>
          <w:sz w:val="20"/>
          <w:szCs w:val="20"/>
        </w:rPr>
        <w:t xml:space="preserve">Copyright as a Proxy War: </w:t>
      </w:r>
      <w:r>
        <w:rPr>
          <w:rFonts w:ascii="Arial" w:cs="Arial" w:eastAsia="Arial" w:hAnsi="Arial"/>
          <w:sz w:val="20"/>
          <w:szCs w:val="20"/>
        </w:rPr>
        <w:t xml:space="preserve">Both the EU Act and the TRUMP AMERICA AI Act address copyright, but from different philosophical bases. Public sentiment around AI training on copyrighted works is overwhelmingly negative among creators and mixed among consumers. This is one of the few areas where there’s transatlantic sentiment alignment.</w:t>
      </w:r>
    </w:p>
    <w:p>
      <w:pPr>
        <w:pStyle w:val="ListParagraph"/>
        <w:numPr>
          <w:ilvl w:val="0"/>
          <w:numId w:val="2"/>
        </w:numPr>
        <w:spacing w:after="80"/>
      </w:pPr>
      <w:r>
        <w:rPr>
          <w:rFonts w:ascii="Arial" w:cs="Arial" w:eastAsia="Arial" w:hAnsi="Arial"/>
          <w:b/>
          <w:bCs/>
          <w:sz w:val="20"/>
          <w:szCs w:val="20"/>
        </w:rPr>
        <w:t xml:space="preserve">Employment Anxiety: </w:t>
      </w:r>
      <w:r>
        <w:rPr>
          <w:rFonts w:ascii="Arial" w:cs="Arial" w:eastAsia="Arial" w:hAnsi="Arial"/>
          <w:sz w:val="20"/>
          <w:szCs w:val="20"/>
        </w:rPr>
        <w:t xml:space="preserve">AI job displacement fears are consistently among the top public concerns globally. Both regulatory frameworks acknowledge this—the EU through risk classification of employment AI, the US through reporting requirements. Sentiment data on this will be critical for the reports and posts.</w:t>
      </w:r>
    </w:p>
    <w:p>
      <w:pPr>
        <w:pStyle w:val="Heading2"/>
        <w:spacing w:after="160" w:before="280"/>
      </w:pPr>
      <w:r>
        <w:rPr>
          <w:rFonts w:ascii="Arial" w:cs="Arial" w:eastAsia="Arial" w:hAnsi="Arial"/>
          <w:b/>
          <w:bCs/>
          <w:color w:val="2E5A88"/>
          <w:sz w:val="26"/>
          <w:szCs w:val="26"/>
        </w:rPr>
        <w:t xml:space="preserve">Report &amp; Post Connections</w:t>
      </w:r>
    </w:p>
    <w:p>
      <w:pPr>
        <w:pStyle w:val="ListParagraph"/>
        <w:numPr>
          <w:ilvl w:val="0"/>
          <w:numId w:val="2"/>
        </w:numPr>
        <w:spacing w:after="80"/>
      </w:pPr>
      <w:r>
        <w:rPr>
          <w:rFonts w:ascii="Arial" w:cs="Arial" w:eastAsia="Arial" w:hAnsi="Arial"/>
          <w:sz w:val="20"/>
          <w:szCs w:val="20"/>
        </w:rPr>
        <w:t xml:space="preserve">The AI Act’s risk framework can serve as an analytical lens for categorizing AI sentiment by use case</w:t>
      </w:r>
    </w:p>
    <w:p>
      <w:pPr>
        <w:pStyle w:val="ListParagraph"/>
        <w:numPr>
          <w:ilvl w:val="0"/>
          <w:numId w:val="2"/>
        </w:numPr>
        <w:spacing w:after="80"/>
      </w:pPr>
      <w:r>
        <w:rPr>
          <w:rFonts w:ascii="Arial" w:cs="Arial" w:eastAsia="Arial" w:hAnsi="Arial"/>
          <w:sz w:val="20"/>
          <w:szCs w:val="20"/>
        </w:rPr>
        <w:t xml:space="preserve">The EU vs US regulatory divergence mirrors and reinforces existing sentiment divergence in polling data</w:t>
      </w:r>
    </w:p>
    <w:p>
      <w:pPr>
        <w:pStyle w:val="ListParagraph"/>
        <w:numPr>
          <w:ilvl w:val="0"/>
          <w:numId w:val="2"/>
        </w:numPr>
        <w:spacing w:after="80"/>
      </w:pPr>
      <w:r>
        <w:rPr>
          <w:rFonts w:ascii="Arial" w:cs="Arial" w:eastAsia="Arial" w:hAnsi="Arial"/>
          <w:sz w:val="20"/>
          <w:szCs w:val="20"/>
        </w:rPr>
        <w:t xml:space="preserve">The TRUMP AMERICA AI Act’s “4 Cs” framework reveals which sentiment vectors US politicians believe are most electorally salient</w:t>
      </w:r>
    </w:p>
    <w:p>
      <w:pPr>
        <w:pStyle w:val="ListParagraph"/>
        <w:numPr>
          <w:ilvl w:val="0"/>
          <w:numId w:val="2"/>
        </w:numPr>
        <w:spacing w:after="80"/>
      </w:pPr>
      <w:r>
        <w:rPr>
          <w:rFonts w:ascii="Arial" w:cs="Arial" w:eastAsia="Arial" w:hAnsi="Arial"/>
          <w:sz w:val="20"/>
          <w:szCs w:val="20"/>
        </w:rPr>
        <w:t xml:space="preserve">The state-level patchwork in the US creates differential sentiment environments that are measurable and mappable</w:t>
      </w:r>
    </w:p>
    <w:p>
      <w:pPr>
        <w:pStyle w:val="ListParagraph"/>
        <w:numPr>
          <w:ilvl w:val="0"/>
          <w:numId w:val="2"/>
        </w:numPr>
        <w:spacing w:after="80"/>
      </w:pPr>
      <w:r>
        <w:rPr>
          <w:rFonts w:ascii="Arial" w:cs="Arial" w:eastAsia="Arial" w:hAnsi="Arial"/>
          <w:sz w:val="20"/>
          <w:szCs w:val="20"/>
        </w:rPr>
        <w:t xml:space="preserve">Enforcement timelines create natural inflection points for tracking sentiment shifts (Feb 2025, Aug 2025, Aug 2026)</w:t>
      </w:r>
    </w:p>
    <w:p>
      <w:pPr>
        <w:spacing w:after="200"/>
      </w:pPr>
    </w:p>
    <w:p>
      <w:pPr>
        <w:spacing w:after="160"/>
      </w:pPr>
      <w:r>
        <w:rPr>
          <w:rFonts w:ascii="Arial" w:cs="Arial" w:eastAsia="Arial" w:hAnsi="Arial"/>
          <w:i/>
          <w:iCs/>
          <w:color w:val="888888"/>
          <w:sz w:val="20"/>
          <w:szCs w:val="20"/>
        </w:rPr>
        <w:t xml:space="preserve">[TODO: Link specific sentiment datasets and polling sources as they’re compiled for the broader thread]</w:t>
      </w:r>
    </w:p>
    <w:p>
      <w:r>
        <w:br w:type="page"/>
      </w:r>
    </w:p>
    <w:p>
      <w:pPr>
        <w:pStyle w:val="Heading1"/>
        <w:spacing w:after="200" w:before="360"/>
      </w:pPr>
      <w:r>
        <w:rPr>
          <w:rFonts w:ascii="Arial" w:cs="Arial" w:eastAsia="Arial" w:hAnsi="Arial"/>
          <w:b/>
          <w:bCs/>
          <w:color w:val="1B3A5C"/>
          <w:sz w:val="32"/>
          <w:szCs w:val="32"/>
        </w:rPr>
        <w:t xml:space="preserve">7. Source Log</w:t>
      </w:r>
    </w:p>
    <w:p>
      <w:pPr>
        <w:spacing w:after="160"/>
      </w:pPr>
      <w:r>
        <w:rPr>
          <w:rFonts w:ascii="Arial" w:cs="Arial" w:eastAsia="Arial" w:hAnsi="Arial"/>
          <w:i/>
          <w:iCs/>
          <w:sz w:val="20"/>
          <w:szCs w:val="20"/>
        </w:rPr>
        <w:t xml:space="preserve">All sources referenced in compiling these notes:</w:t>
      </w:r>
    </w:p>
    <w:p>
      <w:pPr>
        <w:pStyle w:val="Heading3"/>
        <w:spacing w:after="120" w:before="200"/>
      </w:pPr>
      <w:r>
        <w:rPr>
          <w:rFonts w:ascii="Arial" w:cs="Arial" w:eastAsia="Arial" w:hAnsi="Arial"/>
          <w:b/>
          <w:bCs/>
          <w:color w:val="3D7ABF"/>
          <w:sz w:val="22"/>
          <w:szCs w:val="22"/>
        </w:rPr>
        <w:t xml:space="preserve">EU AI Act — Official &amp; Legal</w:t>
      </w:r>
    </w:p>
    <w:p>
      <w:pPr>
        <w:pStyle w:val="ListParagraph"/>
        <w:numPr>
          <w:ilvl w:val="0"/>
          <w:numId w:val="2"/>
        </w:numPr>
        <w:spacing w:after="80"/>
      </w:pPr>
      <w:r>
        <w:rPr>
          <w:rFonts w:ascii="Arial" w:cs="Arial" w:eastAsia="Arial" w:hAnsi="Arial"/>
          <w:sz w:val="20"/>
          <w:szCs w:val="20"/>
        </w:rPr>
        <w:t xml:space="preserve">European Commission: AI Act Policy Page — digital-strategy.ec.europa.eu</w:t>
      </w:r>
    </w:p>
    <w:p>
      <w:pPr>
        <w:pStyle w:val="ListParagraph"/>
        <w:numPr>
          <w:ilvl w:val="0"/>
          <w:numId w:val="2"/>
        </w:numPr>
        <w:spacing w:after="80"/>
      </w:pPr>
      <w:r>
        <w:rPr>
          <w:rFonts w:ascii="Arial" w:cs="Arial" w:eastAsia="Arial" w:hAnsi="Arial"/>
          <w:sz w:val="20"/>
          <w:szCs w:val="20"/>
        </w:rPr>
        <w:t xml:space="preserve">EU Artificial Intelligence Act (artificialintelligenceact.eu) — full text and analysis</w:t>
      </w:r>
    </w:p>
    <w:p>
      <w:pPr>
        <w:pStyle w:val="ListParagraph"/>
        <w:numPr>
          <w:ilvl w:val="0"/>
          <w:numId w:val="2"/>
        </w:numPr>
        <w:spacing w:after="80"/>
      </w:pPr>
      <w:r>
        <w:rPr>
          <w:rFonts w:ascii="Arial" w:cs="Arial" w:eastAsia="Arial" w:hAnsi="Arial"/>
          <w:sz w:val="20"/>
          <w:szCs w:val="20"/>
        </w:rPr>
        <w:t xml:space="preserve">European Parliament: AI Act Topic Page — europarl.europa.eu</w:t>
      </w:r>
    </w:p>
    <w:p>
      <w:pPr>
        <w:pStyle w:val="ListParagraph"/>
        <w:numPr>
          <w:ilvl w:val="0"/>
          <w:numId w:val="2"/>
        </w:numPr>
        <w:spacing w:after="80"/>
      </w:pPr>
      <w:r>
        <w:rPr>
          <w:rFonts w:ascii="Arial" w:cs="Arial" w:eastAsia="Arial" w:hAnsi="Arial"/>
          <w:sz w:val="20"/>
          <w:szCs w:val="20"/>
        </w:rPr>
        <w:t xml:space="preserve">Council of the EU: Dec 9, 2023 Political Agreement Press Release — consilium.europa.eu</w:t>
      </w:r>
    </w:p>
    <w:p>
      <w:pPr>
        <w:pStyle w:val="Heading3"/>
        <w:spacing w:after="120" w:before="200"/>
      </w:pPr>
      <w:r>
        <w:rPr>
          <w:rFonts w:ascii="Arial" w:cs="Arial" w:eastAsia="Arial" w:hAnsi="Arial"/>
          <w:b/>
          <w:bCs/>
          <w:color w:val="3D7ABF"/>
          <w:sz w:val="22"/>
          <w:szCs w:val="22"/>
        </w:rPr>
        <w:t xml:space="preserve">EU AI Act — Analysis</w:t>
      </w:r>
    </w:p>
    <w:p>
      <w:pPr>
        <w:pStyle w:val="ListParagraph"/>
        <w:numPr>
          <w:ilvl w:val="0"/>
          <w:numId w:val="2"/>
        </w:numPr>
        <w:spacing w:after="80"/>
      </w:pPr>
      <w:r>
        <w:rPr>
          <w:rFonts w:ascii="Arial" w:cs="Arial" w:eastAsia="Arial" w:hAnsi="Arial"/>
          <w:sz w:val="20"/>
          <w:szCs w:val="20"/>
        </w:rPr>
        <w:t xml:space="preserve">EY: The European Union Artificial Intelligence Act (July 2024)</w:t>
      </w:r>
    </w:p>
    <w:p>
      <w:pPr>
        <w:pStyle w:val="ListParagraph"/>
        <w:numPr>
          <w:ilvl w:val="0"/>
          <w:numId w:val="2"/>
        </w:numPr>
        <w:spacing w:after="80"/>
      </w:pPr>
      <w:r>
        <w:rPr>
          <w:rFonts w:ascii="Arial" w:cs="Arial" w:eastAsia="Arial" w:hAnsi="Arial"/>
          <w:sz w:val="20"/>
          <w:szCs w:val="20"/>
        </w:rPr>
        <w:t xml:space="preserve">White &amp; Case: Long Awaited EU AI Act Becomes Law</w:t>
      </w:r>
    </w:p>
    <w:p>
      <w:pPr>
        <w:pStyle w:val="ListParagraph"/>
        <w:numPr>
          <w:ilvl w:val="0"/>
          <w:numId w:val="2"/>
        </w:numPr>
        <w:spacing w:after="80"/>
      </w:pPr>
      <w:r>
        <w:rPr>
          <w:rFonts w:ascii="Arial" w:cs="Arial" w:eastAsia="Arial" w:hAnsi="Arial"/>
          <w:sz w:val="20"/>
          <w:szCs w:val="20"/>
        </w:rPr>
        <w:t xml:space="preserve">Stephenson Harwood: The EU AI Act Enforcement Overview</w:t>
      </w:r>
    </w:p>
    <w:p>
      <w:pPr>
        <w:pStyle w:val="ListParagraph"/>
        <w:numPr>
          <w:ilvl w:val="0"/>
          <w:numId w:val="2"/>
        </w:numPr>
        <w:spacing w:after="80"/>
      </w:pPr>
      <w:r>
        <w:rPr>
          <w:rFonts w:ascii="Arial" w:cs="Arial" w:eastAsia="Arial" w:hAnsi="Arial"/>
          <w:sz w:val="20"/>
          <w:szCs w:val="20"/>
        </w:rPr>
        <w:t xml:space="preserve">Orrick: The EU AI Act Oversight and Enforcement (Sept 2024)</w:t>
      </w:r>
    </w:p>
    <w:p>
      <w:pPr>
        <w:pStyle w:val="ListParagraph"/>
        <w:numPr>
          <w:ilvl w:val="0"/>
          <w:numId w:val="2"/>
        </w:numPr>
        <w:spacing w:after="80"/>
      </w:pPr>
      <w:r>
        <w:rPr>
          <w:rFonts w:ascii="Arial" w:cs="Arial" w:eastAsia="Arial" w:hAnsi="Arial"/>
          <w:sz w:val="20"/>
          <w:szCs w:val="20"/>
        </w:rPr>
        <w:t xml:space="preserve">Holistic AI: Penalties of the EU AI Act</w:t>
      </w:r>
    </w:p>
    <w:p>
      <w:pPr>
        <w:pStyle w:val="ListParagraph"/>
        <w:numPr>
          <w:ilvl w:val="0"/>
          <w:numId w:val="2"/>
        </w:numPr>
        <w:spacing w:after="80"/>
      </w:pPr>
      <w:r>
        <w:rPr>
          <w:rFonts w:ascii="Arial" w:cs="Arial" w:eastAsia="Arial" w:hAnsi="Arial"/>
          <w:sz w:val="20"/>
          <w:szCs w:val="20"/>
        </w:rPr>
        <w:t xml:space="preserve">Nemko Digital: EU AI Act 2025 Key Rules &amp; Compliance Guide</w:t>
      </w:r>
    </w:p>
    <w:p>
      <w:pPr>
        <w:pStyle w:val="Heading3"/>
        <w:spacing w:after="120" w:before="200"/>
      </w:pPr>
      <w:r>
        <w:rPr>
          <w:rFonts w:ascii="Arial" w:cs="Arial" w:eastAsia="Arial" w:hAnsi="Arial"/>
          <w:b/>
          <w:bCs/>
          <w:color w:val="3D7ABF"/>
          <w:sz w:val="22"/>
          <w:szCs w:val="22"/>
        </w:rPr>
        <w:t xml:space="preserve">EU vs US Comparison</w:t>
      </w:r>
    </w:p>
    <w:p>
      <w:pPr>
        <w:pStyle w:val="ListParagraph"/>
        <w:numPr>
          <w:ilvl w:val="0"/>
          <w:numId w:val="2"/>
        </w:numPr>
        <w:spacing w:after="80"/>
      </w:pPr>
      <w:r>
        <w:rPr>
          <w:rFonts w:ascii="Arial" w:cs="Arial" w:eastAsia="Arial" w:hAnsi="Arial"/>
          <w:sz w:val="20"/>
          <w:szCs w:val="20"/>
        </w:rPr>
        <w:t xml:space="preserve">Brookings Institution: The EU and US Diverge on AI Regulation</w:t>
      </w:r>
    </w:p>
    <w:p>
      <w:pPr>
        <w:pStyle w:val="ListParagraph"/>
        <w:numPr>
          <w:ilvl w:val="0"/>
          <w:numId w:val="2"/>
        </w:numPr>
        <w:spacing w:after="80"/>
      </w:pPr>
      <w:r>
        <w:rPr>
          <w:rFonts w:ascii="Arial" w:cs="Arial" w:eastAsia="Arial" w:hAnsi="Arial"/>
          <w:sz w:val="20"/>
          <w:szCs w:val="20"/>
        </w:rPr>
        <w:t xml:space="preserve">University of Chicago Business Law Review: Comparing the EU AI Act to Proposed US Legislation</w:t>
      </w:r>
    </w:p>
    <w:p>
      <w:pPr>
        <w:pStyle w:val="ListParagraph"/>
        <w:numPr>
          <w:ilvl w:val="0"/>
          <w:numId w:val="2"/>
        </w:numPr>
        <w:spacing w:after="80"/>
      </w:pPr>
      <w:r>
        <w:rPr>
          <w:rFonts w:ascii="Arial" w:cs="Arial" w:eastAsia="Arial" w:hAnsi="Arial"/>
          <w:sz w:val="20"/>
          <w:szCs w:val="20"/>
        </w:rPr>
        <w:t xml:space="preserve">Kennedys Law: Key Insights into AI Regulations in the EU and the US (2025)</w:t>
      </w:r>
    </w:p>
    <w:p>
      <w:pPr>
        <w:pStyle w:val="ListParagraph"/>
        <w:numPr>
          <w:ilvl w:val="0"/>
          <w:numId w:val="2"/>
        </w:numPr>
        <w:spacing w:after="80"/>
      </w:pPr>
      <w:r>
        <w:rPr>
          <w:rFonts w:ascii="Arial" w:cs="Arial" w:eastAsia="Arial" w:hAnsi="Arial"/>
          <w:sz w:val="20"/>
          <w:szCs w:val="20"/>
        </w:rPr>
        <w:t xml:space="preserve">National Law Review: The Difference Between EU and US AI Regulation</w:t>
      </w:r>
    </w:p>
    <w:p>
      <w:pPr>
        <w:pStyle w:val="Heading3"/>
        <w:spacing w:after="120" w:before="200"/>
      </w:pPr>
      <w:r>
        <w:rPr>
          <w:rFonts w:ascii="Arial" w:cs="Arial" w:eastAsia="Arial" w:hAnsi="Arial"/>
          <w:b/>
          <w:bCs/>
          <w:color w:val="3D7ABF"/>
          <w:sz w:val="22"/>
          <w:szCs w:val="22"/>
        </w:rPr>
        <w:t xml:space="preserve">US Federal Proposals</w:t>
      </w:r>
    </w:p>
    <w:p>
      <w:pPr>
        <w:pStyle w:val="ListParagraph"/>
        <w:numPr>
          <w:ilvl w:val="0"/>
          <w:numId w:val="2"/>
        </w:numPr>
        <w:spacing w:after="80"/>
      </w:pPr>
      <w:r>
        <w:rPr>
          <w:rFonts w:ascii="Arial" w:cs="Arial" w:eastAsia="Arial" w:hAnsi="Arial"/>
          <w:sz w:val="20"/>
          <w:szCs w:val="20"/>
        </w:rPr>
        <w:t xml:space="preserve">Sen. Blackburn Press Release: National Policy Framework for AI (March 2026) — blackburn.senate.gov</w:t>
      </w:r>
    </w:p>
    <w:p>
      <w:pPr>
        <w:pStyle w:val="ListParagraph"/>
        <w:numPr>
          <w:ilvl w:val="0"/>
          <w:numId w:val="2"/>
        </w:numPr>
        <w:spacing w:after="80"/>
      </w:pPr>
      <w:r>
        <w:rPr>
          <w:rFonts w:ascii="Arial" w:cs="Arial" w:eastAsia="Arial" w:hAnsi="Arial"/>
          <w:sz w:val="20"/>
          <w:szCs w:val="20"/>
        </w:rPr>
        <w:t xml:space="preserve">Axios: Blackburn Rolls Out Updated AI Plan (March 18, 2026)</w:t>
      </w:r>
    </w:p>
    <w:p>
      <w:pPr>
        <w:pStyle w:val="ListParagraph"/>
        <w:numPr>
          <w:ilvl w:val="0"/>
          <w:numId w:val="2"/>
        </w:numPr>
        <w:spacing w:after="80"/>
      </w:pPr>
      <w:r>
        <w:rPr>
          <w:rFonts w:ascii="Arial" w:cs="Arial" w:eastAsia="Arial" w:hAnsi="Arial"/>
          <w:sz w:val="20"/>
          <w:szCs w:val="20"/>
        </w:rPr>
        <w:t xml:space="preserve">Sidley Austin: Unpacking the December 11, 2025 Executive Order</w:t>
      </w:r>
    </w:p>
    <w:p>
      <w:pPr>
        <w:pStyle w:val="ListParagraph"/>
        <w:numPr>
          <w:ilvl w:val="0"/>
          <w:numId w:val="2"/>
        </w:numPr>
        <w:spacing w:after="80"/>
      </w:pPr>
      <w:r>
        <w:rPr>
          <w:rFonts w:ascii="Arial" w:cs="Arial" w:eastAsia="Arial" w:hAnsi="Arial"/>
          <w:sz w:val="20"/>
          <w:szCs w:val="20"/>
        </w:rPr>
        <w:t xml:space="preserve">Jones Walker: The TRUMP America AI Act Analysis</w:t>
      </w:r>
    </w:p>
    <w:p>
      <w:pPr>
        <w:pStyle w:val="ListParagraph"/>
        <w:numPr>
          <w:ilvl w:val="0"/>
          <w:numId w:val="2"/>
        </w:numPr>
        <w:spacing w:after="80"/>
      </w:pPr>
      <w:r>
        <w:rPr>
          <w:rFonts w:ascii="Arial" w:cs="Arial" w:eastAsia="Arial" w:hAnsi="Arial"/>
          <w:sz w:val="20"/>
          <w:szCs w:val="20"/>
        </w:rPr>
        <w:t xml:space="preserve">Creati.ai: Sen. Blackburn Introduces Trump America AI Act</w:t>
      </w:r>
    </w:p>
    <w:p>
      <w:pPr>
        <w:pStyle w:val="ListParagraph"/>
        <w:numPr>
          <w:ilvl w:val="0"/>
          <w:numId w:val="2"/>
        </w:numPr>
        <w:spacing w:after="80"/>
      </w:pPr>
      <w:r>
        <w:rPr>
          <w:rFonts w:ascii="Arial" w:cs="Arial" w:eastAsia="Arial" w:hAnsi="Arial"/>
          <w:sz w:val="20"/>
          <w:szCs w:val="20"/>
        </w:rPr>
        <w:t xml:space="preserve">Fox Rothschild: TRUMP America AI Act Bill Analysis</w:t>
      </w:r>
    </w:p>
    <w:p>
      <w:pPr>
        <w:pStyle w:val="ListParagraph"/>
        <w:numPr>
          <w:ilvl w:val="0"/>
          <w:numId w:val="2"/>
        </w:numPr>
        <w:spacing w:after="80"/>
      </w:pPr>
      <w:r>
        <w:rPr>
          <w:rFonts w:ascii="Arial" w:cs="Arial" w:eastAsia="Arial" w:hAnsi="Arial"/>
          <w:sz w:val="20"/>
          <w:szCs w:val="20"/>
        </w:rPr>
        <w:t xml:space="preserve">Congress.gov (CRS): Regulating Artificial Intelligence — US and International Approaches (R48555)</w:t>
      </w:r>
    </w:p>
    <w:p>
      <w:pPr>
        <w:pStyle w:val="Heading3"/>
        <w:spacing w:after="120" w:before="200"/>
      </w:pPr>
      <w:r>
        <w:rPr>
          <w:rFonts w:ascii="Arial" w:cs="Arial" w:eastAsia="Arial" w:hAnsi="Arial"/>
          <w:b/>
          <w:bCs/>
          <w:color w:val="3D7ABF"/>
          <w:sz w:val="22"/>
          <w:szCs w:val="22"/>
        </w:rPr>
        <w:t xml:space="preserve">US State Laws</w:t>
      </w:r>
    </w:p>
    <w:p>
      <w:pPr>
        <w:pStyle w:val="ListParagraph"/>
        <w:numPr>
          <w:ilvl w:val="0"/>
          <w:numId w:val="2"/>
        </w:numPr>
        <w:spacing w:after="80"/>
      </w:pPr>
      <w:r>
        <w:rPr>
          <w:rFonts w:ascii="Arial" w:cs="Arial" w:eastAsia="Arial" w:hAnsi="Arial"/>
          <w:sz w:val="20"/>
          <w:szCs w:val="20"/>
        </w:rPr>
        <w:t xml:space="preserve">King &amp; Spalding: New State AI Laws Effective January 1, 2026</w:t>
      </w:r>
    </w:p>
    <w:p>
      <w:pPr>
        <w:pStyle w:val="ListParagraph"/>
        <w:numPr>
          <w:ilvl w:val="0"/>
          <w:numId w:val="2"/>
        </w:numPr>
        <w:spacing w:after="80"/>
      </w:pPr>
      <w:r>
        <w:rPr>
          <w:rFonts w:ascii="Arial" w:cs="Arial" w:eastAsia="Arial" w:hAnsi="Arial"/>
          <w:sz w:val="20"/>
          <w:szCs w:val="20"/>
        </w:rPr>
        <w:t xml:space="preserve">Drata: AI Regulations State and Federal AI Laws 2026</w:t>
      </w:r>
    </w:p>
    <w:p>
      <w:pPr>
        <w:pStyle w:val="ListParagraph"/>
        <w:numPr>
          <w:ilvl w:val="0"/>
          <w:numId w:val="2"/>
        </w:numPr>
        <w:spacing w:after="80"/>
      </w:pPr>
      <w:r>
        <w:rPr>
          <w:rFonts w:ascii="Arial" w:cs="Arial" w:eastAsia="Arial" w:hAnsi="Arial"/>
          <w:sz w:val="20"/>
          <w:szCs w:val="20"/>
        </w:rPr>
        <w:t xml:space="preserve">Baker Botts: US AI Law Update (January 2026)</w:t>
      </w:r>
    </w:p>
    <w:p>
      <w:pPr>
        <w:pStyle w:val="ListParagraph"/>
        <w:numPr>
          <w:ilvl w:val="0"/>
          <w:numId w:val="2"/>
        </w:numPr>
        <w:spacing w:after="80"/>
      </w:pPr>
      <w:r>
        <w:rPr>
          <w:rFonts w:ascii="Arial" w:cs="Arial" w:eastAsia="Arial" w:hAnsi="Arial"/>
          <w:sz w:val="20"/>
          <w:szCs w:val="20"/>
        </w:rPr>
        <w:t xml:space="preserve">Seyfarth Shaw: AI Legal Roundup — Colorado, California, Illinois</w:t>
      </w:r>
    </w:p>
    <w:p>
      <w:pPr>
        <w:pStyle w:val="ListParagraph"/>
        <w:numPr>
          <w:ilvl w:val="0"/>
          <w:numId w:val="2"/>
        </w:numPr>
        <w:spacing w:after="80"/>
      </w:pPr>
      <w:r>
        <w:rPr>
          <w:rFonts w:ascii="Arial" w:cs="Arial" w:eastAsia="Arial" w:hAnsi="Arial"/>
          <w:sz w:val="20"/>
          <w:szCs w:val="20"/>
        </w:rPr>
        <w:t xml:space="preserve">White &amp; Case: State AI Laws Under Federal Scrutiny (2025 EO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SeattleWren — EU AI Act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7AB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2026-03-27T20:50:11.447Z</dcterms:created>
  <dcterms:modified xsi:type="dcterms:W3CDTF">2026-03-27T20:50:11.447Z</dcterms:modified>
</cp:coreProperties>
</file>

<file path=docProps/custom.xml><?xml version="1.0" encoding="utf-8"?>
<Properties xmlns="http://schemas.openxmlformats.org/officeDocument/2006/custom-properties" xmlns:vt="http://schemas.openxmlformats.org/officeDocument/2006/docPropsVTypes"/>
</file>