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NIS2 – IAM-kontroller i Microsoft Entra ID</w:t>
      </w:r>
    </w:p>
    <w:p>
      <w:r>
        <w:rPr>
          <w:rFonts w:ascii="Arial" w:cs="Arial" w:eastAsia="Arial" w:hAnsi="Arial"/>
          <w:color w:val="7F8C8D"/>
          <w:sz w:val="22"/>
          <w:szCs w:val="22"/>
        </w:rPr>
        <w:t xml:space="preserve">Mappning av NIS2 artikel 21-krav mot Entra ID-kontroller och genomförda labb</w:t>
      </w:r>
    </w:p>
    <w:p>
      <w:pPr>
        <w:spacing w:after="30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Johan Wallén-Sjöö  |  IAM &amp; Microsoft Entra ID  |  April 2026</w:t>
      </w:r>
    </w:p>
    <w:p>
      <w:pPr>
        <w:pBdr>
          <w:bottom w:val="single" w:color="1F4E79" w:sz="6" w:space="1"/>
        </w:pBdr>
        <w:spacing w:after="300"/>
      </w:pPr>
      <w:r>
        <w:t xml:space="preserve"/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1000"/>
        <w:gridCol w:w="7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NIS2-krav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Vad krävs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 ID-kontroll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Art. 21.2(a) – Riskanalys och informationssäkerhetspolicyer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Dokumenterade policyer för åtkomstkontroll och identitetshantering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8"/>
                <w:szCs w:val="18"/>
              </w:rPr>
              <w:t xml:space="preserve">Entra ID Baseline + Zero Trust IAM Baseline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Lab 01, IAM Baseline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✅ Klar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Art. 21.2(b) – Incidenthantering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Förmåga att detektera och rapportera säkerhetsincidenter kopplat till identiteter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8"/>
                <w:szCs w:val="18"/>
              </w:rPr>
              <w:t xml:space="preserve">Identity Protection – User Risk &amp; Sign-in Risk policies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Lab 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✅ Klar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Art. 21.2(e) – Säkerhet i nätverk och informationssystem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Kontroll av vem som har åtkomst till vilka system och under vilka villkor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8"/>
                <w:szCs w:val="18"/>
              </w:rPr>
              <w:t xml:space="preserve">Conditional Access – MFA, geoblockering, phishing-resistant MFA för admins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Lab 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✅ Klar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Art. 21.2(i) – Flerfaktorsautentisering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MFA ska vara aktiverat, passwordless rekommenderas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8"/>
                <w:szCs w:val="18"/>
              </w:rPr>
              <w:t xml:space="preserve">Microsoft Authenticator, Number Matching, Passwordless Phone Sign-in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Lab 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✅ Klar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Art. 21.2(i) – Privilegierade konton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Privilegierade konton ska vara tidsbegränsade och godkännas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8"/>
                <w:szCs w:val="18"/>
              </w:rPr>
              <w:t xml:space="preserve">Privileged Identity Management (PIM) – Eligible roles, approval workflow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Lab 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✅ Klar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Art. 21.2(a) – Hantering av externa parter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Externa användare ska ha begränsad åtkomst och granskas regelbundet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8"/>
                <w:szCs w:val="18"/>
              </w:rPr>
              <w:t xml:space="preserve">B2B External Identities + Access Reviews för gästanvändare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Lab 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✅ Klar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Art. 21.2(a) – Åtkomstkontroll och behörighetshantering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Rätt person ska ha rätt åtkomst vid rätt tidpunkt – JML-processer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8"/>
                <w:szCs w:val="18"/>
              </w:rPr>
              <w:t xml:space="preserve">Entitlement Management – Access Packages, godkännandeflöde, livscykelhantering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Lab 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✅ Klar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Art. 21.2(b) – Revisionsspårning och loggning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Audit trail för alla åtkomsthändelser och administrativa åtgärder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8"/>
                <w:szCs w:val="18"/>
              </w:rPr>
              <w:t xml:space="preserve">Entra Audit Logs, Sign-in Logs, PIM Resource Audit – KQL via Log Analytics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Lab 07, planerat Lab 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⏳ Delvis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Art. 21.2(d) – Leveranskedjesäkerhet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Applikationer som integreras med organisationens identitetsplattform ska vara säkert konfigurerade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8"/>
                <w:szCs w:val="18"/>
              </w:rPr>
              <w:t xml:space="preserve">App Registrations, OAuth2, SAML SSO – Principle of Least Privilege för appar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Lab 03, Lab 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✅ Klar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Art. 21.2(e) – Least Privilege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Ingen ska ha mer åtkomst än vad som krävs för arbetsuppgiften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8"/>
                <w:szCs w:val="18"/>
              </w:rPr>
              <w:t xml:space="preserve">RBAC, Administrative Units, Eligible vs Active roller i PIM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Lab 01, Lab 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✅ Klar</w:t>
            </w:r>
          </w:p>
        </w:tc>
      </w:tr>
    </w:tbl>
    <w:p>
      <w:pPr>
        <w:spacing w:before="300"/>
      </w:pPr>
      <w:r>
        <w:t xml:space="preserve"/>
      </w:r>
    </w:p>
    <w:p>
      <w:r>
        <w:rPr>
          <w:rFonts w:ascii="Arial" w:cs="Arial" w:eastAsia="Arial" w:hAnsi="Arial"/>
          <w:i/>
          <w:iCs/>
          <w:color w:val="95A5A6"/>
          <w:sz w:val="16"/>
          <w:szCs w:val="16"/>
        </w:rPr>
        <w:t xml:space="preserve">Källa: NIS2-direktivet (EU) 2022/2555, Artikel 21 – Cybersäkerhetsåtgärder. Kontroller implementerade i Microsoft Entra ID P2-labbmiljö.</w:t>
      </w:r>
    </w:p>
    <w:sectPr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2026-04-19T07:08:25.075Z</dcterms:created>
  <dcterms:modified xsi:type="dcterms:W3CDTF">2026-04-19T07:08:25.076Z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