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74E1DB43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1A784B63" w:rsidR="1A784B63">
        <w:rPr>
          <w:rFonts w:ascii="Ebrima" w:hAnsi="Ebrima" w:eastAsia="Ebrima" w:cs="Ebrima"/>
          <w:b w:val="1"/>
          <w:bCs w:val="1"/>
          <w:lang w:eastAsia="de-CH"/>
        </w:rPr>
        <w:t>Buch Pro MERN Stack / Kapitel 5: The About API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1A784B63" w14:paraId="29C4F4C5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1A784B63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08DE4B92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Use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same URL in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browser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well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command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line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cURL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example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, type </w:t>
            </w:r>
            <w:r w:rsidRPr="1A784B63" w:rsidR="1A784B63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curl</w:t>
            </w:r>
            <w:r w:rsidRPr="1A784B63" w:rsidR="1A784B63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http://localhost:3000/graphql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which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same URL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used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browser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invoke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copy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paste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curl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command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used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doing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a GET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about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see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? Can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explain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difference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: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Compare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headers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3099A1FF" w14:textId="0B3B2F7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Das Aufrufen derselben URL hat unterschiedliche Auswirkungen:</w:t>
            </w:r>
          </w:p>
          <w:p w:rsidR="1A784B63" w:rsidP="1A784B63" w:rsidRDefault="1A784B63" w14:paraId="2F9D4C0C" w14:textId="6B3022C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ind w:left="270" w:hanging="180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Browser: Widergabe der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-Benutzeroberfläche</w:t>
            </w:r>
          </w:p>
          <w:p w:rsidR="1A784B63" w:rsidP="1A784B63" w:rsidRDefault="1A784B63" w14:paraId="2317D6E7" w14:textId="3F7C4A4F">
            <w:pPr>
              <w:pStyle w:val="Listenabsatz"/>
              <w:numPr>
                <w:ilvl w:val="0"/>
                <w:numId w:val="9"/>
              </w:numPr>
              <w:spacing w:after="0" w:line="240" w:lineRule="auto"/>
              <w:ind w:left="270" w:hanging="180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cURL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: Aufruf der API</w:t>
            </w:r>
          </w:p>
          <w:p w:rsidR="1A784B63" w:rsidP="1A784B63" w:rsidRDefault="1A784B63" w14:paraId="7699245E" w14:textId="082566CA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Der Unterschied wird durch die Auswertung des “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Accept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”-Headers durch den Apollo Server verursacht.</w:t>
            </w:r>
          </w:p>
          <w:p w:rsidR="1A784B63" w:rsidP="1A784B63" w:rsidRDefault="1A784B63" w14:paraId="6B152829" w14:textId="68252B1A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1A784B63" w:rsidRDefault="1A784B63" w14:paraId="469D0814" w14:textId="56703DA1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Der “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Accept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”-Header ist ein Teil der HTTP-Anfrage, der angibt, welche Medientypen der Client akzeptieren kann. In diesem Fall analysiert der Apollo Server den “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Accept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”-Header. Wenn er den Wert “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text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/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html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” erkennt, was typisch für Browser-Anfragen ist, liefert er die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-Benutzeroberfläche. Andernfalls führt er die entsprechende API-Aktion aus.</w:t>
            </w:r>
          </w:p>
        </w:tc>
      </w:tr>
      <w:tr w:rsidR="1A784B63" w:rsidTr="1A784B63" w14:paraId="60927459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60C82837" w14:textId="2C85FE40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pros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cons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GET vs. POST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read-only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API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calls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3EED71CB" w14:textId="3DE4AC16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Caching: GET-Anfragen werden zwischengespeichert im Cache. Das hat unterschiedliche Auswirkungen je Browser, welche sich nicht vorhersagen lassen. Deshalb sollten API-Ergebnisse vom Server abgerufen werden und nicht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gecacht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werden.</w:t>
            </w:r>
          </w:p>
          <w:p w:rsidR="1A784B63" w:rsidP="1A784B63" w:rsidRDefault="1A784B63" w14:paraId="0C1A4FF8" w14:textId="6213F6DC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1A784B63" w:rsidRDefault="1A784B63" w14:paraId="4980E321" w14:textId="652C7674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Deshalb ist in diesen Fällen die Verwendung von POST sicherer, 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da</w:t>
            </w: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 xml:space="preserve"> Browser die Ergebnisse bei POST nicht zwischenspeichern.</w:t>
            </w:r>
          </w:p>
        </w:tc>
      </w:tr>
    </w:tbl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1A784B63"/>
    <w:rsid w:val="1BA55179"/>
    <w:rsid w:val="22699781"/>
    <w:rsid w:val="22B6B4CD"/>
    <w:rsid w:val="3BC84BFF"/>
    <w:rsid w:val="45C7E970"/>
    <w:rsid w:val="47EBB1FC"/>
    <w:rsid w:val="52B08A20"/>
    <w:rsid w:val="6481AC08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28</revision>
  <dcterms:created xsi:type="dcterms:W3CDTF">2023-02-08T18:48:00.0000000Z</dcterms:created>
  <dcterms:modified xsi:type="dcterms:W3CDTF">2023-11-26T17:23:02.2641786Z</dcterms:modified>
</coreProperties>
</file>