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920"/>
      </w:pPr>
    </w:p>
    <w:p>
      <w:pPr>
        <w:pStyle w:val="ProtocolKicker"/>
        <w:jc w:val="center"/>
      </w:pPr>
      <w:r>
        <w:rPr>
          <w:rFonts w:ascii="Calibri" w:hAnsi="Calibri"/>
          <w:b/>
          <w:color w:val="7A5A00"/>
          <w:sz w:val="20"/>
        </w:rPr>
        <w:t>OUTCOME-BLIND STAGE-2 RESEARCH PROTOCOL</w:t>
      </w:r>
    </w:p>
    <w:p>
      <w:pPr>
        <w:pStyle w:val="Title"/>
      </w:pPr>
      <w:r>
        <w:t>How Much Do Information Timing and</w:t>
        <w:br/>
        <w:t>Implementation Choices Shift A-Share Factor Evidence?</w:t>
      </w:r>
    </w:p>
    <w:p>
      <w:pPr>
        <w:pStyle w:val="Subtitle"/>
      </w:pPr>
      <w:r>
        <w:t>A Pre-Specified Bias Decomposition</w:t>
      </w:r>
    </w:p>
    <w:p>
      <w:pPr>
        <w:spacing w:before="120" w:after="560"/>
        <w:jc w:val="center"/>
      </w:pPr>
      <w:r>
        <w:rPr>
          <w:rFonts w:ascii="Calibri" w:hAnsi="Calibri"/>
          <w:i/>
          <w:color w:val="5F6B76"/>
          <w:sz w:val="22"/>
        </w:rPr>
        <w:t>Registered-report protocol and journal-pathway package</w:t>
      </w:r>
    </w:p>
    <w:tbl>
      <w:tblPr>
        <w:tblW w:type="dxa" w:w="9360"/>
        <w:jc w:val="left"/>
        <w:tblLayout w:type="fixed"/>
        <w:tblLook w:firstColumn="1" w:firstRow="1" w:lastColumn="0" w:lastRow="0" w:noHBand="0" w:noVBand="1" w:val="04A0"/>
        <w:tblInd w:type="dxa" w:w="120"/>
        <w:tblBorders>
          <w:top w:val="single" w:sz="4" w:color="D7DBE2"/>
          <w:left w:val="single" w:sz="4" w:color="D7DBE2"/>
          <w:bottom w:val="single" w:sz="4" w:color="D7DBE2"/>
          <w:right w:val="single" w:sz="4" w:color="D7DBE2"/>
          <w:insideH w:val="single" w:sz="4" w:color="D7DBE2"/>
          <w:insideV w:val="single" w:sz="4" w:color="D7DBE2"/>
        </w:tblBorders>
      </w:tblPr>
      <w:tblGrid>
        <w:gridCol w:w="9360"/>
      </w:tblGrid>
      <w:tr>
        <w:trPr>
          <w:cantSplit/>
        </w:trPr>
        <w:tc>
          <w:tcPr>
            <w:tcW w:type="dxa" w:w="9360"/>
            <w:shd w:fill="FFF5D6"/>
            <w:vAlign w:val="center"/>
            <w:tcMar>
              <w:top w:w="80" w:type="dxa"/>
              <w:bottom w:w="80" w:type="dxa"/>
              <w:start w:w="120" w:type="dxa"/>
              <w:end w:w="120" w:type="dxa"/>
            </w:tcMar>
          </w:tcPr>
          <w:p>
            <w:pPr>
              <w:keepNext/>
              <w:spacing w:after="80"/>
            </w:pPr>
            <w:r/>
            <w:r>
              <w:rPr>
                <w:rFonts w:ascii="Calibri" w:hAnsi="Calibri"/>
                <w:b/>
                <w:color w:val="7A5A00"/>
                <w:sz w:val="18"/>
              </w:rPr>
              <w:t>CURRENT STATUS</w:t>
            </w:r>
          </w:p>
          <w:p>
            <w:pPr>
              <w:spacing w:after="0" w:line="276" w:lineRule="auto"/>
            </w:pPr>
            <w:r>
              <w:t>Draft for data-feasibility and editorial review. The 2023-2026 pilot has already been observed and is disclosed only as an empirical precondition. Stage-2 outcomes have not been run.</w:t>
            </w:r>
          </w:p>
        </w:tc>
      </w:tr>
    </w:tbl>
    <w:p>
      <w:pPr>
        <w:spacing w:after="40"/>
      </w:pPr>
    </w:p>
    <w:p>
      <w:pPr>
        <w:spacing w:after="560"/>
      </w:pPr>
    </w:p>
    <w:p>
      <w:pPr>
        <w:spacing w:after="60"/>
        <w:jc w:val="center"/>
      </w:pPr>
      <w:r>
        <w:rPr>
          <w:rFonts w:ascii="Calibri" w:hAnsi="Calibri"/>
          <w:b/>
          <w:color w:val="0B2545"/>
          <w:sz w:val="19"/>
        </w:rPr>
        <w:t xml:space="preserve">Intended route: </w:t>
      </w:r>
      <w:r>
        <w:rPr>
          <w:rFonts w:ascii="Calibri" w:hAnsi="Calibri"/>
          <w:color w:val="5F6B76"/>
          <w:sz w:val="19"/>
        </w:rPr>
        <w:t>Pacific-Basin Finance Journal hybrid pre-registration pathway</w:t>
      </w:r>
    </w:p>
    <w:p>
      <w:pPr>
        <w:spacing w:after="60"/>
        <w:jc w:val="center"/>
      </w:pPr>
      <w:r>
        <w:rPr>
          <w:rFonts w:ascii="Calibri" w:hAnsi="Calibri"/>
          <w:b/>
          <w:color w:val="0B2545"/>
          <w:sz w:val="19"/>
        </w:rPr>
        <w:t xml:space="preserve">Protocol date: </w:t>
      </w:r>
      <w:r>
        <w:rPr>
          <w:rFonts w:ascii="Calibri" w:hAnsi="Calibri"/>
          <w:color w:val="5F6B76"/>
          <w:sz w:val="19"/>
        </w:rPr>
        <w:t>1 September 2026</w:t>
      </w:r>
    </w:p>
    <w:p>
      <w:pPr>
        <w:spacing w:after="60"/>
        <w:jc w:val="center"/>
      </w:pPr>
      <w:r>
        <w:rPr>
          <w:rFonts w:ascii="Calibri" w:hAnsi="Calibri"/>
          <w:b/>
          <w:color w:val="0B2545"/>
          <w:sz w:val="19"/>
        </w:rPr>
        <w:t xml:space="preserve">Authors: </w:t>
      </w:r>
      <w:r>
        <w:rPr>
          <w:rFonts w:ascii="Calibri" w:hAnsi="Calibri"/>
          <w:color w:val="5F6B76"/>
          <w:sz w:val="19"/>
        </w:rPr>
        <w:t>To be confirmed before external submission</w:t>
      </w:r>
    </w:p>
    <w:p>
      <w:pPr>
        <w:spacing w:after="60"/>
        <w:jc w:val="center"/>
      </w:pPr>
      <w:r>
        <w:rPr>
          <w:rFonts w:ascii="Calibri" w:hAnsi="Calibri"/>
          <w:b/>
          <w:color w:val="0B2545"/>
          <w:sz w:val="19"/>
        </w:rPr>
        <w:t xml:space="preserve">Repository role: </w:t>
      </w:r>
      <w:r>
        <w:rPr>
          <w:rFonts w:ascii="Calibri" w:hAnsi="Calibri"/>
          <w:color w:val="5F6B76"/>
          <w:sz w:val="19"/>
        </w:rPr>
        <w:t>Implementation and evidence infrastructure; not the scientific contribution</w:t>
      </w:r>
    </w:p>
    <w:p>
      <w:pPr>
        <w:spacing w:after="760"/>
      </w:pPr>
    </w:p>
    <w:p>
      <w:pPr>
        <w:pStyle w:val="ProtocolSmall"/>
        <w:jc w:val="center"/>
      </w:pPr>
      <w:r>
        <w:t>No performance, generalization, trading-readiness, or revision-history claim is authorized by this draft.</w:t>
      </w:r>
    </w:p>
    <w:p>
      <w:r>
        <w:br w:type="page"/>
      </w:r>
    </w:p>
    <w:p>
      <w:pPr>
        <w:pStyle w:val="Heading1"/>
      </w:pPr>
      <w:r>
        <w:t>Protocol at a glance</w:t>
      </w:r>
    </w:p>
    <w:p>
      <w:r>
        <w:t>This protocol converts a short, already-observed factor replication into a publishable measurement question: how much does each information-set and implementation convention shift the evidence? It is deliberately designed so null, negative, and sign-reversing outcomes remain publishable.</w:t>
      </w:r>
    </w:p>
    <w:p>
      <w:pPr>
        <w:pStyle w:val="ProtocolCaption"/>
        <w:keepNext/>
      </w:pPr>
      <w:r>
        <w:t>Table 1. Current evidence and authorization boundary</w:t>
      </w:r>
    </w:p>
    <w:tbl>
      <w:tblPr>
        <w:tblW w:type="dxa" w:w="9360"/>
        <w:jc w:val="left"/>
        <w:tblLayout w:type="fixed"/>
        <w:tblLook w:firstColumn="1" w:firstRow="1" w:lastColumn="0" w:lastRow="0" w:noHBand="0" w:noVBand="1" w:val="04A0"/>
        <w:tblInd w:type="dxa" w:w="120"/>
        <w:tblBorders>
          <w:top w:val="single" w:sz="4" w:color="CBD2D9"/>
          <w:left w:val="single" w:sz="4" w:color="CBD2D9"/>
          <w:bottom w:val="single" w:sz="4" w:color="CBD2D9"/>
          <w:right w:val="single" w:sz="4" w:color="CBD2D9"/>
          <w:insideH w:val="single" w:sz="4" w:color="CBD2D9"/>
          <w:insideV w:val="single" w:sz="4" w:color="CBD2D9"/>
        </w:tblBorders>
      </w:tblPr>
      <w:tblGrid>
        <w:gridCol w:w="1800"/>
        <w:gridCol w:w="2200"/>
        <w:gridCol w:w="5360"/>
      </w:tblGrid>
      <w:tr>
        <w:trPr>
          <w:cantSplit/>
          <w:tblHeader w:val="true"/>
        </w:trPr>
        <w:tc>
          <w:tcPr>
            <w:tcW w:type="dxa" w:w="180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8"/>
              </w:rPr>
              <w:t>Object</w:t>
            </w:r>
          </w:p>
        </w:tc>
        <w:tc>
          <w:tcPr>
            <w:tcW w:type="dxa" w:w="220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8"/>
              </w:rPr>
              <w:t>Status</w:t>
            </w:r>
          </w:p>
        </w:tc>
        <w:tc>
          <w:tcPr>
            <w:tcW w:type="dxa" w:w="536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8"/>
              </w:rPr>
              <w:t>Authorized interpretation</w:t>
            </w:r>
          </w:p>
        </w:tc>
      </w:tr>
      <w:tr>
        <w:trPr>
          <w:cantSplit/>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Pilot</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Observed and receipt-bound</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Descriptive empirical precondition only</w:t>
            </w:r>
          </w:p>
        </w:tc>
      </w:tr>
      <w:tr>
        <w:trPr>
          <w:cantSplit/>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Stage-2 protocol</w:t>
            </w:r>
          </w:p>
        </w:tc>
        <w:tc>
          <w:tcPr>
            <w:tcW w:type="dxa" w:w="22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Draft; not externally registered</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Methods may be reviewed outcome-blind</w:t>
            </w:r>
          </w:p>
        </w:tc>
      </w:tr>
      <w:tr>
        <w:trPr>
          <w:cantSplit/>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2010-2022 outcome panel</w:t>
            </w:r>
          </w:p>
        </w:tc>
        <w:tc>
          <w:tcPr>
            <w:tcW w:type="dxa" w:w="2200"/>
            <w:shd w:fill="FCE8E8"/>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Blocked</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Current quotes start in 2023; zero target months available</w:t>
            </w:r>
          </w:p>
        </w:tc>
      </w:tr>
      <w:tr>
        <w:trPr>
          <w:cantSplit/>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Execution evidence</w:t>
            </w:r>
          </w:p>
        </w:tc>
        <w:tc>
          <w:tcPr>
            <w:tcW w:type="dxa" w:w="2200"/>
            <w:shd w:fill="FCE8E8"/>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Blocked</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Semantics, tradability fields, and rights not attested</w:t>
            </w:r>
          </w:p>
        </w:tc>
      </w:tr>
      <w:tr>
        <w:trPr>
          <w:cantSplit/>
        </w:trPr>
        <w:tc>
          <w:tcPr>
            <w:tcW w:type="dxa" w:w="18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Scientific claims</w:t>
            </w:r>
          </w:p>
        </w:tc>
        <w:tc>
          <w:tcPr>
            <w:tcW w:type="dxa" w:w="2200"/>
            <w:shd w:fill="FCE8E8"/>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Closed</w:t>
            </w:r>
          </w:p>
        </w:tc>
        <w:tc>
          <w:tcPr>
            <w:tcW w:type="dxa" w:w="53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7"/>
              </w:rPr>
              <w:t>Performance, generalization, trading, and revision-history flags remain false</w:t>
            </w:r>
          </w:p>
        </w:tc>
      </w:tr>
    </w:tbl>
    <w:p>
      <w:pPr>
        <w:pStyle w:val="Heading2"/>
      </w:pPr>
      <w:r>
        <w:t>Abstract</w:t>
      </w:r>
    </w:p>
    <w:p>
      <w:r>
        <w:t>Empirical factor evidence can be inflated when a backtest uses final survivors, dates accounting information at fiscal period end, assumes immediate implementation, or bundles tradability screens in an opaque sequence. We propose a pre-specified Shanghai and Shenzhen A-share study that decomposes these choices while reporting every registered cell.</w:t>
      </w:r>
    </w:p>
    <w:p>
      <w:r>
        <w:t>The design fixes one primary ROE signed-decrement estimand, a three-stage information-set chain, and the complete 2^4 factorial of ST exclusion, suspension exclusion, a 20-session amount floor, and a one-session lag. Primary inference uses a paired monthly IC difference and a Newey-West interval; the fixed 25-member secondary family uses BH control. Exact Shapley values allocate IC effects only within the four-component implementation block. The intended 2010-2022 sample has 156 rebalances, but the current quote bundle starts in 2023 and has no completed semantics, tradability, or rights attestation. Stage 2 is blocked.</w:t>
      </w:r>
    </w:p>
    <w:p>
      <w:pPr>
        <w:keepNext/>
        <w:jc w:val="center"/>
      </w:pPr>
      <w:r>
        <w:drawing>
          <wp:inline xmlns:a="http://schemas.openxmlformats.org/drawingml/2006/main" xmlns:pic="http://schemas.openxmlformats.org/drawingml/2006/picture">
            <wp:extent cx="5897880" cy="2580322"/>
            <wp:docPr id="1" name="Picture 1" descr="Evidence chain from disclosed pilot through hard gates to a locked Stage-2 study" title="Pre-specified evidence chain"/>
            <wp:cNvGraphicFramePr>
              <a:graphicFrameLocks noChangeAspect="1"/>
            </wp:cNvGraphicFramePr>
            <a:graphic>
              <a:graphicData uri="http://schemas.openxmlformats.org/drawingml/2006/picture">
                <pic:pic>
                  <pic:nvPicPr>
                    <pic:cNvPr id="0" name="stage2_evidence_chain.png"/>
                    <pic:cNvPicPr/>
                  </pic:nvPicPr>
                  <pic:blipFill>
                    <a:blip r:embed="rId11"/>
                    <a:stretch>
                      <a:fillRect/>
                    </a:stretch>
                  </pic:blipFill>
                  <pic:spPr>
                    <a:xfrm>
                      <a:off x="0" y="0"/>
                      <a:ext cx="5897880" cy="2580322"/>
                    </a:xfrm>
                    <a:prstGeom prst="rect"/>
                  </pic:spPr>
                </pic:pic>
              </a:graphicData>
            </a:graphic>
          </wp:inline>
        </w:drawing>
      </w:r>
    </w:p>
    <w:p>
      <w:pPr>
        <w:pStyle w:val="ProtocolCaption"/>
        <w:jc w:val="center"/>
      </w:pPr>
      <w:r>
        <w:t>Figure 1. Pre-specified evidence chain. No Stage-2 outcome is released before the gate and lock.</w:t>
      </w:r>
    </w:p>
    <w:p>
      <w:pPr>
        <w:pStyle w:val="Heading1"/>
      </w:pPr>
      <w:r>
        <w:t>Protocol map</w:t>
      </w:r>
    </w:p>
    <w:tbl>
      <w:tblPr>
        <w:tblW w:type="dxa" w:w="9360"/>
        <w:jc w:val="left"/>
        <w:tblLayout w:type="fixed"/>
        <w:tblLook w:firstColumn="1" w:firstRow="1" w:lastColumn="0" w:lastRow="0" w:noHBand="0" w:noVBand="1" w:val="04A0"/>
        <w:tblInd w:type="dxa" w:w="120"/>
        <w:tblBorders>
          <w:top w:val="single" w:sz="4" w:color="D7DBE2"/>
          <w:left w:val="single" w:sz="4" w:color="D7DBE2"/>
          <w:bottom w:val="single" w:sz="4" w:color="D7DBE2"/>
          <w:right w:val="single" w:sz="4" w:color="D7DBE2"/>
          <w:insideH w:val="single" w:sz="4" w:color="D7DBE2"/>
          <w:insideV w:val="single" w:sz="4" w:color="D7DBE2"/>
        </w:tblBorders>
      </w:tblPr>
      <w:tblGrid>
        <w:gridCol w:w="9360"/>
      </w:tblGrid>
      <w:tr>
        <w:trPr>
          <w:cantSplit/>
        </w:trPr>
        <w:tc>
          <w:tcPr>
            <w:tcW w:type="dxa" w:w="9360"/>
            <w:shd w:fill="E8EEF5"/>
            <w:vAlign w:val="center"/>
            <w:tcMar>
              <w:top w:w="80" w:type="dxa"/>
              <w:bottom w:w="80" w:type="dxa"/>
              <w:start w:w="120" w:type="dxa"/>
              <w:end w:w="120" w:type="dxa"/>
            </w:tcMar>
          </w:tcPr>
          <w:p>
            <w:pPr>
              <w:keepNext/>
              <w:spacing w:after="80"/>
            </w:pPr>
            <w:r/>
            <w:r>
              <w:rPr>
                <w:rFonts w:ascii="Calibri" w:hAnsi="Calibri"/>
                <w:b/>
                <w:color w:val="1F4D78"/>
                <w:sz w:val="18"/>
              </w:rPr>
              <w:t>EDITORIAL POSITIONING</w:t>
            </w:r>
          </w:p>
          <w:p>
            <w:pPr>
              <w:spacing w:after="0" w:line="276" w:lineRule="auto"/>
            </w:pPr>
            <w:r>
              <w:t>The paper leads with bias measurement, not a new anomaly and not the software repository. The pilot establishes a disclosed empirical precondition; the sealed historical outcome panel would estimate the magnitude and allocation of specification effects.</w:t>
            </w:r>
          </w:p>
        </w:tc>
      </w:tr>
    </w:tbl>
    <w:p>
      <w:pPr>
        <w:spacing w:after="40"/>
      </w:pPr>
    </w:p>
    <w:p>
      <w:pPr>
        <w:pStyle w:val="Heading2"/>
      </w:pPr>
      <w:r>
        <w:t>What is fixed before outcomes</w:t>
      </w:r>
    </w:p>
    <w:p>
      <w:pPr>
        <w:spacing w:before="0" w:after="60" w:line="259" w:lineRule="auto"/>
        <w:numPr>
          <w:ilvl w:val="0"/>
          <w:numId w:val="10"/>
        </w:numPr>
      </w:pPr>
      <w:r>
        <w:t>One primary hypothesis: the publication-timing signed IC decrement for ROE.</w:t>
      </w:r>
    </w:p>
    <w:p>
      <w:pPr>
        <w:spacing w:before="0" w:after="60" w:line="259" w:lineRule="auto"/>
        <w:numPr>
          <w:ilvl w:val="0"/>
          <w:numId w:val="10"/>
        </w:numPr>
      </w:pPr>
      <w:r>
        <w:t>The composite is downstream secondary evidence; momentum and low volatility are deterministic timing-isolation checks.</w:t>
      </w:r>
    </w:p>
    <w:p>
      <w:pPr>
        <w:spacing w:before="0" w:after="60" w:line="259" w:lineRule="auto"/>
        <w:numPr>
          <w:ilvl w:val="0"/>
          <w:numId w:val="10"/>
        </w:numPr>
      </w:pPr>
      <w:r>
        <w:t>Eighteen variants: two information-set comparators plus all 16 implementation-component subsets.</w:t>
      </w:r>
    </w:p>
    <w:p>
      <w:pPr>
        <w:spacing w:before="0" w:after="60" w:line="259" w:lineRule="auto"/>
        <w:numPr>
          <w:ilvl w:val="0"/>
          <w:numId w:val="10"/>
        </w:numPr>
      </w:pPr>
      <w:r>
        <w:t>Four maintained factors and fixed 50/30/20 composite weights.</w:t>
      </w:r>
    </w:p>
    <w:p>
      <w:pPr>
        <w:spacing w:before="0" w:after="60" w:line="259" w:lineRule="auto"/>
        <w:numPr>
          <w:ilvl w:val="0"/>
          <w:numId w:val="10"/>
        </w:numPr>
      </w:pPr>
      <w:r>
        <w:t>Paired HAC inference, a fixed 25-member secondary BH family, and exact IC Shapley attribution.</w:t>
      </w:r>
    </w:p>
    <w:p>
      <w:pPr>
        <w:spacing w:before="0" w:after="60" w:line="259" w:lineRule="auto"/>
        <w:numPr>
          <w:ilvl w:val="0"/>
          <w:numId w:val="10"/>
        </w:numPr>
      </w:pPr>
      <w:r>
        <w:t>A fixed 2010-2022 outcome panel with 2009 warm-up, 156 complete target months, and at least 1,000 observations per registered cell.</w:t>
      </w:r>
    </w:p>
    <w:p>
      <w:pPr>
        <w:spacing w:before="0" w:after="60" w:line="259" w:lineRule="auto"/>
        <w:numPr>
          <w:ilvl w:val="0"/>
          <w:numId w:val="10"/>
        </w:numPr>
      </w:pPr>
      <w:r>
        <w:t>Hard stopping rules for data history, execution semantics, field informativeness, rights, and cell completeness.</w:t>
      </w:r>
    </w:p>
    <w:p>
      <w:pPr>
        <w:pStyle w:val="Heading2"/>
      </w:pPr>
      <w:r>
        <w:t>What is not claimed</w:t>
      </w:r>
    </w:p>
    <w:p>
      <w:pPr>
        <w:spacing w:before="0" w:after="60" w:line="259" w:lineRule="auto"/>
        <w:numPr>
          <w:ilvl w:val="0"/>
          <w:numId w:val="10"/>
        </w:numPr>
      </w:pPr>
      <w:r>
        <w:t>The disclosed pilot is not prospective confirmation.</w:t>
      </w:r>
    </w:p>
    <w:p>
      <w:pPr>
        <w:spacing w:before="0" w:after="60" w:line="259" w:lineRule="auto"/>
        <w:numPr>
          <w:ilvl w:val="0"/>
          <w:numId w:val="10"/>
        </w:numPr>
      </w:pPr>
      <w:r>
        <w:t>Publication dates are not a substitute for complete revision vintages.</w:t>
      </w:r>
    </w:p>
    <w:p>
      <w:pPr>
        <w:spacing w:before="0" w:after="60" w:line="259" w:lineRule="auto"/>
        <w:numPr>
          <w:ilvl w:val="0"/>
          <w:numId w:val="10"/>
        </w:numPr>
      </w:pPr>
      <w:r>
        <w:t>A column named open is not proof of an unadjusted executable price.</w:t>
      </w:r>
    </w:p>
    <w:p>
      <w:pPr>
        <w:spacing w:before="0" w:after="60" w:line="259" w:lineRule="auto"/>
        <w:numPr>
          <w:ilvl w:val="0"/>
          <w:numId w:val="10"/>
        </w:numPr>
      </w:pPr>
      <w:r>
        <w:t>A positive IC or gross spread is not evidence of implementable alpha.</w:t>
      </w:r>
    </w:p>
    <w:p>
      <w:pPr>
        <w:spacing w:before="0" w:after="60" w:line="259" w:lineRule="auto"/>
        <w:numPr>
          <w:ilvl w:val="0"/>
          <w:numId w:val="10"/>
        </w:numPr>
      </w:pPr>
      <w:r>
        <w:t>The current runner does not implement next-open portfolios, costs, nonfills, bootstrap intervals, or interaction tests.</w:t>
      </w:r>
    </w:p>
    <w:p>
      <w:pPr>
        <w:spacing w:before="0" w:after="60" w:line="259" w:lineRule="auto"/>
        <w:numPr>
          <w:ilvl w:val="0"/>
          <w:numId w:val="10"/>
        </w:numPr>
      </w:pPr>
      <w:r>
        <w:t>No best-performing variant will be selected or promoted.</w:t>
      </w:r>
    </w:p>
    <w:p>
      <w:pPr>
        <w:pStyle w:val="Heading1"/>
      </w:pPr>
      <w:r>
        <w:t>1. Registration status and non-negotiable boundary</w:t>
      </w:r>
    </w:p>
    <w:p>
      <w:r>
        <w:t xml:space="preserve">This document is a Stage-2 statistical analysis plan, not a claim of completed preregistration. The research team has already observed the results of the repository's 2025-2026 pilot study. Those results are disclosed in the canonical </w:t>
      </w:r>
      <w:r>
        <w:rPr>
          <w:rFonts w:ascii="Courier New" w:hAnsi="Courier New"/>
          <w:color w:val="0B2545"/>
          <w:sz w:val="19"/>
        </w:rPr>
        <w:t>pit-factor-replication-v1</w:t>
      </w:r>
      <w:r>
        <w:t xml:space="preserve"> receipt and cannot be relabeled as prospective evidence. They serve only as an empirical precondition motivating a larger and cleaner study.</w:t>
      </w:r>
    </w:p>
    <w:p>
      <w:r>
        <w:t>The intended publication route follows the Pacific-Basin Finance Journal's responsible-science initiative. Faff (2023) describes a four-phase pre-registration pathway that evaluates the importance of the question and strength of the method before results are known. Faff (2026) subsequently describes a hybrid pathway for studies that require a transparently verified empirical precondition before downstream hypotheses can be fixed. The present pilot is proposed as that disclosed precondition. No Stage-2 outcome analysis may begin until the plan passes its coverage gates, is frozen to a Git commit and raw-file identities, and receives an external timestamp or journal instruction consistent with the chosen pathway.</w:t>
      </w:r>
    </w:p>
    <w:p>
      <w:pPr>
        <w:pStyle w:val="Heading1"/>
      </w:pPr>
      <w:r>
        <w:t>2. Research question and contribution</w:t>
      </w:r>
    </w:p>
    <w:p>
      <w:r>
        <w:t>The study asks:</w:t>
      </w:r>
    </w:p>
    <w:tbl>
      <w:tblPr>
        <w:tblW w:type="dxa" w:w="9360"/>
        <w:jc w:val="left"/>
        <w:tblLayout w:type="fixed"/>
        <w:tblLook w:firstColumn="1" w:firstRow="1" w:lastColumn="0" w:lastRow="0" w:noHBand="0" w:noVBand="1" w:val="04A0"/>
        <w:tblInd w:type="dxa" w:w="120"/>
        <w:tblBorders>
          <w:top w:val="single" w:sz="4" w:color="D7DBE2"/>
          <w:left w:val="single" w:sz="4" w:color="D7DBE2"/>
          <w:bottom w:val="single" w:sz="4" w:color="D7DBE2"/>
          <w:right w:val="single" w:sz="4" w:color="D7DBE2"/>
          <w:insideH w:val="single" w:sz="4" w:color="D7DBE2"/>
          <w:insideV w:val="single" w:sz="4" w:color="D7DBE2"/>
        </w:tblBorders>
      </w:tblPr>
      <w:tblGrid>
        <w:gridCol w:w="9360"/>
      </w:tblGrid>
      <w:tr>
        <w:trPr>
          <w:cantSplit/>
        </w:trPr>
        <w:tc>
          <w:tcPr>
            <w:tcW w:type="dxa" w:w="9360"/>
            <w:shd w:fill="E8EEF5"/>
            <w:vAlign w:val="center"/>
            <w:tcMar>
              <w:top w:w="80" w:type="dxa"/>
              <w:bottom w:w="80" w:type="dxa"/>
              <w:start w:w="120" w:type="dxa"/>
              <w:end w:w="120" w:type="dxa"/>
            </w:tcMar>
          </w:tcPr>
          <w:p>
            <w:pPr>
              <w:keepNext/>
              <w:spacing w:after="80"/>
            </w:pPr>
            <w:r/>
            <w:r>
              <w:rPr>
                <w:rFonts w:ascii="Calibri" w:hAnsi="Calibri"/>
                <w:b/>
                <w:color w:val="1F4D78"/>
                <w:sz w:val="18"/>
              </w:rPr>
              <w:t>RESEARCH QUESTION</w:t>
            </w:r>
          </w:p>
          <w:p>
            <w:pPr>
              <w:spacing w:after="0" w:line="276" w:lineRule="auto"/>
            </w:pPr>
            <w:r>
              <w:t>How much do final-survivor sampling, report-period rather than publication-date availability, tradability screens, liquidity requirements, and a one-session implementation lag shift measured A-share factor evidence?</w:t>
            </w:r>
          </w:p>
        </w:tc>
      </w:tr>
    </w:tbl>
    <w:p>
      <w:pPr>
        <w:spacing w:after="40"/>
      </w:pPr>
    </w:p>
    <w:p>
      <w:r>
        <w:t>The scientific contribution is a quantitative decomposition of research-design bias, not a search for a new profitable anomaly. The study uses familiar signals so that differences across variants can be attributed to the historical information set and implementation clock rather than to a novel model. The contribution has three layers:</w:t>
      </w:r>
    </w:p>
    <w:p>
      <w:pPr>
        <w:spacing w:before="0" w:after="60" w:line="259" w:lineRule="auto"/>
        <w:numPr>
          <w:ilvl w:val="0"/>
          <w:numId w:val="12"/>
        </w:numPr>
      </w:pPr>
      <w:r>
        <w:rPr>
          <w:b/>
        </w:rPr>
        <w:t>Information-set bias.</w:t>
      </w:r>
      <w:r>
        <w:t xml:space="preserve"> Measure the paired effect of historical listing membership and accounting publication timing on the same monthly cross-sections.</w:t>
      </w:r>
    </w:p>
    <w:p>
      <w:pPr>
        <w:spacing w:before="0" w:after="60" w:line="259" w:lineRule="auto"/>
        <w:numPr>
          <w:ilvl w:val="0"/>
          <w:numId w:val="12"/>
        </w:numPr>
      </w:pPr>
      <w:r>
        <w:t>Implementation decomposition. Replace the pilot's bundled stress variant with the complete factorial of four implementation controls, permitting exact Shapley attribution while preserving interactions. Formal interaction tests are a planned, unimplemented module.</w:t>
      </w:r>
    </w:p>
    <w:p>
      <w:pPr>
        <w:spacing w:before="0" w:after="60" w:line="259" w:lineRule="auto"/>
        <w:numPr>
          <w:ilvl w:val="0"/>
          <w:numId w:val="12"/>
        </w:numPr>
      </w:pPr>
      <w:r>
        <w:t>Research governance. Bind the data declaration, plan, code, registered IC lattice, implemented core outputs, and claim gates in a canonical receipt. Structured deviation logging and receipt reporting remain planned and unimplemented.</w:t>
      </w:r>
    </w:p>
    <w:p>
      <w:r>
        <w:t>The paper will not claim that any factor is new. Gharghori and Nguyen (2026) already provide the direct pre-registered China factor-model benchmark, and Liu, Stambaugh, and Yuan (2019) already use actual release dates in careful China factor construction. The proposed contribution is a specification-effect design intended for prospective registration, with exact attribution within a complete implementation block. It will not select the best factor or implementation variant, and it will not treat statistical significance as sufficient evidence of an investable strategy.</w:t>
      </w:r>
    </w:p>
    <w:p>
      <w:pPr>
        <w:pStyle w:val="Heading1"/>
      </w:pPr>
      <w:r>
        <w:t>3. Disclosed pilot evidence</w:t>
      </w:r>
    </w:p>
    <w:p>
      <w:r>
        <w:t>The pilot uses a licensed local export covering 3 January 2023 through 24 July 2026 and evaluates a repository-locked test window of 18 monthly cross-sections from January 2025 through June 2026. It reports all 16 combinations of four factors and four cumulative variants. Publication-date alignment produces a negative signed shift in the pilot ROE and composite rank information coefficients; the bundled implementation variant makes both means negative. Momentum and low-volatility ICs disagree in sign with their top-quintile-minus-universe contrasts.</w:t>
      </w:r>
    </w:p>
    <w:p>
      <w:r>
        <w:t>These observations motivate the Stage-2 questions but do not count toward a prospective confirmation. The pilot data, definitions, and result matrix will be included in the eventual manuscript's precondition section and kept separate from the primary Stage-2 estimates.</w:t>
      </w:r>
    </w:p>
    <w:p>
      <w:pPr>
        <w:pStyle w:val="Heading1"/>
      </w:pPr>
      <w:r>
        <w:t>4. Hypotheses and estimands</w:t>
      </w:r>
    </w:p>
    <w:p>
      <w:pPr>
        <w:pStyle w:val="Heading2"/>
      </w:pPr>
      <w:r>
        <w:t>4.1 Sole primary hypothesis</w:t>
      </w:r>
    </w:p>
    <w:p>
      <w:r>
        <w:rPr>
          <w:b/>
        </w:rPr>
        <w:t>H1: ROE publication-timing signed decrement.</w:t>
      </w:r>
      <w:r>
        <w:t xml:space="preserve"> Within a point-in-time listing universe, moving ROE availability from the fiscal report-period end to the recorded publication date produces a non-positive monthly change in the cross-sectional association between ROE rank and subsequent return.</w:t>
      </w:r>
    </w:p>
    <w:p>
      <w:r>
        <w:t>The primary estimand is the time-series mean of the paired monthly difference:</w:t>
      </w:r>
    </w:p>
    <w:p>
      <w:r>
        <w:rPr>
          <w:rFonts w:ascii="Courier New" w:hAnsi="Courier New"/>
          <w:color w:val="0B2545"/>
          <w:sz w:val="19"/>
        </w:rPr>
        <w:t>IC(ROE, PIT universe, publication date) - IC(ROE, PIT universe, report-period end)</w:t>
      </w:r>
      <w:r>
        <w:t>.</w:t>
      </w:r>
    </w:p>
    <w:p>
      <w:r>
        <w:t>The directional expectation is non-positive. As a qualitative sign-based description, the paper may use timing inflation or timing attenuation only when the report-period comparator IC is positive and the signed difference is negative. This wording is not a percentage-attenuation statistic. If that sign condition does not hold, the result is described neutrally as a timing displacement. H1 is the only primary test and its definition and direction may not change after outcome analysis begins.</w:t>
      </w:r>
      <w:r>
        <w:rPr>
          <w:i/>
        </w:rPr>
      </w:r>
      <w:r/>
      <w:r>
        <w:rPr>
          <w:i/>
        </w:rPr>
      </w:r>
      <w:r/>
    </w:p>
    <w:p>
      <w:pPr>
        <w:pStyle w:val="Heading2"/>
      </w:pPr>
      <w:r>
        <w:t>4.2 Secondary estimands</w:t>
      </w:r>
    </w:p>
    <w:p>
      <w:r>
        <w:t>Secondary estimands are:</w:t>
      </w:r>
    </w:p>
    <w:p>
      <w:pPr>
        <w:spacing w:before="0" w:after="60" w:line="259" w:lineRule="auto"/>
        <w:numPr>
          <w:ilvl w:val="0"/>
          <w:numId w:val="10"/>
        </w:numPr>
      </w:pPr>
      <w:r>
        <w:t>the analogous publication-timing difference for the fixed 50/30/20 composite, treated as a downstream result because the timing correction changes only its ROE component;</w:t>
      </w:r>
    </w:p>
    <w:p>
      <w:pPr>
        <w:spacing w:before="0" w:after="60" w:line="259" w:lineRule="auto"/>
        <w:numPr>
          <w:ilvl w:val="0"/>
          <w:numId w:val="10"/>
        </w:numPr>
      </w:pPr>
      <w:r>
        <w:t>the paired effect of replacing final survivors with point-in-time listing membership;</w:t>
      </w:r>
    </w:p>
    <w:p>
      <w:pPr>
        <w:spacing w:before="0" w:after="60" w:line="259" w:lineRule="auto"/>
        <w:numPr>
          <w:ilvl w:val="0"/>
          <w:numId w:val="10"/>
        </w:numPr>
      </w:pPr>
      <w:r>
        <w:t>the paired effect of the full implementation bundle relative to the PIT-publication baseline;</w:t>
      </w:r>
    </w:p>
    <w:p>
      <w:pPr>
        <w:spacing w:before="0" w:after="60" w:line="259" w:lineRule="auto"/>
        <w:numPr>
          <w:ilvl w:val="0"/>
          <w:numId w:val="10"/>
        </w:numPr>
      </w:pPr>
      <w:r>
        <w:t>exact Shapley contributions of ST exclusion, suspension exclusion, the liquidity floor, and the one-session lag;</w:t>
      </w:r>
    </w:p>
    <w:p>
      <w:pPr>
        <w:spacing w:before="0" w:after="60" w:line="259" w:lineRule="auto"/>
        <w:numPr>
          <w:ilvl w:val="0"/>
          <w:numId w:val="10"/>
        </w:numPr>
      </w:pPr>
      <w:r>
        <w:t>momentum and low-volatility publication-timing differences as deterministic isolation checks, not inferential hypotheses;</w:t>
      </w:r>
    </w:p>
    <w:p>
      <w:pPr>
        <w:spacing w:before="0" w:after="60" w:line="259" w:lineRule="auto"/>
        <w:numPr>
          <w:ilvl w:val="0"/>
          <w:numId w:val="10"/>
        </w:numPr>
      </w:pPr>
      <w:r>
        <w:t>eligible-universe-loss and signal-missingness outputs are planned diagnostics, unimplemented and excluded from the current IC core.</w:t>
      </w:r>
    </w:p>
    <w:p>
      <w:r>
        <w:t>Secondary estimates are diagnostic and will be labeled as such even when their statistics appear stronger than the primary results.</w:t>
      </w:r>
    </w:p>
    <w:p>
      <w:r>
        <w:t>The current executable runner is deliberately limited to the IC core. Pre-specified two-way interactions, stationary bootstrap intervals, next-open portfolios, transaction costs, turnover, and nonfills are planned modules. They enter no registered claim until their code, tests, data gates, and complete numerical settings are finished and externally frozen before Stage-2 outcome access.</w:t>
      </w:r>
    </w:p>
    <w:p>
      <w:pPr>
        <w:pStyle w:val="Heading1"/>
      </w:pPr>
      <w:r>
        <w:t>5. Data-feasibility gates</w:t>
      </w:r>
    </w:p>
    <w:p>
      <w:r>
        <w:t>Only outcome-blind metadata and field coverage may be examined before registration. The coverage report must not contain factor returns or portfolio outcomes.</w:t>
      </w:r>
    </w:p>
    <w:p>
      <w:r>
        <w:t>The plan may advance from draft_data_feasibility_pending to locked only when all of the following outcome-blind, pre-lock feasibility conditions hold:</w:t>
      </w:r>
      <w:r>
        <w:rPr>
          <w:rFonts w:ascii="Courier New" w:hAnsi="Courier New"/>
          <w:color w:val="0B2545"/>
          <w:sz w:val="19"/>
        </w:rPr>
      </w:r>
      <w:r/>
      <w:r>
        <w:rPr>
          <w:rFonts w:ascii="Courier New" w:hAnsi="Courier New"/>
          <w:color w:val="0B2545"/>
          <w:sz w:val="19"/>
        </w:rPr>
      </w:r>
      <w:r/>
    </w:p>
    <w:p>
      <w:pPr>
        <w:spacing w:before="0" w:after="60" w:line="259" w:lineRule="auto"/>
        <w:numPr>
          <w:ilvl w:val="0"/>
          <w:numId w:val="13"/>
        </w:numPr>
      </w:pPr>
      <w:r>
        <w:t>The fixed January 2010 through December 2022 interval supplies all 156 intended rebalances, with quote warm-up from January 2009 and forward outcomes through January 2023.</w:t>
      </w:r>
    </w:p>
    <w:p>
      <w:pPr>
        <w:spacing w:before="0" w:after="60" w:line="259" w:lineRule="auto"/>
        <w:numPr>
          <w:ilvl w:val="0"/>
          <w:numId w:val="13"/>
        </w:numPr>
      </w:pPr>
      <w:r>
        <w:t>The quote audit shows at least 15 official sessions and 1,000 quoted symbols in all 156 target months.</w:t>
      </w:r>
    </w:p>
    <w:p>
      <w:pPr>
        <w:spacing w:before="0" w:after="60" w:line="259" w:lineRule="auto"/>
        <w:numPr>
          <w:ilvl w:val="0"/>
          <w:numId w:val="13"/>
        </w:numPr>
      </w:pPr>
      <w:r>
        <w:t>At least 95% of otherwise usable fundamental records contain a valid publication date.</w:t>
      </w:r>
    </w:p>
    <w:p>
      <w:pPr>
        <w:spacing w:before="0" w:after="60" w:line="259" w:lineRule="auto"/>
        <w:numPr>
          <w:ilvl w:val="0"/>
          <w:numId w:val="13"/>
        </w:numPr>
      </w:pPr>
      <w:r>
        <w:t>Historical list and delist dates are present, and the master contains delisted securities.</w:t>
      </w:r>
    </w:p>
    <w:p>
      <w:pPr>
        <w:spacing w:before="0" w:after="60" w:line="259" w:lineRule="auto"/>
        <w:numPr>
          <w:ilvl w:val="0"/>
          <w:numId w:val="13"/>
        </w:numPr>
      </w:pPr>
      <w:r>
        <w:t>Adjusted-close return semantics, corporate-action handling, official-calendar identity, amount units and cutoff timing, and ST/suspension field semantics are documented and hash-bound. Unadjusted open, volume, price-limit, and nonfill fields are required only for a separately frozen portfolio module.</w:t>
      </w:r>
    </w:p>
    <w:p>
      <w:pPr>
        <w:spacing w:before="0" w:after="60" w:line="259" w:lineRule="auto"/>
        <w:numPr>
          <w:ilvl w:val="0"/>
          <w:numId w:val="13"/>
        </w:numPr>
      </w:pPr>
      <w:r>
        <w:t>Daily amount, ST status, and suspension status are available under documented units and timing semantics.</w:t>
      </w:r>
    </w:p>
    <w:p>
      <w:pPr>
        <w:spacing w:before="0" w:after="60" w:line="259" w:lineRule="auto"/>
        <w:numPr>
          <w:ilvl w:val="0"/>
          <w:numId w:val="13"/>
        </w:numPr>
      </w:pPr>
      <w:r>
        <w:t>Data rights permit the intended local analysis, the public release of aggregate results, field definitions, and file hashes, and publication of the exact official-calendar session dates embedded in the receipt.</w:t>
      </w:r>
    </w:p>
    <w:p>
      <w:pPr>
        <w:spacing w:before="0" w:after="60" w:line="259" w:lineRule="auto"/>
        <w:numPr>
          <w:ilvl w:val="0"/>
          <w:numId w:val="13"/>
        </w:numPr>
      </w:pPr>
      <w:r>
        <w:t>The analysis code passes its complete offline test suite and the plan enumerates every result cell.</w:t>
      </w:r>
    </w:p>
    <w:p>
      <w:pPr>
        <w:spacing w:before="0" w:after="60" w:line="259" w:lineRule="auto"/>
        <w:numPr>
          <w:ilvl w:val="0"/>
          <w:numId w:val="13"/>
        </w:numPr>
      </w:pPr>
      <w:r>
        <w:t>The owner signs a prior-exposure attestation that no 2010-2022 Stage-2 factor outcomes have been inspected; repository specifications are separately inventoried whether or not their execution history is known. A contemporaneous prior-exposure log records known earlier outcome access, including already public pilot values when needed to delimit prior knowledge; its exact file digest is bound by the attestation, design manifest, execution authorization, and final receipt.</w:t>
      </w:r>
    </w:p>
    <w:p>
      <w:r>
        <w:t>Column names do not satisfy gates 5-7. An authorized reviewer must complete a hash-bound attestation that separately verifies adjusted-return and amount semantics, non-degenerate tradability fields, rights to publish aggregate outputs, and rights to embed the exact official-calendar session dates in a receipt. Without that attestation, the coverage tool reports BLOCKED even when every required column is present. A distinct post-authorization evidence-eligibility stop then requires all 72 registered cells in each of 156 months and at least 1,000 finite signal-outcome pairs per cell. It is not a pre-lock coverage test or permission to inspect outcomes before registration.</w:t>
      </w:r>
    </w:p>
    <w:p>
      <w:r>
        <w:t>If a pre-lock gate or the post-authorization evidence stop fails, the study stops and reports the failed condition. The team will not replace 2010-2022 with a later feasible interval, shorten the sample, lower the publication-date threshold, remove an inconvenient board, or relax the minimum universe after viewing factor outcomes. A materially different feasible design must become a separately timestamped protocol and may not inherit the primary status of this design.</w:t>
      </w:r>
    </w:p>
    <w:p>
      <w:pPr>
        <w:pStyle w:val="Heading1"/>
      </w:pPr>
      <w:r>
        <w:t>6. Population and sample construction</w:t>
      </w:r>
    </w:p>
    <w:p>
      <w:r>
        <w:t>The target population is ordinary China A-shares listed on the Shanghai or Shenzhen exchanges. B-shares, funds, bonds, preferred shares, and non-equity instruments are excluded using the historically valid security type. A security enters the point-in-time universe on or after its listing date and exits after its delisting date. A final-survivor variant is retained only as a deliberately biased comparator.</w:t>
      </w:r>
    </w:p>
    <w:p>
      <w:r>
        <w:t>The intended previously uninspected primary historical interval is 1 January 2010 through 31 December 2022, subject to the prior-exposure attestation and fixed coverage gates. It ends before the observed 2023-2026 pilot. The first eligible exchange session of each month is the rebalance date. Rolling signals may use observations from the fixed warm-up beginning 1 January 2009, but no pre-2010 observation contributes an outcome. The forward horizon is 20 official exchange sessions.</w:t>
      </w:r>
    </w:p>
    <w:p>
      <w:r>
        <w:t>At least 12 months collected after the external registration or journal in-principle acceptance will be reported as a separate prospective extension. Its estimates will not be pooled silently with either the 2010-2022 historical panel or the disclosed pilot. If the journal-approved protocol specifies a different prospective duration, that approved duration controls and will be recorded before the new outcomes are observed.</w:t>
      </w:r>
    </w:p>
    <w:p>
      <w:pPr>
        <w:pStyle w:val="Heading1"/>
      </w:pPr>
      <w:r>
        <w:t>7. Signal definitions</w:t>
      </w:r>
    </w:p>
    <w:p>
      <w:r>
        <w:t>The primary signals preserve continuity with the disclosed pilot:</w:t>
      </w:r>
    </w:p>
    <w:p>
      <w:pPr>
        <w:spacing w:before="0" w:after="60" w:line="259" w:lineRule="auto"/>
        <w:numPr>
          <w:ilvl w:val="0"/>
          <w:numId w:val="10"/>
        </w:numPr>
      </w:pPr>
      <w:r>
        <w:rPr>
          <w:b/>
        </w:rPr>
        <w:t>ROE:</w:t>
      </w:r>
      <w:r>
        <w:t xml:space="preserve"> the provider's </w:t>
      </w:r>
      <w:r>
        <w:rPr>
          <w:rFonts w:ascii="Courier New" w:hAnsi="Courier New"/>
          <w:color w:val="0B2545"/>
          <w:sz w:val="19"/>
        </w:rPr>
        <w:t>roeDiluted</w:t>
      </w:r>
      <w:r>
        <w:t xml:space="preserve"> field, normalized to decimal units and mapped to </w:t>
      </w:r>
      <w:r>
        <w:rPr>
          <w:rFonts w:ascii="Courier New" w:hAnsi="Courier New"/>
          <w:color w:val="0B2545"/>
          <w:sz w:val="19"/>
        </w:rPr>
        <w:t>roe</w:t>
      </w:r>
      <w:r>
        <w:t>; use the latest disclosed cumulative interim or annual observation under the variant's availability rule, without analyst annualization, and reject observations more than 18 months stale.</w:t>
      </w:r>
    </w:p>
    <w:p>
      <w:pPr>
        <w:spacing w:before="0" w:after="60" w:line="259" w:lineRule="auto"/>
        <w:numPr>
          <w:ilvl w:val="0"/>
          <w:numId w:val="10"/>
        </w:numPr>
      </w:pPr>
      <w:r>
        <w:rPr>
          <w:b/>
        </w:rPr>
        <w:t>Momentum 60d:</w:t>
      </w:r>
      <w:r>
        <w:t xml:space="preserve"> adjusted close at the signal date divided by adjusted close 60 sessions earlier, minus one.</w:t>
      </w:r>
    </w:p>
    <w:p>
      <w:pPr>
        <w:spacing w:before="0" w:after="60" w:line="259" w:lineRule="auto"/>
        <w:numPr>
          <w:ilvl w:val="0"/>
          <w:numId w:val="10"/>
        </w:numPr>
      </w:pPr>
      <w:r>
        <w:rPr>
          <w:b/>
        </w:rPr>
        <w:t>Low volatility 20d:</w:t>
      </w:r>
      <w:r>
        <w:t xml:space="preserve"> the negative standard deviation of daily adjusted returns over the prior 20 sessions.</w:t>
      </w:r>
    </w:p>
    <w:p>
      <w:pPr>
        <w:spacing w:before="0" w:after="60" w:line="259" w:lineRule="auto"/>
        <w:numPr>
          <w:ilvl w:val="0"/>
          <w:numId w:val="10"/>
        </w:numPr>
      </w:pPr>
      <w:r>
        <w:rPr>
          <w:b/>
        </w:rPr>
        <w:t>Composite:</w:t>
      </w:r>
      <w:r>
        <w:t xml:space="preserve"> 0.50 times the cross-sectional percentile rank of ROE, plus 0.30 times the momentum percentile rank, plus 0.20 times the low-volatility percentile rank.</w:t>
      </w:r>
    </w:p>
    <w:p>
      <w:r>
        <w:t>The composite weights are fixed and will not be re-estimated. Rank IC calculations do not require winsorization. Raw-accounting-ratio regressions and their winsorization rules are planned, unimplemented, and excluded from the current IC core; they require a separately frozen extension before outcome access.</w:t>
      </w:r>
    </w:p>
    <w:p>
      <w:r>
        <w:t>The provider field dictionary, endpoint mapping, units, and formula for roeDiluted must be reviewed and hash-bound before lock. Duplicate symbol-report-period rows fail closed unless a separately validated vintage schema distinguishes versions. Literature-standard 12-to-1 momentum, 60-session low volatility, and reconstructed ROE are planned robustness signals, unimplemented and excluded from the current IC core. A later reconstructed-ROE module is permitted only if point-in-time net income and equity components have documented formulas and availability timestamps; vendor-supplied and reconstructed ROE will never be combined without a reconciliation table.</w:t>
      </w:r>
    </w:p>
    <w:p>
      <w:pPr>
        <w:pStyle w:val="Heading1"/>
      </w:pPr>
      <w:r>
        <w:t>8. Availability clock</w:t>
      </w:r>
    </w:p>
    <w:p>
      <w:r>
        <w:t xml:space="preserve">The report-period comparator treats ROE as available on </w:t>
      </w:r>
      <w:r>
        <w:rPr>
          <w:rFonts w:ascii="Courier New" w:hAnsi="Courier New"/>
          <w:color w:val="0B2545"/>
          <w:sz w:val="19"/>
        </w:rPr>
        <w:t>reportPeriodEnd</w:t>
      </w:r>
      <w:r>
        <w:t>. This is intentionally optimistic and exists to measure the bias induced by that convention.</w:t>
      </w:r>
    </w:p>
    <w:p>
      <w:r>
        <w:t xml:space="preserve">The publication-date variants require </w:t>
      </w:r>
      <w:r>
        <w:rPr>
          <w:rFonts w:ascii="Courier New" w:hAnsi="Courier New"/>
          <w:color w:val="0B2545"/>
          <w:sz w:val="19"/>
        </w:rPr>
        <w:t>publishDate &lt; signal date</w:t>
      </w:r>
      <w:r>
        <w:t xml:space="preserve"> when only a calendar date is known: a same-day release is never used in that session's close signal. If a verified timestamp and timezone prove release before a preregistered market-decision cutoff, a timestamp rule may replace this date-only convention only if it is frozen before outcomes are computed.</w:t>
      </w:r>
    </w:p>
    <w:p>
      <w:r>
        <w:t>Publication-date alignment is not equivalent to vintage reconstruction. The current runner has no validated revision-vintage adapter, so revision-history claims are unconditionally prohibited. Historical as-of timestamps, revision identifiers, and value-at-vintage records would all be necessary for a future adapter but are not sufficient by themselves to open the current claim gate. Later vendor corrections cannot be presented as information available to historical investors.</w:t>
      </w:r>
    </w:p>
    <w:p>
      <w:r>
        <w:t xml:space="preserve">The IC clock is diagnostic, not a simulated execution claim. The no-lag outcome is adjusted close at session </w:t>
      </w:r>
      <w:r>
        <w:rPr>
          <w:rFonts w:ascii="Courier New" w:hAnsi="Courier New"/>
          <w:color w:val="0B2545"/>
          <w:sz w:val="19"/>
        </w:rPr>
        <w:t>t+20</w:t>
      </w:r>
      <w:r>
        <w:t xml:space="preserve"> divided by adjusted close at signal session </w:t>
      </w:r>
      <w:r>
        <w:rPr>
          <w:rFonts w:ascii="Courier New" w:hAnsi="Courier New"/>
          <w:color w:val="0B2545"/>
          <w:sz w:val="19"/>
        </w:rPr>
        <w:t>t</w:t>
      </w:r>
      <w:r>
        <w:t xml:space="preserve">, minus one. The lag outcome is adjusted close at </w:t>
      </w:r>
      <w:r>
        <w:rPr>
          <w:rFonts w:ascii="Courier New" w:hAnsi="Courier New"/>
          <w:color w:val="0B2545"/>
          <w:sz w:val="19"/>
        </w:rPr>
        <w:t>t+21</w:t>
      </w:r>
      <w:r>
        <w:t xml:space="preserve"> divided by adjusted close at </w:t>
      </w:r>
      <w:r>
        <w:rPr>
          <w:rFonts w:ascii="Courier New" w:hAnsi="Courier New"/>
          <w:color w:val="0B2545"/>
          <w:sz w:val="19"/>
        </w:rPr>
        <w:t>t+1</w:t>
      </w:r>
      <w:r>
        <w:t>, minus one. These endpoints are defined on the common official exchange-session calendar; a missing symbol row makes the outcome missing and never silently advances the endpoint to that symbol's next observed row.</w:t>
      </w:r>
    </w:p>
    <w:p>
      <w:pPr>
        <w:pStyle w:val="Heading1"/>
      </w:pPr>
      <w:r>
        <w:t>9. Variant architecture</w:t>
      </w:r>
    </w:p>
    <w:p>
      <w:r>
        <w:t>The information-set chain contains three variants with no implementation component:</w:t>
      </w:r>
    </w:p>
    <w:p>
      <w:pPr>
        <w:spacing w:before="0" w:after="60" w:line="259" w:lineRule="auto"/>
        <w:numPr>
          <w:ilvl w:val="0"/>
          <w:numId w:val="10"/>
        </w:numPr>
      </w:pPr>
      <w:r>
        <w:rPr>
          <w:b/>
        </w:rPr>
        <w:t>A0:</w:t>
      </w:r>
      <w:r>
        <w:t xml:space="preserve"> final-survivor universe and report-period availability;</w:t>
      </w:r>
    </w:p>
    <w:p>
      <w:pPr>
        <w:spacing w:before="0" w:after="60" w:line="259" w:lineRule="auto"/>
        <w:numPr>
          <w:ilvl w:val="0"/>
          <w:numId w:val="10"/>
        </w:numPr>
      </w:pPr>
      <w:r>
        <w:rPr>
          <w:b/>
        </w:rPr>
        <w:t>A1:</w:t>
      </w:r>
      <w:r>
        <w:t xml:space="preserve"> point-in-time universe and report-period availability;</w:t>
      </w:r>
    </w:p>
    <w:p>
      <w:pPr>
        <w:spacing w:before="0" w:after="60" w:line="259" w:lineRule="auto"/>
        <w:numPr>
          <w:ilvl w:val="0"/>
          <w:numId w:val="10"/>
        </w:numPr>
      </w:pPr>
      <w:r>
        <w:rPr>
          <w:b/>
        </w:rPr>
        <w:t>I0000:</w:t>
      </w:r>
      <w:r>
        <w:t xml:space="preserve"> point-in-time universe and publication-date availability.</w:t>
      </w:r>
    </w:p>
    <w:p>
      <w:r>
        <w:t>The difference A1 minus A0 isolates historical membership within the available fields. The difference I0000 minus A1 isolates publication timing for accounting-dependent signals.</w:t>
      </w:r>
    </w:p>
    <w:p>
      <w:r>
        <w:t>Implementation analysis starts from I0000 and crosses four binary components:</w:t>
      </w:r>
    </w:p>
    <w:p>
      <w:pPr>
        <w:spacing w:before="0" w:after="60" w:line="259" w:lineRule="auto"/>
        <w:numPr>
          <w:ilvl w:val="0"/>
          <w:numId w:val="14"/>
        </w:numPr>
      </w:pPr>
      <w:r>
        <w:t>exclude ST securities on the signal session;</w:t>
      </w:r>
    </w:p>
    <w:p>
      <w:pPr>
        <w:spacing w:before="0" w:after="60" w:line="259" w:lineRule="auto"/>
        <w:numPr>
          <w:ilvl w:val="0"/>
          <w:numId w:val="14"/>
        </w:numPr>
      </w:pPr>
      <w:r>
        <w:t>exclude suspended securities on the signal session;</w:t>
      </w:r>
    </w:p>
    <w:p>
      <w:pPr>
        <w:spacing w:before="0" w:after="60" w:line="259" w:lineRule="auto"/>
        <w:numPr>
          <w:ilvl w:val="0"/>
          <w:numId w:val="14"/>
        </w:numPr>
      </w:pPr>
      <w:r>
        <w:t>require 20-session mean amount of at least CNY 5 million;</w:t>
      </w:r>
    </w:p>
    <w:p>
      <w:pPr>
        <w:spacing w:before="0" w:after="60" w:line="259" w:lineRule="auto"/>
        <w:numPr>
          <w:ilvl w:val="0"/>
          <w:numId w:val="14"/>
        </w:numPr>
      </w:pPr>
      <w:r>
        <w:t>shift the IC return clock by one official exchange session.</w:t>
      </w:r>
    </w:p>
    <w:p>
      <w:r>
        <w:t>All 16 combinations are registered. With four factors, the primary variant matrix contains 72 factor-variant cells: eight cells for A0 and A1 plus 64 cells in the 2^4 implementation factorial. The study reports every cell and never promotes the maximum result.</w:t>
      </w:r>
    </w:p>
    <w:p>
      <w:pPr>
        <w:pStyle w:val="Heading1"/>
      </w:pPr>
      <w:r>
        <w:t>10. Exact implementation decomposition</w:t>
      </w:r>
    </w:p>
    <w:p>
      <w:r>
        <w:t xml:space="preserve">Let </w:t>
      </w:r>
      <w:r>
        <w:rPr>
          <w:rFonts w:ascii="Courier New" w:hAnsi="Courier New"/>
          <w:color w:val="0B2545"/>
          <w:sz w:val="19"/>
        </w:rPr>
        <w:t>v(S)</w:t>
      </w:r>
      <w:r>
        <w:t xml:space="preserve"> be a registered statistic under implementation-component subset </w:t>
      </w:r>
      <w:r>
        <w:rPr>
          <w:rFonts w:ascii="Courier New" w:hAnsi="Courier New"/>
          <w:color w:val="0B2545"/>
          <w:sz w:val="19"/>
        </w:rPr>
        <w:t>S</w:t>
      </w:r>
      <w:r>
        <w:t xml:space="preserve">, using the PIT-publication information set. For component </w:t>
      </w:r>
      <w:r>
        <w:rPr>
          <w:rFonts w:ascii="Courier New" w:hAnsi="Courier New"/>
          <w:color w:val="0B2545"/>
          <w:sz w:val="19"/>
        </w:rPr>
        <w:t>i</w:t>
      </w:r>
      <w:r>
        <w:t>, the exact Shapley contribution is:</w:t>
      </w:r>
    </w:p>
    <w:p>
      <w:r>
        <w:rPr>
          <w:rFonts w:ascii="Courier New" w:hAnsi="Courier New"/>
          <w:color w:val="0B2545"/>
          <w:sz w:val="19"/>
        </w:rPr>
        <w:t>phi_i = sum over S not containing i of [|S|! (K-|S|-1)! / K!] x [v(S union {i}) - v(S)]</w:t>
      </w:r>
      <w:r>
        <w:t>,</w:t>
      </w:r>
    </w:p>
    <w:p>
      <w:r>
        <w:t>where K = 4. Once an authorized Stage-2 execution occurs, all 16 subsets will be evaluated directly, so no model-based interpolation is permitted. The four contributions must sum to v(all) - v(empty) up to numerical rounding. In the current runner the decomposition is computed for monthly IC only. Exact Shapley attribution is order-invariant within this four-component implementation block; the ordered A0-to-A1-to-I0000 information-set chain is not claimed to be order-invariant.</w:t>
      </w:r>
      <w:r>
        <w:rPr>
          <w:rFonts w:ascii="Courier New" w:hAnsi="Courier New"/>
          <w:color w:val="0B2545"/>
          <w:sz w:val="19"/>
        </w:rPr>
      </w:r>
      <w:r/>
      <w:r>
        <w:rPr>
          <w:rFonts w:ascii="Courier New" w:hAnsi="Courier New"/>
          <w:color w:val="0B2545"/>
          <w:sz w:val="19"/>
        </w:rPr>
      </w:r>
      <w:r/>
    </w:p>
    <w:p>
      <w:r>
        <w:t>Two-way factorial interactions are a planned module. If implemented before outcome access, they will use difference-in-differences contrasts averaged across the remaining components and will enter a separately enumerated family. They are not currently executable evidence. Higher-order interactions remain absorbed by the Shapley allocation and will not be searched for and selectively highlighted.</w:t>
      </w:r>
    </w:p>
    <w:p>
      <w:pPr>
        <w:pStyle w:val="Heading1"/>
      </w:pPr>
      <w:r>
        <w:t>11. Planned portfolio construction and execution</w:t>
      </w:r>
    </w:p>
    <w:p>
      <w:r>
        <w:t>This section is a design requirement for a future portfolio module, not a description of code that currently exists. No portfolio, cost, turnover, or nonfill claim may be made from the IC-core runner. If completed and externally frozen before outcome access, each month eligible securities will be sorted into deciles using cross-sectional ranks. The headline portfolio contrast will be top decile minus bottom decile. Equal-weight results will be primary for comparability; lagged float-market-cap weights will be secondary.</w:t>
      </w:r>
    </w:p>
    <w:p>
      <w:r>
        <w:t xml:space="preserve">Signals are formed after close </w:t>
      </w:r>
      <w:r>
        <w:rPr>
          <w:rFonts w:ascii="Courier New" w:hAnsi="Courier New"/>
          <w:color w:val="0B2545"/>
          <w:sz w:val="19"/>
        </w:rPr>
        <w:t>t</w:t>
      </w:r>
      <w:r>
        <w:t xml:space="preserve">. Baseline entry is the unadjusted open at </w:t>
      </w:r>
      <w:r>
        <w:rPr>
          <w:rFonts w:ascii="Courier New" w:hAnsi="Courier New"/>
          <w:color w:val="0B2545"/>
          <w:sz w:val="19"/>
        </w:rPr>
        <w:t>t+1</w:t>
      </w:r>
      <w:r>
        <w:t xml:space="preserve"> and exit is the unadjusted open at </w:t>
      </w:r>
      <w:r>
        <w:rPr>
          <w:rFonts w:ascii="Courier New" w:hAnsi="Courier New"/>
          <w:color w:val="0B2545"/>
          <w:sz w:val="19"/>
        </w:rPr>
        <w:t>t+21</w:t>
      </w:r>
      <w:r>
        <w:t xml:space="preserve">; the lag component shifts those endpoints to </w:t>
      </w:r>
      <w:r>
        <w:rPr>
          <w:rFonts w:ascii="Courier New" w:hAnsi="Courier New"/>
          <w:color w:val="0B2545"/>
          <w:sz w:val="19"/>
        </w:rPr>
        <w:t>t+2</w:t>
      </w:r>
      <w:r>
        <w:t xml:space="preserve"> and </w:t>
      </w:r>
      <w:r>
        <w:rPr>
          <w:rFonts w:ascii="Courier New" w:hAnsi="Courier New"/>
          <w:color w:val="0B2545"/>
          <w:sz w:val="19"/>
        </w:rPr>
        <w:t>t+22</w:t>
      </w:r>
      <w:r>
        <w:t>. A price-limit lock, suspension, or missing-open entry is not chased and its intended weight remains cash until the next rebalance. An exit nonfill is attempted at the first executable unadjusted open for up to 20 subsequent official sessions. If neither a trade nor an independently verified cash settlement occurs, the conservative terminal recovery is zero, with a last-observed-price sensitivity reported. Delistings use verified exchange or depository cash settlement when available and otherwise follow the same terminal rule.</w:t>
      </w:r>
    </w:p>
    <w:p>
      <w:r>
        <w:t>The planned cost model uses a date-indexed schedule for statutory taxes and documented baseline commission and slippage assumptions. In addition, every portfolio would be stressed at 10, 25, and 50 basis points of round-trip non-tax cost. One-way turnover, round-trip turnover, gross return, each cost component, net return, and nonfill rate would all be reported. The study does not label a factor implementable merely because its gross IC is positive.</w:t>
      </w:r>
    </w:p>
    <w:p>
      <w:pPr>
        <w:pStyle w:val="Heading1"/>
      </w:pPr>
      <w:r>
        <w:t>12. Outcomes</w:t>
      </w:r>
    </w:p>
    <w:p>
      <w:r>
        <w:t>For every month, variant, and factor, the current IC core records:</w:t>
      </w:r>
    </w:p>
    <w:p>
      <w:pPr>
        <w:spacing w:before="0" w:after="60" w:line="259" w:lineRule="auto"/>
        <w:numPr>
          <w:ilvl w:val="0"/>
          <w:numId w:val="10"/>
        </w:numPr>
      </w:pPr>
      <w:r>
        <w:t>Spearman-equivalent rank IC;</w:t>
      </w:r>
    </w:p>
    <w:p>
      <w:pPr>
        <w:spacing w:before="0" w:after="60" w:line="259" w:lineRule="auto"/>
        <w:numPr>
          <w:ilvl w:val="0"/>
          <w:numId w:val="10"/>
        </w:numPr>
      </w:pPr>
      <w:r>
        <w:t>equal-weight top-quintile minus universe mean return for continuity with the pilot;</w:t>
      </w:r>
    </w:p>
    <w:p>
      <w:pPr>
        <w:spacing w:before="0" w:after="60" w:line="259" w:lineRule="auto"/>
        <w:numPr>
          <w:ilvl w:val="0"/>
          <w:numId w:val="10"/>
        </w:numPr>
      </w:pPr>
      <w:r>
        <w:t>eligible cross-sectional count;</w:t>
      </w:r>
    </w:p>
    <w:p>
      <w:pPr>
        <w:spacing w:before="0" w:after="60" w:line="259" w:lineRule="auto"/>
        <w:numPr>
          <w:ilvl w:val="0"/>
          <w:numId w:val="10"/>
        </w:numPr>
      </w:pPr>
      <w:r>
        <w:t>no dedicated signal-missingness table is produced by the current IC core; that diagnostic is planned and excluded.</w:t>
      </w:r>
    </w:p>
    <w:p>
      <w:r>
        <w:t>The corresponding 72-cell aggregate means, Newey-West t-statistics, and top-quintile-minus-universe spreads are reported in full as descriptive completeness outputs. No cell-specific hypothesis is registered, and no unadjusted cell t-statistic or spread may support a discovery claim. The pilot's top-quintile-minus-universe statistic is not self-financing and is not treated as a portfolio return. Decile long-short returns, costs, turnover, and nonfills are unavailable until the planned module is implemented, tested, and separately locked; any later long-short outcome must retain explicit financing and short-leg caveats, including the practical limits on shorting A-shares.</w:t>
      </w:r>
    </w:p>
    <w:p>
      <w:pPr>
        <w:pStyle w:val="Heading1"/>
      </w:pPr>
      <w:r>
        <w:t>13. Statistical inference and multiplicity</w:t>
      </w:r>
    </w:p>
    <w:p>
      <w:r>
        <w:t>The unit of time-series inference is the monthly observation. The registered inferential set contains exactly 26 estimands: one primary plus 25 secondary family members. Two deterministic timing-isolation checks are reported separately and are not inferential hypotheses. Primary tests use the paired monthly difference between variants rather than comparing two independently estimated t-statistics. The mean paired difference receives a Newey-West HAC standard error with lag three and a two-sided 95% confidence interval. Directional expectations organize interpretation but do not convert the reported test to a one-sided p-value.</w:t>
      </w:r>
    </w:p>
    <w:p>
      <w:r>
        <w:t>Because H1 is the sole primary estimand, it receives no multiplicity adjustment. The fixed secondary IC family contains exactly 25 members: one downstream composite publication-timing contrast, eight paired contrasts (membership and full-implementation effects for each of four factors), and sixteen component-factor Shapley estimates. Its p-values use the Benjamini-Hochberg procedure at false-discovery rate 0.10. A missing or non-estimable registered member remains in the family denominator and is a non-rejection. The momentum and low-volatility publication-timing contrasts are deterministic isolation checks outside the inferential family; either must be zero to numerical tolerance or the run fails closed. Portfolio, interaction, and stationary-bootstrap families do not yet exist and require a separate locked plan. Unadjusted and adjusted values are both reported.</w:t>
      </w:r>
    </w:p>
    <w:p>
      <w:r>
        <w:t>If fewer than 120 paired monthly observations remain for an estimand, the paper reports the estimate and interval but makes no statistical-significance or generalization claim for that estimand. The evidentiary gate remains all 156 registered rebalances with complete factor-variant cells; falling below it cannot be repaired by selecting a shorter interval.</w:t>
      </w:r>
    </w:p>
    <w:p>
      <w:r>
        <w:t>The 156-month design has a precision rationale. Under a normal-approximation 80% power sensitivity, a monthly paired-difference standard deviation of 0.08-0.12 and HAC variance inflation of 1.0-1.5 imply an absolute IC minimum detectable effect of approximately 0.018-0.033. These conservative scenarios may be supplemented by simulations based only on the already disclosed pilot before registration; no Stage-2 outcome may revise the threshold. The current IC core reports signed and absolute IC changes. Eligible-universe-loss and percentage-attenuation outputs are planned, unimplemented, and excluded. A percentage attenuation statistic requires a separately registered implementation; this does not alter Section 4's narrower qualitative sign-based wording rule. Otherwise the paper uses the neutral term timing displacement.</w:t>
      </w:r>
    </w:p>
    <w:p>
      <w:pPr>
        <w:pStyle w:val="Heading1"/>
      </w:pPr>
      <w:r>
        <w:t>14. Missing data and exclusions</w:t>
      </w:r>
    </w:p>
    <w:p>
      <w:r>
        <w:t>Missing signals are not filled with cross-sectional means. A security with a missing required field is excluded from that factor's monthly cross-section, and the composite requires all three component ranks. Dedicated missingness tables are planned, unimplemented, and excluded from the current IC core.</w:t>
      </w:r>
    </w:p>
    <w:p>
      <w:r>
        <w:t>Per-security machine-readable exclusion reason codes are planned, unimplemented, and excluded from the current IC core. The current verifier checks the registered variant/factor/month lattice, required cell identities and counts, and exposed cross-sectional sizes; it cannot detect every arbitrary per-security omission or explain why a security is absent. A discovered exclusion outside the registered rules invalidates the affected result, but absence of such a finding is not proof that no silent drop occurred. Security identifiers must be stable across symbol changes or linked through a documented permanent identifier. Duplicate date-symbol quote keys and duplicate effective security-master records fail closed.</w:t>
      </w:r>
    </w:p>
    <w:p>
      <w:pPr>
        <w:pStyle w:val="Heading1"/>
      </w:pPr>
      <w:r>
        <w:t>15. Planned robustness analyses (unimplemented and excluded)</w:t>
      </w:r>
    </w:p>
    <w:p>
      <w:r>
        <w:t>The following robustness analyses are candidate extensions only. None is implemented, executable, or part of the current registered IC core; any adopted item requires code, tests, data gates, exact estimands, multiplicity treatment, and a separate freeze before outcome access:</w:t>
      </w:r>
    </w:p>
    <w:p>
      <w:pPr>
        <w:spacing w:before="0" w:after="60" w:line="259" w:lineRule="auto"/>
        <w:numPr>
          <w:ilvl w:val="0"/>
          <w:numId w:val="10"/>
        </w:numPr>
      </w:pPr>
      <w:r>
        <w:t>calendar subperiods determined without reference to factor returns;</w:t>
      </w:r>
    </w:p>
    <w:p>
      <w:pPr>
        <w:spacing w:before="0" w:after="60" w:line="259" w:lineRule="auto"/>
        <w:numPr>
          <w:ilvl w:val="0"/>
          <w:numId w:val="10"/>
        </w:numPr>
      </w:pPr>
      <w:r>
        <w:t>Main Board, ChiNext, and STAR Market, when their coverage passes the same field gates;</w:t>
      </w:r>
    </w:p>
    <w:p>
      <w:pPr>
        <w:spacing w:before="0" w:after="60" w:line="259" w:lineRule="auto"/>
        <w:numPr>
          <w:ilvl w:val="0"/>
          <w:numId w:val="10"/>
        </w:numPr>
      </w:pPr>
      <w:r>
        <w:t>state-owned versus non-state-owned firms only when an independently sourced, historically effective ownership field is available;</w:t>
      </w:r>
    </w:p>
    <w:p>
      <w:pPr>
        <w:spacing w:before="0" w:after="60" w:line="259" w:lineRule="auto"/>
        <w:numPr>
          <w:ilvl w:val="0"/>
          <w:numId w:val="10"/>
        </w:numPr>
      </w:pPr>
      <w:r>
        <w:t>industry- and size-neutralized ranks;</w:t>
      </w:r>
    </w:p>
    <w:p>
      <w:pPr>
        <w:spacing w:before="0" w:after="60" w:line="259" w:lineRule="auto"/>
        <w:numPr>
          <w:ilvl w:val="0"/>
          <w:numId w:val="10"/>
        </w:numPr>
      </w:pPr>
      <w:r>
        <w:t>12-to-1 momentum and 60-session low volatility;</w:t>
      </w:r>
    </w:p>
    <w:p>
      <w:pPr>
        <w:spacing w:before="0" w:after="60" w:line="259" w:lineRule="auto"/>
        <w:numPr>
          <w:ilvl w:val="0"/>
          <w:numId w:val="10"/>
        </w:numPr>
      </w:pPr>
      <w:r>
        <w:t>reconstructed versus vendor-supplied ROE;</w:t>
      </w:r>
    </w:p>
    <w:p>
      <w:pPr>
        <w:spacing w:before="0" w:after="60" w:line="259" w:lineRule="auto"/>
        <w:numPr>
          <w:ilvl w:val="0"/>
          <w:numId w:val="10"/>
        </w:numPr>
      </w:pPr>
      <w:r>
        <w:t>equal-weight versus lagged float-market-cap weight;</w:t>
      </w:r>
    </w:p>
    <w:p>
      <w:pPr>
        <w:spacing w:before="0" w:after="60" w:line="259" w:lineRule="auto"/>
        <w:numPr>
          <w:ilvl w:val="0"/>
          <w:numId w:val="10"/>
        </w:numPr>
      </w:pPr>
      <w:r>
        <w:t>baseline versus stressed transaction costs;</w:t>
      </w:r>
    </w:p>
    <w:p>
      <w:pPr>
        <w:spacing w:before="0" w:after="60" w:line="259" w:lineRule="auto"/>
        <w:numPr>
          <w:ilvl w:val="0"/>
          <w:numId w:val="10"/>
        </w:numPr>
      </w:pPr>
      <w:r>
        <w:t>a pre-specified second-vendor audit sample when data rights permit.</w:t>
      </w:r>
    </w:p>
    <w:p>
      <w:r>
        <w:t>No subgroup created after observing a large or surprising return may enter the confirmatory tables. Such findings may appear only in a labeled exploratory appendix with explicit manual deviation disclosure until a separately implemented, tested, and registered machine-readable deviation module exists.</w:t>
      </w:r>
    </w:p>
    <w:p>
      <w:pPr>
        <w:pStyle w:val="Heading1"/>
      </w:pPr>
      <w:r>
        <w:t>16. Reproducibility and evidence chain</w:t>
      </w:r>
    </w:p>
    <w:p>
      <w:r>
        <w:t>The public reproducibility package will contain:</w:t>
      </w:r>
    </w:p>
    <w:p>
      <w:pPr>
        <w:spacing w:before="0" w:after="60" w:line="259" w:lineRule="auto"/>
        <w:numPr>
          <w:ilvl w:val="0"/>
          <w:numId w:val="10"/>
        </w:numPr>
      </w:pPr>
      <w:r>
        <w:t>the externally timestamped plan and statistical analysis plan;</w:t>
      </w:r>
    </w:p>
    <w:p>
      <w:pPr>
        <w:spacing w:before="0" w:after="60" w:line="259" w:lineRule="auto"/>
        <w:numPr>
          <w:ilvl w:val="0"/>
          <w:numId w:val="10"/>
        </w:numPr>
      </w:pPr>
      <w:r>
        <w:t>a tagged analysis-code release;</w:t>
      </w:r>
    </w:p>
    <w:p>
      <w:pPr>
        <w:spacing w:before="0" w:after="60" w:line="259" w:lineRule="auto"/>
        <w:numPr>
          <w:ilvl w:val="0"/>
          <w:numId w:val="10"/>
        </w:numPr>
      </w:pPr>
      <w:r>
        <w:t>schemas and deterministic synthetic fixtures;</w:t>
      </w:r>
    </w:p>
    <w:p>
      <w:pPr>
        <w:spacing w:before="0" w:after="60" w:line="259" w:lineRule="auto"/>
        <w:numPr>
          <w:ilvl w:val="0"/>
          <w:numId w:val="10"/>
        </w:numPr>
      </w:pPr>
      <w:r>
        <w:t>unit, contract, and end-to-end tests;</w:t>
      </w:r>
    </w:p>
    <w:p>
      <w:pPr>
        <w:spacing w:before="0" w:after="60" w:line="259" w:lineRule="auto"/>
        <w:numPr>
          <w:ilvl w:val="0"/>
          <w:numId w:val="10"/>
        </w:numPr>
      </w:pPr>
      <w:r>
        <w:t>raw-file names, sizes, row counts, date ranges, and SHA-256 hashes without local paths;</w:t>
      </w:r>
    </w:p>
    <w:p>
      <w:pPr>
        <w:spacing w:before="0" w:after="60" w:line="259" w:lineRule="auto"/>
        <w:numPr>
          <w:ilvl w:val="0"/>
          <w:numId w:val="10"/>
        </w:numPr>
      </w:pPr>
      <w:r>
        <w:t>a data-rights statement and vendor field dictionary where redistribution is permitted;</w:t>
      </w:r>
    </w:p>
    <w:p>
      <w:pPr>
        <w:spacing w:before="0" w:after="60" w:line="259" w:lineRule="auto"/>
        <w:numPr>
          <w:ilvl w:val="0"/>
          <w:numId w:val="10"/>
        </w:numPr>
      </w:pPr>
      <w:r>
        <w:t>a machine-readable prior-specification inventory and signed owner exposure attestation;</w:t>
      </w:r>
    </w:p>
    <w:p>
      <w:pPr>
        <w:spacing w:before="0" w:after="60" w:line="259" w:lineRule="auto"/>
        <w:numPr>
          <w:ilvl w:val="0"/>
          <w:numId w:val="10"/>
        </w:numPr>
      </w:pPr>
      <w:r>
        <w:t>the complete registered result matrix;</w:t>
      </w:r>
    </w:p>
    <w:p>
      <w:pPr>
        <w:spacing w:before="0" w:after="60" w:line="259" w:lineRule="auto"/>
        <w:numPr>
          <w:ilvl w:val="0"/>
          <w:numId w:val="10"/>
        </w:numPr>
      </w:pPr>
      <w:r>
        <w:t>monthly aggregate statistics when licensing permits;</w:t>
      </w:r>
    </w:p>
    <w:p>
      <w:pPr>
        <w:spacing w:before="0" w:after="60" w:line="259" w:lineRule="auto"/>
        <w:numPr>
          <w:ilvl w:val="0"/>
          <w:numId w:val="10"/>
        </w:numPr>
      </w:pPr>
      <w:r>
        <w:t>a canonical receipt binding the plan, code, registered files, implemented IC-core output tables, and claim gates.</w:t>
      </w:r>
    </w:p>
    <w:p>
      <w:r>
        <w:t>The nested draft protocol is not accepted directly by the runner. After every outcome-blind gate passes, a fully materialized plan core is frozen first. A design manifest then binds that core, the exact research artifacts, the four raw inputs, and the Git commit; an external registration receipt points backward to the manifest; execution authorization points backward to the core, manifest, and receipt; only then may the final execution envelope record those hashes and authorize the fixed-scope blind-data release and IC-core execution. The authorization records scope and chronology; it is not a consumable nonce or technical one-run guarantee. Merely changing the draft's status is prohibited. The current runner accepts only runner_scope = ic_core_only.</w:t>
      </w:r>
    </w:p>
    <w:p>
      <w:r>
        <w:t>Licensed raw rows will not be published without explicit permission. Hashes and embedded canonical evidence establish artifact identity and internal integrity, not vendor correctness or external-timestamp authenticity. Where no detached signature exists, a named human verifier is an explicit trust boundary. An independent authorized rerun is strongly preferred and will be recorded separately from the authors' execution.</w:t>
      </w:r>
    </w:p>
    <w:p>
      <w:r>
        <w:t>The repository currently has no software license. No document may call it open source, and no JOSS submission may be attempted, until the owner makes an explicit license decision and the selected license is added. That legal choice is outside the statistical protocol.</w:t>
      </w:r>
    </w:p>
    <w:p>
      <w:pPr>
        <w:pStyle w:val="Heading1"/>
      </w:pPr>
      <w:r>
        <w:t>17. Deviations and stopping rules</w:t>
      </w:r>
    </w:p>
    <w:p>
      <w:r>
        <w:t>The protocol requires every deviation to receive a timestamp, rationale, affected estimand, and classification as administrative, data-driven but outcome-blind, or outcome-aware. The structured machine-readable deviation log and receipt integration are planned but unimplemented; until they exist, deviations require explicit manual disclosure. Outcome-aware deviations cannot replace the primary analysis and appear only as exploratory sensitivity checks.</w:t>
      </w:r>
    </w:p>
    <w:p>
      <w:r>
        <w:t>The study stops without primary conclusions if:</w:t>
      </w:r>
    </w:p>
    <w:p>
      <w:pPr>
        <w:spacing w:before="0" w:after="60" w:line="259" w:lineRule="auto"/>
        <w:numPr>
          <w:ilvl w:val="0"/>
          <w:numId w:val="10"/>
        </w:numPr>
      </w:pPr>
      <w:r>
        <w:t>a minimum coverage or rights gate fails;</w:t>
      </w:r>
    </w:p>
    <w:p>
      <w:pPr>
        <w:spacing w:before="0" w:after="60" w:line="259" w:lineRule="auto"/>
        <w:numPr>
          <w:ilvl w:val="0"/>
          <w:numId w:val="10"/>
        </w:numPr>
      </w:pPr>
      <w:r>
        <w:t>prior exposure to the intended 2010-2022 outcomes cannot be ruled out and documented before data release;</w:t>
      </w:r>
    </w:p>
    <w:p>
      <w:pPr>
        <w:spacing w:before="0" w:after="60" w:line="259" w:lineRule="auto"/>
        <w:numPr>
          <w:ilvl w:val="0"/>
          <w:numId w:val="10"/>
        </w:numPr>
      </w:pPr>
      <w:r>
        <w:t>any plan-core, manifest, receipt, or authorization hash link fails;</w:t>
      </w:r>
    </w:p>
    <w:p>
      <w:pPr>
        <w:spacing w:before="0" w:after="60" w:line="259" w:lineRule="auto"/>
        <w:numPr>
          <w:ilvl w:val="0"/>
          <w:numId w:val="10"/>
        </w:numPr>
      </w:pPr>
      <w:r>
        <w:t>a required variant or factor cell is missing;</w:t>
      </w:r>
    </w:p>
    <w:p>
      <w:pPr>
        <w:spacing w:before="0" w:after="60" w:line="259" w:lineRule="auto"/>
        <w:numPr>
          <w:ilvl w:val="0"/>
          <w:numId w:val="10"/>
        </w:numPr>
      </w:pPr>
      <w:r>
        <w:t>publication dates cannot be distinguished from report-period dates;</w:t>
      </w:r>
    </w:p>
    <w:p>
      <w:pPr>
        <w:spacing w:before="0" w:after="60" w:line="259" w:lineRule="auto"/>
        <w:numPr>
          <w:ilvl w:val="0"/>
          <w:numId w:val="10"/>
        </w:numPr>
      </w:pPr>
      <w:r>
        <w:t>adjusted-close return semantics or official-session endpoints cannot be independently documented;</w:t>
      </w:r>
    </w:p>
    <w:p>
      <w:pPr>
        <w:spacing w:before="0" w:after="60" w:line="259" w:lineRule="auto"/>
        <w:numPr>
          <w:ilvl w:val="0"/>
          <w:numId w:val="10"/>
        </w:numPr>
      </w:pPr>
      <w:r>
        <w:t>the code revision cannot reproduce its receipt on the authorized data.</w:t>
      </w:r>
    </w:p>
    <w:p>
      <w:r>
        <w:t>Negative, null, mixed, and sign-reversing results are all publishable outcomes under the protocol. A result is not a failure because it lacks statistical significance.</w:t>
      </w:r>
    </w:p>
    <w:p>
      <w:pPr>
        <w:pStyle w:val="Heading1"/>
      </w:pPr>
      <w:r>
        <w:t>18. Manuscript and claim policy</w:t>
      </w:r>
    </w:p>
    <w:p>
      <w:r>
        <w:t>The eventual empirical paper will lead with the bias-decomposition question, not the repository. The repository appears as the implementation and evidence infrastructure. The paper will distinguish:</w:t>
      </w:r>
    </w:p>
    <w:p>
      <w:pPr>
        <w:spacing w:before="0" w:after="60" w:line="259" w:lineRule="auto"/>
        <w:numPr>
          <w:ilvl w:val="0"/>
          <w:numId w:val="10"/>
        </w:numPr>
      </w:pPr>
      <w:r>
        <w:t>the disclosed pilot;</w:t>
      </w:r>
    </w:p>
    <w:p>
      <w:pPr>
        <w:spacing w:before="0" w:after="60" w:line="259" w:lineRule="auto"/>
        <w:numPr>
          <w:ilvl w:val="0"/>
          <w:numId w:val="10"/>
        </w:numPr>
      </w:pPr>
      <w:r>
        <w:t>the registered historical panel;</w:t>
      </w:r>
    </w:p>
    <w:p>
      <w:pPr>
        <w:spacing w:before="0" w:after="60" w:line="259" w:lineRule="auto"/>
        <w:numPr>
          <w:ilvl w:val="0"/>
          <w:numId w:val="10"/>
        </w:numPr>
      </w:pPr>
      <w:r>
        <w:t>the prospective post-registration extension;</w:t>
      </w:r>
    </w:p>
    <w:p>
      <w:pPr>
        <w:spacing w:before="0" w:after="60" w:line="259" w:lineRule="auto"/>
        <w:numPr>
          <w:ilvl w:val="0"/>
          <w:numId w:val="10"/>
        </w:numPr>
      </w:pPr>
      <w:r>
        <w:t>any exploratory appendix.</w:t>
      </w:r>
    </w:p>
    <w:p>
      <w:r>
        <w:t>Until all corresponding evidence gates pass, the receipt fields remain:</w:t>
      </w:r>
    </w:p>
    <w:p>
      <w:pPr>
        <w:spacing w:before="0" w:after="60" w:line="259" w:lineRule="auto"/>
        <w:numPr>
          <w:ilvl w:val="0"/>
          <w:numId w:val="10"/>
        </w:numPr>
      </w:pPr>
      <w:r>
        <w:rPr>
          <w:rFonts w:ascii="Courier New" w:hAnsi="Courier New"/>
          <w:color w:val="0B2545"/>
          <w:sz w:val="19"/>
        </w:rPr>
        <w:t>performance_claim = false</w:t>
      </w:r>
      <w:r>
        <w:t>;</w:t>
      </w:r>
    </w:p>
    <w:p>
      <w:pPr>
        <w:spacing w:before="0" w:after="60" w:line="259" w:lineRule="auto"/>
        <w:numPr>
          <w:ilvl w:val="0"/>
          <w:numId w:val="10"/>
        </w:numPr>
      </w:pPr>
      <w:r>
        <w:rPr>
          <w:rFonts w:ascii="Courier New" w:hAnsi="Courier New"/>
          <w:color w:val="0B2545"/>
          <w:sz w:val="19"/>
        </w:rPr>
        <w:t>generalization_claim = false</w:t>
      </w:r>
      <w:r>
        <w:t>;</w:t>
      </w:r>
    </w:p>
    <w:p>
      <w:pPr>
        <w:spacing w:before="0" w:after="60" w:line="259" w:lineRule="auto"/>
        <w:numPr>
          <w:ilvl w:val="0"/>
          <w:numId w:val="10"/>
        </w:numPr>
      </w:pPr>
      <w:r>
        <w:rPr>
          <w:rFonts w:ascii="Courier New" w:hAnsi="Courier New"/>
          <w:color w:val="0B2545"/>
          <w:sz w:val="19"/>
        </w:rPr>
        <w:t>usable_for_trading_decisions = false</w:t>
      </w:r>
      <w:r>
        <w:t>;</w:t>
      </w:r>
    </w:p>
    <w:p>
      <w:pPr>
        <w:spacing w:before="0" w:after="60" w:line="259" w:lineRule="auto"/>
        <w:numPr>
          <w:ilvl w:val="0"/>
          <w:numId w:val="10"/>
        </w:numPr>
      </w:pPr>
      <w:r>
        <w:rPr>
          <w:rFonts w:ascii="Courier New" w:hAnsi="Courier New"/>
          <w:color w:val="0B2545"/>
          <w:sz w:val="19"/>
        </w:rPr>
        <w:t>revision_history_claim = false</w:t>
      </w:r>
      <w:r>
        <w:t>.</w:t>
      </w:r>
    </w:p>
    <w:p>
      <w:r>
        <w:t>The final paper will include an AI-assistance disclosure describing tools used for code scaffolding, document drafting, and editing; human authors must review, validate, and take responsibility for every technical and interpretive decision.</w:t>
      </w:r>
    </w:p>
    <w:p>
      <w:r>
        <w:br w:type="page"/>
      </w:r>
    </w:p>
    <w:p>
      <w:pPr>
        <w:pStyle w:val="Heading1"/>
      </w:pPr>
      <w:r>
        <w:t>Appendix A. Current licensed bundle: gate decision</w:t>
      </w:r>
    </w:p>
    <w:tbl>
      <w:tblPr>
        <w:tblW w:type="dxa" w:w="9360"/>
        <w:jc w:val="left"/>
        <w:tblLayout w:type="fixed"/>
        <w:tblLook w:firstColumn="1" w:firstRow="1" w:lastColumn="0" w:lastRow="0" w:noHBand="0" w:noVBand="1" w:val="04A0"/>
        <w:tblInd w:type="dxa" w:w="120"/>
        <w:tblBorders>
          <w:top w:val="single" w:sz="4" w:color="D7DBE2"/>
          <w:left w:val="single" w:sz="4" w:color="D7DBE2"/>
          <w:bottom w:val="single" w:sz="4" w:color="D7DBE2"/>
          <w:right w:val="single" w:sz="4" w:color="D7DBE2"/>
          <w:insideH w:val="single" w:sz="4" w:color="D7DBE2"/>
          <w:insideV w:val="single" w:sz="4" w:color="D7DBE2"/>
        </w:tblBorders>
      </w:tblPr>
      <w:tblGrid>
        <w:gridCol w:w="9360"/>
      </w:tblGrid>
      <w:tr>
        <w:trPr>
          <w:cantSplit/>
        </w:trPr>
        <w:tc>
          <w:tcPr>
            <w:tcW w:type="dxa" w:w="9360"/>
            <w:shd w:fill="FCE8E8"/>
            <w:vAlign w:val="center"/>
            <w:tcMar>
              <w:top w:w="80" w:type="dxa"/>
              <w:bottom w:w="80" w:type="dxa"/>
              <w:start w:w="120" w:type="dxa"/>
              <w:end w:w="120" w:type="dxa"/>
            </w:tcMar>
          </w:tcPr>
          <w:p>
            <w:pPr>
              <w:keepNext/>
              <w:spacing w:after="80"/>
            </w:pPr>
            <w:r>
              <w:t>DECISION: BLOCKED_FOR_STAGE2</w:t>
              <w:br/>
              <w:t>History is 3.55 years; no common exchange calendar or raw roeDiluted input is bound. Semantics, tradability, and rights gates are closed; revision-history claims remain outside scope.</w:t>
            </w:r>
            <w:r>
              <w:rPr>
                <w:rFonts w:ascii="Calibri" w:hAnsi="Calibri"/>
                <w:b/>
                <w:color w:val="9B1C1C"/>
                <w:sz w:val="18"/>
              </w:rPr>
            </w:r>
          </w:p>
          <w:p>
            <w:pPr>
              <w:spacing w:after="0" w:line="276" w:lineRule="auto"/>
            </w:pPr>
            <w:r/>
          </w:p>
        </w:tc>
      </w:tr>
    </w:tbl>
    <w:p>
      <w:pPr>
        <w:spacing w:after="40"/>
      </w:pPr>
    </w:p>
    <w:p>
      <w:pPr>
        <w:pStyle w:val="ProtocolCaption"/>
        <w:keepNext/>
      </w:pPr>
      <w:r>
        <w:t>Table A1. Aggregate coverage of the current licensed files</w:t>
      </w:r>
    </w:p>
    <w:tbl>
      <w:tblPr>
        <w:tblW w:type="dxa" w:w="9360"/>
        <w:jc w:val="left"/>
        <w:tblLayout w:type="fixed"/>
        <w:tblLook w:firstColumn="1" w:firstRow="1" w:lastColumn="0" w:lastRow="0" w:noHBand="0" w:noVBand="1" w:val="04A0"/>
        <w:tblInd w:type="dxa" w:w="120"/>
        <w:tblBorders>
          <w:top w:val="single" w:sz="4" w:color="CBD2D9"/>
          <w:left w:val="single" w:sz="4" w:color="CBD2D9"/>
          <w:bottom w:val="single" w:sz="4" w:color="CBD2D9"/>
          <w:right w:val="single" w:sz="4" w:color="CBD2D9"/>
          <w:insideH w:val="single" w:sz="4" w:color="CBD2D9"/>
          <w:insideV w:val="single" w:sz="4" w:color="CBD2D9"/>
        </w:tblBorders>
      </w:tblPr>
      <w:tblGrid>
        <w:gridCol w:w="1500"/>
        <w:gridCol w:w="2300"/>
        <w:gridCol w:w="2450"/>
        <w:gridCol w:w="3110"/>
      </w:tblGrid>
      <w:tr>
        <w:trPr>
          <w:cantSplit/>
          <w:tblHeader w:val="true"/>
        </w:trPr>
        <w:tc>
          <w:tcPr>
            <w:tcW w:type="dxa" w:w="150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7"/>
              </w:rPr>
              <w:t>Dataset</w:t>
            </w:r>
          </w:p>
        </w:tc>
        <w:tc>
          <w:tcPr>
            <w:tcW w:type="dxa" w:w="230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7"/>
              </w:rPr>
              <w:t>Coverage</w:t>
            </w:r>
          </w:p>
        </w:tc>
        <w:tc>
          <w:tcPr>
            <w:tcW w:type="dxa" w:w="245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7"/>
              </w:rPr>
              <w:t>Scale</w:t>
            </w:r>
          </w:p>
        </w:tc>
        <w:tc>
          <w:tcPr>
            <w:tcW w:type="dxa" w:w="311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7"/>
              </w:rPr>
              <w:t>Interpretation</w:t>
            </w:r>
          </w:p>
        </w:tc>
      </w:tr>
      <w:tr>
        <w:trPr>
          <w:cantSplit/>
        </w:trPr>
        <w:tc>
          <w:tcPr>
            <w:tcW w:type="dxa" w:w="15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Daily quotes</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2023-01-03 to 2026-07-24</w:t>
            </w:r>
          </w:p>
        </w:tc>
        <w:tc>
          <w:tcPr>
            <w:tcW w:type="dxa" w:w="24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3,894,242 rows; 4,735 symbols</w:t>
            </w:r>
          </w:p>
        </w:tc>
        <w:tc>
          <w:tcPr>
            <w:tcW w:type="dxa" w:w="31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Zero quoted months in fixed 2010-2022 target</w:t>
            </w:r>
          </w:p>
        </w:tc>
      </w:tr>
      <w:tr>
        <w:trPr>
          <w:cantSplit/>
        </w:trPr>
        <w:tc>
          <w:tcPr>
            <w:tcW w:type="dxa" w:w="15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Stock master</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List dates from 1990-12-01</w:t>
            </w:r>
          </w:p>
        </w:tc>
        <w:tc>
          <w:tcPr>
            <w:tcW w:type="dxa" w:w="24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4,924 symbols; 333 delisted</w:t>
            </w:r>
          </w:p>
        </w:tc>
        <w:tc>
          <w:tcPr>
            <w:tcW w:type="dxa" w:w="31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Supports SH/SZ membership reconstruction</w:t>
            </w:r>
          </w:p>
        </w:tc>
      </w:tr>
      <w:tr>
        <w:trPr>
          <w:cantSplit/>
        </w:trPr>
        <w:tc>
          <w:tcPr>
            <w:tcW w:type="dxa" w:w="15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Fundamentals</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Reports 2020-03-31 to 2026-06-30</w:t>
            </w:r>
          </w:p>
        </w:tc>
        <w:tc>
          <w:tcPr>
            <w:tcW w:type="dxa" w:w="245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99,628 rows; publication coverage 100%</w:t>
            </w:r>
          </w:p>
        </w:tc>
        <w:tc>
          <w:tcPr>
            <w:tcW w:type="dxa" w:w="311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First-publication timing only; no vintages</w:t>
            </w:r>
          </w:p>
        </w:tc>
      </w:tr>
    </w:tbl>
    <w:p>
      <w:pPr>
        <w:pStyle w:val="Heading2"/>
      </w:pPr>
      <w:r>
        <w:t>Legacy diagnostic blockers and current four-input contract gaps</w:t>
      </w:r>
    </w:p>
    <w:p>
      <w:pPr>
        <w:spacing w:before="0" w:after="60" w:line="259" w:lineRule="auto"/>
        <w:numPr>
          <w:ilvl w:val="0"/>
          <w:numId w:val="10"/>
        </w:numPr>
      </w:pPr>
      <w:r>
        <w:t>INSUFFICIENT_HISTORY: Market history begins in 2023; the fixed design requires the 2009 warm-up and 2010-2022 outcomes.</w:t>
      </w:r>
    </w:p>
    <w:p>
      <w:pPr>
        <w:spacing w:before="0" w:after="60" w:line="259" w:lineRule="auto"/>
        <w:numPr>
          <w:ilvl w:val="0"/>
          <w:numId w:val="10"/>
        </w:numPr>
      </w:pPr>
      <w:r>
        <w:t>TARGET_QUOTE_INTERVAL_UNAVAILABLE: The quote file lacks the fixed warm-up, primary interval, and January 2023 outcome endpoint.</w:t>
      </w:r>
    </w:p>
    <w:p>
      <w:pPr>
        <w:spacing w:before="0" w:after="60" w:line="259" w:lineRule="auto"/>
        <w:numPr>
          <w:ilvl w:val="0"/>
          <w:numId w:val="10"/>
        </w:numPr>
      </w:pPr>
      <w:r>
        <w:t>TARGET_FUNDAMENTAL_INTERVAL_UNAVAILABLE: Coverage begins in 2020; no raw roeDiluted input is bound.</w:t>
      </w:r>
    </w:p>
    <w:p>
      <w:pPr>
        <w:spacing w:before="0" w:after="60" w:line="259" w:lineRule="auto"/>
        <w:numPr>
          <w:ilvl w:val="0"/>
          <w:numId w:val="10"/>
        </w:numPr>
      </w:pPr>
      <w:r>
        <w:t>OFFICIAL_CALENDAR_NOT_REVIEWED: No authoritative common SSE/SZSE calendar is bound.</w:t>
      </w:r>
    </w:p>
    <w:p>
      <w:pPr>
        <w:spacing w:before="0" w:after="60" w:line="259" w:lineRule="auto"/>
        <w:numPr>
          <w:ilvl w:val="0"/>
          <w:numId w:val="10"/>
        </w:numPr>
      </w:pPr>
      <w:r>
        <w:t>INSUFFICIENT_MONTHLY_SYMBOL_COVERAGE: No target month can meet the 1,000-symbol coverage threshold.</w:t>
      </w:r>
    </w:p>
    <w:p>
      <w:pPr>
        <w:spacing w:before="0" w:after="60" w:line="259" w:lineRule="auto"/>
        <w:numPr>
          <w:ilvl w:val="0"/>
          <w:numId w:val="10"/>
        </w:numPr>
      </w:pPr>
      <w:r>
        <w:t>EXECUTION_SEMANTICS_NOT_VERIFIED: Column presence does not establish raw versus adjusted price meaning or the decision cutoff.</w:t>
      </w:r>
    </w:p>
    <w:p>
      <w:pPr>
        <w:spacing w:before="0" w:after="60" w:line="259" w:lineRule="auto"/>
        <w:numPr>
          <w:ilvl w:val="0"/>
          <w:numId w:val="10"/>
        </w:numPr>
      </w:pPr>
      <w:r>
        <w:t>TRADABILITY_FIELDS_NOT_VERIFIED: Suspension and limit fields must be non-degenerate and tied to vendor definitions.</w:t>
      </w:r>
    </w:p>
    <w:p>
      <w:pPr>
        <w:spacing w:before="0" w:after="60" w:line="259" w:lineRule="auto"/>
        <w:numPr>
          <w:ilvl w:val="0"/>
          <w:numId w:val="10"/>
        </w:numPr>
      </w:pPr>
      <w:r>
        <w:t>DATA_RIGHTS_NOT_VERIFIED: A reviewed license or contract basis for local analysis and public aggregate outputs is required.</w:t>
      </w:r>
    </w:p>
    <w:p>
      <w:pPr>
        <w:pStyle w:val="Heading1"/>
      </w:pPr>
      <w:r>
        <w:t>Appendix B. Registered variant architecture</w:t>
      </w:r>
    </w:p>
    <w:p>
      <w:r>
        <w:t>The first three cells form the information-set chain. The 16 PIT-publication cells then enumerate every subset of four implementation components. IDs are labels; semantic fields and the complete factorial are the validated contract.</w:t>
      </w:r>
    </w:p>
    <w:p>
      <w:pPr>
        <w:pStyle w:val="ProtocolCaption"/>
        <w:keepNext/>
      </w:pPr>
      <w:r>
        <w:t>Table B1. Information-set baseline chain</w:t>
      </w:r>
    </w:p>
    <w:tbl>
      <w:tblPr>
        <w:tblW w:type="dxa" w:w="9360"/>
        <w:jc w:val="left"/>
        <w:tblLayout w:type="fixed"/>
        <w:tblLook w:firstColumn="1" w:firstRow="1" w:lastColumn="0" w:lastRow="0" w:noHBand="0" w:noVBand="1" w:val="04A0"/>
        <w:tblInd w:type="dxa" w:w="120"/>
        <w:tblBorders>
          <w:top w:val="single" w:sz="4" w:color="CBD2D9"/>
          <w:left w:val="single" w:sz="4" w:color="CBD2D9"/>
          <w:bottom w:val="single" w:sz="4" w:color="CBD2D9"/>
          <w:right w:val="single" w:sz="4" w:color="CBD2D9"/>
          <w:insideH w:val="single" w:sz="4" w:color="CBD2D9"/>
          <w:insideV w:val="single" w:sz="4" w:color="CBD2D9"/>
        </w:tblBorders>
      </w:tblPr>
      <w:tblGrid>
        <w:gridCol w:w="2400"/>
        <w:gridCol w:w="1900"/>
        <w:gridCol w:w="2300"/>
        <w:gridCol w:w="2760"/>
      </w:tblGrid>
      <w:tr>
        <w:trPr>
          <w:cantSplit/>
          <w:tblHeader w:val="true"/>
        </w:trPr>
        <w:tc>
          <w:tcPr>
            <w:tcW w:type="dxa" w:w="240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7"/>
              </w:rPr>
              <w:t>ID</w:t>
            </w:r>
          </w:p>
        </w:tc>
        <w:tc>
          <w:tcPr>
            <w:tcW w:type="dxa" w:w="190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7"/>
              </w:rPr>
              <w:t>Universe</w:t>
            </w:r>
          </w:p>
        </w:tc>
        <w:tc>
          <w:tcPr>
            <w:tcW w:type="dxa" w:w="230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7"/>
              </w:rPr>
              <w:t>Fundamental availability</w:t>
            </w:r>
          </w:p>
        </w:tc>
        <w:tc>
          <w:tcPr>
            <w:tcW w:type="dxa" w:w="276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7"/>
              </w:rPr>
              <w:t>Role</w:t>
            </w:r>
          </w:p>
        </w:tc>
      </w:tr>
      <w:tr>
        <w:trPr>
          <w:cantSplit/>
        </w:trPr>
        <w:tc>
          <w:tcPr>
            <w:tcW w:type="dxa" w:w="2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A0_final_report_end</w:t>
            </w:r>
          </w:p>
        </w:tc>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final survivor</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report period end</w:t>
            </w:r>
          </w:p>
        </w:tc>
        <w:tc>
          <w:tcPr>
            <w:tcW w:type="dxa" w:w="27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Deliberately biased comparator</w:t>
            </w:r>
          </w:p>
        </w:tc>
      </w:tr>
      <w:tr>
        <w:trPr>
          <w:cantSplit/>
        </w:trPr>
        <w:tc>
          <w:tcPr>
            <w:tcW w:type="dxa" w:w="2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A1_pit_report_end</w:t>
            </w:r>
          </w:p>
        </w:tc>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point in time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report period end</w:t>
            </w:r>
          </w:p>
        </w:tc>
        <w:tc>
          <w:tcPr>
            <w:tcW w:type="dxa" w:w="27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Historical-membership comparator</w:t>
            </w:r>
          </w:p>
        </w:tc>
      </w:tr>
      <w:tr>
        <w:trPr>
          <w:cantSplit/>
        </w:trPr>
        <w:tc>
          <w:tcPr>
            <w:tcW w:type="dxa" w:w="24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I0000_pit_publication</w:t>
            </w:r>
          </w:p>
        </w:tc>
        <w:tc>
          <w:tcPr>
            <w:tcW w:type="dxa" w:w="19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point in time</w:t>
            </w:r>
          </w:p>
        </w:tc>
        <w:tc>
          <w:tcPr>
            <w:tcW w:type="dxa" w:w="23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publication date</w:t>
            </w:r>
          </w:p>
        </w:tc>
        <w:tc>
          <w:tcPr>
            <w:tcW w:type="dxa" w:w="276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6"/>
              </w:rPr>
              <w:t>Implementation baseline</w:t>
            </w:r>
          </w:p>
        </w:tc>
      </w:tr>
    </w:tbl>
    <w:p>
      <w:pPr>
        <w:pStyle w:val="ProtocolCaption"/>
        <w:keepNext/>
      </w:pPr>
      <w:r>
        <w:t>Table B2. Complete 2^4 implementation factorial on the PIT-publication baseline</w:t>
      </w:r>
    </w:p>
    <w:tbl>
      <w:tblPr>
        <w:tblW w:type="dxa" w:w="9360"/>
        <w:jc w:val="left"/>
        <w:tblLayout w:type="fixed"/>
        <w:tblLook w:firstColumn="1" w:firstRow="1" w:lastColumn="0" w:lastRow="0" w:noHBand="0" w:noVBand="1" w:val="04A0"/>
        <w:tblInd w:type="dxa" w:w="120"/>
        <w:tblBorders>
          <w:top w:val="single" w:sz="4" w:color="CBD2D9"/>
          <w:left w:val="single" w:sz="4" w:color="CBD2D9"/>
          <w:bottom w:val="single" w:sz="4" w:color="CBD2D9"/>
          <w:right w:val="single" w:sz="4" w:color="CBD2D9"/>
          <w:insideH w:val="single" w:sz="4" w:color="CBD2D9"/>
          <w:insideV w:val="single" w:sz="4" w:color="CBD2D9"/>
        </w:tblBorders>
      </w:tblPr>
      <w:tblGrid>
        <w:gridCol w:w="3000"/>
        <w:gridCol w:w="900"/>
        <w:gridCol w:w="1250"/>
        <w:gridCol w:w="1300"/>
        <w:gridCol w:w="900"/>
        <w:gridCol w:w="2010"/>
      </w:tblGrid>
      <w:tr>
        <w:trPr>
          <w:cantSplit/>
          <w:tblHeader w:val="true"/>
        </w:trPr>
        <w:tc>
          <w:tcPr>
            <w:tcW w:type="dxa" w:w="300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6"/>
              </w:rPr>
              <w:t>ID</w:t>
            </w:r>
          </w:p>
        </w:tc>
        <w:tc>
          <w:tcPr>
            <w:tcW w:type="dxa" w:w="90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6"/>
              </w:rPr>
              <w:t>ST</w:t>
            </w:r>
          </w:p>
        </w:tc>
        <w:tc>
          <w:tcPr>
            <w:tcW w:type="dxa" w:w="125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6"/>
              </w:rPr>
              <w:t>Suspension</w:t>
            </w:r>
          </w:p>
        </w:tc>
        <w:tc>
          <w:tcPr>
            <w:tcW w:type="dxa" w:w="130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6"/>
              </w:rPr>
              <w:t>Liquidity</w:t>
            </w:r>
          </w:p>
        </w:tc>
        <w:tc>
          <w:tcPr>
            <w:tcW w:type="dxa" w:w="90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6"/>
              </w:rPr>
              <w:t>Lag</w:t>
            </w:r>
          </w:p>
        </w:tc>
        <w:tc>
          <w:tcPr>
            <w:tcW w:type="dxa" w:w="2010"/>
            <w:vAlign w:val="center"/>
            <w:tcMar>
              <w:top w:w="80" w:type="dxa"/>
              <w:bottom w:w="80" w:type="dxa"/>
              <w:start w:w="120" w:type="dxa"/>
              <w:end w:w="120" w:type="dxa"/>
            </w:tcMar>
            <w:shd w:fill="F4F6F9"/>
          </w:tcPr>
          <w:p>
            <w:pPr>
              <w:keepNext/>
              <w:spacing w:before="0" w:after="0" w:line="240" w:lineRule="auto"/>
              <w:jc w:val="left"/>
            </w:pPr>
            <w:r/>
            <w:r>
              <w:rPr>
                <w:rFonts w:ascii="Calibri" w:hAnsi="Calibri"/>
                <w:b/>
                <w:color w:val="0B2545"/>
                <w:sz w:val="16"/>
              </w:rPr>
              <w:t>Enabled count</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I0000_pit_publication</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0</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I1000_st</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1</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I0100_suspension</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1</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I0010_liquidity</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1</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I0001_lag</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1</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I1100_st_suspension</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2</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I1010_st_liquidity</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2</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I1001_st_lag</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2</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I0110_suspension_liquidity</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2</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I0101_suspension_lag</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2</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I0011_liquidity_lag</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2</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I1110_st_suspension_liquidity</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3</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I1101_st_suspension_lag</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3</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I1011_st_liquidity_lag</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3</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I0111_suspension_liquidity_lag</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No</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3</w:t>
            </w:r>
          </w:p>
        </w:tc>
      </w:tr>
      <w:tr>
        <w:trPr>
          <w:cantSplit/>
        </w:trPr>
        <w:tc>
          <w:tcPr>
            <w:tcW w:type="dxa" w:w="3000"/>
            <w:vAlign w:val="center"/>
            <w:tcMar>
              <w:top w:w="80" w:type="dxa"/>
              <w:bottom w:w="80" w:type="dxa"/>
              <w:start w:w="120" w:type="dxa"/>
              <w:end w:w="120" w:type="dxa"/>
            </w:tcMar>
          </w:tcPr>
          <w:p>
            <w:pPr>
              <w:spacing w:before="0" w:after="0" w:line="240" w:lineRule="auto"/>
              <w:jc w:val="left"/>
            </w:pPr>
            <w:r/>
            <w:r>
              <w:rPr>
                <w:rFonts w:ascii="Calibri" w:hAnsi="Calibri"/>
                <w:b w:val="0"/>
                <w:color w:val="000000"/>
                <w:sz w:val="15"/>
              </w:rPr>
              <w:t>I1111_full_implementation</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25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13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90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Yes</w:t>
            </w:r>
          </w:p>
        </w:tc>
        <w:tc>
          <w:tcPr>
            <w:tcW w:type="dxa" w:w="2010"/>
            <w:vAlign w:val="center"/>
            <w:tcMar>
              <w:top w:w="80" w:type="dxa"/>
              <w:bottom w:w="80" w:type="dxa"/>
              <w:start w:w="120" w:type="dxa"/>
              <w:end w:w="120" w:type="dxa"/>
            </w:tcMar>
          </w:tcPr>
          <w:p>
            <w:pPr>
              <w:spacing w:before="0" w:after="0" w:line="240" w:lineRule="auto"/>
              <w:jc w:val="center"/>
            </w:pPr>
            <w:r/>
            <w:r>
              <w:rPr>
                <w:rFonts w:ascii="Calibri" w:hAnsi="Calibri"/>
                <w:b w:val="0"/>
                <w:color w:val="000000"/>
                <w:sz w:val="15"/>
              </w:rPr>
              <w:t>4</w:t>
            </w:r>
          </w:p>
        </w:tc>
      </w:tr>
    </w:tbl>
    <w:p>
      <w:pPr>
        <w:pStyle w:val="Heading1"/>
      </w:pPr>
      <w:r>
        <w:t>Appendix C. Journal route and editorial questions</w:t>
      </w:r>
    </w:p>
    <w:p>
      <w:r>
        <w:t>Pacific-Basin Finance Journal is the recommended first route because its pre-registration initiative accepts an expression of interest as the first phase, and its 2026 update explicitly introduces a hybrid pathway for studies that need a transparently verified empirical precondition. The disclosed pilot is proposed as that precondition; editor confirmation is still required.</w:t>
      </w:r>
    </w:p>
    <w:p>
      <w:pPr>
        <w:pStyle w:val="Heading2"/>
      </w:pPr>
      <w:r>
        <w:t>Questions to resolve before sending the EOI</w:t>
      </w:r>
    </w:p>
    <w:p>
      <w:pPr>
        <w:spacing w:before="0" w:after="60" w:line="259" w:lineRule="auto"/>
        <w:numPr>
          <w:ilvl w:val="0"/>
          <w:numId w:val="10"/>
        </w:numPr>
      </w:pPr>
      <w:r>
        <w:t>Does the disclosed pilot qualify as the empirical precondition contemplated by the hybrid pathway?</w:t>
      </w:r>
    </w:p>
    <w:p>
      <w:pPr>
        <w:spacing w:before="0" w:after="60" w:line="259" w:lineRule="auto"/>
        <w:numPr>
          <w:ilvl w:val="0"/>
          <w:numId w:val="10"/>
        </w:numPr>
      </w:pPr>
      <w:r>
        <w:t>At which phase may the sealed 2010-2022 outcome panel be released, and is Phase-3 in-principle acceptance required?</w:t>
      </w:r>
    </w:p>
    <w:p>
      <w:pPr>
        <w:spacing w:before="0" w:after="60" w:line="259" w:lineRule="auto"/>
        <w:numPr>
          <w:ilvl w:val="0"/>
          <w:numId w:val="10"/>
        </w:numPr>
      </w:pPr>
      <w:r>
        <w:t>What controlled-access or authorized-rerun arrangement is acceptable for licensed market data?</w:t>
      </w:r>
    </w:p>
    <w:p>
      <w:pPr>
        <w:spacing w:before="0" w:after="60" w:line="259" w:lineRule="auto"/>
        <w:numPr>
          <w:ilvl w:val="0"/>
          <w:numId w:val="10"/>
        </w:numPr>
      </w:pPr>
      <w:r>
        <w:t>Can a cryptographically sealed Stage-2 data release preserve an outcome-blind boundary?</w:t>
      </w:r>
    </w:p>
    <w:p>
      <w:pPr>
        <w:spacing w:before="0" w:after="60" w:line="259" w:lineRule="auto"/>
        <w:numPr>
          <w:ilvl w:val="0"/>
          <w:numId w:val="10"/>
        </w:numPr>
      </w:pPr>
      <w:r>
        <w:t>Which article type and supplementary package should carry the code receipt and synthetic fixtures?</w:t>
      </w:r>
    </w:p>
    <w:p>
      <w:pPr>
        <w:pStyle w:val="Heading2"/>
      </w:pPr>
      <w:r>
        <w:t>Authoritative pathway sources</w:t>
      </w:r>
    </w:p>
    <w:p>
      <w:pPr>
        <w:spacing w:after="80"/>
      </w:pPr>
      <w:hyperlink r:id="rId12">
        <w:r>
          <w:rPr>
            <w:color w:val="2E74B5"/>
            <w:u w:val="single"/>
          </w:rPr>
          <w:t>Faff (2023), PBFJ pre-registration initiative</w:t>
        </w:r>
      </w:hyperlink>
    </w:p>
    <w:p>
      <w:pPr>
        <w:spacing w:after="80"/>
      </w:pPr>
      <w:hyperlink r:id="rId13">
        <w:r>
          <w:rPr>
            <w:color w:val="2E74B5"/>
            <w:u w:val="single"/>
          </w:rPr>
          <w:t>Faff (2026), PBFJ hybrid pre-registration update</w:t>
        </w:r>
      </w:hyperlink>
    </w:p>
    <w:p>
      <w:pPr>
        <w:spacing w:after="80"/>
      </w:pPr>
      <w:hyperlink r:id="rId14">
        <w:r>
          <w:rPr>
            <w:color w:val="2E74B5"/>
            <w:u w:val="single"/>
          </w:rPr>
          <w:t>Gharghori and Nguyen (2026), pre-registered China factor benchmark</w:t>
        </w:r>
      </w:hyperlink>
    </w:p>
    <w:p>
      <w:pPr>
        <w:spacing w:after="80"/>
      </w:pPr>
      <w:hyperlink r:id="rId15">
        <w:r>
          <w:rPr>
            <w:color w:val="2E74B5"/>
            <w:u w:val="single"/>
          </w:rPr>
          <w:t>Elsevier generative-AI policy for journal authors</w:t>
        </w:r>
      </w:hyperlink>
    </w:p>
    <w:p>
      <w:pPr>
        <w:pStyle w:val="Heading1"/>
      </w:pPr>
      <w:r>
        <w:t>Appendix D. Lock and release sequence</w:t>
      </w:r>
    </w:p>
    <w:p>
      <w:pPr>
        <w:spacing w:before="0" w:after="60" w:line="259" w:lineRule="auto"/>
        <w:numPr>
          <w:ilvl w:val="0"/>
          <w:numId w:val="15"/>
        </w:numPr>
      </w:pPr>
      <w:r>
        <w:t>Confirm author names, affiliations, corresponding-author email, and the repository license decision.</w:t>
      </w:r>
    </w:p>
    <w:p>
      <w:pPr>
        <w:spacing w:before="0" w:after="60" w:line="259" w:lineRule="auto"/>
        <w:numPr>
          <w:ilvl w:val="0"/>
          <w:numId w:val="15"/>
        </w:numPr>
      </w:pPr>
      <w:r>
        <w:t>Obtain editorial guidance on the hybrid pathway before releasing any Stage-2 outcome panel.</w:t>
      </w:r>
    </w:p>
    <w:p>
      <w:pPr>
        <w:spacing w:before="0" w:after="60" w:line="259" w:lineRule="auto"/>
        <w:numPr>
          <w:ilvl w:val="0"/>
          <w:numId w:val="15"/>
        </w:numPr>
      </w:pPr>
      <w:r>
        <w:t>Commit and externally timestamp the immutable 2016/2018 coverage-probe specification before making any probe request.</w:t>
      </w:r>
    </w:p>
    <w:p>
      <w:pPr>
        <w:spacing w:before="0" w:after="60" w:line="259" w:lineRule="auto"/>
        <w:numPr>
          <w:ilvl w:val="0"/>
          <w:numId w:val="15"/>
        </w:numPr>
      </w:pPr>
      <w:r>
        <w:t>Run only that fixed-symbol, fixed-date, raw-price probe; store immutable manifests without inspecting factor outcomes.</w:t>
      </w:r>
    </w:p>
    <w:p>
      <w:pPr>
        <w:spacing w:before="0" w:after="60" w:line="259" w:lineRule="auto"/>
        <w:numPr>
          <w:ilvl w:val="0"/>
          <w:numId w:val="15"/>
        </w:numPr>
      </w:pPr>
      <w:r>
        <w:t>Acquire or release the 2009-January 2023 quote panel and 2009-2022 publication-dated fundamentals only if all blind gates pass.</w:t>
      </w:r>
    </w:p>
    <w:p>
      <w:pPr>
        <w:spacing w:before="0" w:after="60" w:line="259" w:lineRule="auto"/>
        <w:numPr>
          <w:ilvl w:val="0"/>
          <w:numId w:val="15"/>
        </w:numPr>
      </w:pPr>
      <w:r>
        <w:t>Complete and hash the human review attestation; rerun the privacy-preserving coverage audit.</w:t>
      </w:r>
    </w:p>
    <w:p>
      <w:pPr>
        <w:spacing w:before="0" w:after="60" w:line="259" w:lineRule="auto"/>
        <w:numPr>
          <w:ilvl w:val="0"/>
          <w:numId w:val="15"/>
        </w:numPr>
      </w:pPr>
      <w:r>
        <w:t>Freeze the complete flat plan core; exclude only the later registration envelope and authorization time.</w:t>
      </w:r>
    </w:p>
    <w:p>
      <w:pPr>
        <w:spacing w:before="0" w:after="60" w:line="259" w:lineRule="auto"/>
        <w:numPr>
          <w:ilvl w:val="0"/>
          <w:numId w:val="15"/>
        </w:numPr>
      </w:pPr>
      <w:r>
        <w:t>Then create the manifest, external receipt, authorization, and final envelope, in that order.</w:t>
      </w:r>
    </w:p>
    <w:p>
      <w:pPr>
        <w:spacing w:before="0" w:after="60" w:line="259" w:lineRule="auto"/>
        <w:numPr>
          <w:ilvl w:val="0"/>
          <w:numId w:val="15"/>
        </w:numPr>
      </w:pPr>
      <w:r>
        <w:t>Execute all 72 IC cells, the sole primary, all 25 secondary family members, and both timing-isolation checks under the recorded authorization; publish every outcome without selection and disclose any repeated execution.</w:t>
      </w:r>
    </w:p>
    <w:p>
      <w:pPr>
        <w:spacing w:before="0" w:after="60" w:line="259" w:lineRule="auto"/>
        <w:numPr>
          <w:ilvl w:val="0"/>
          <w:numId w:val="15"/>
        </w:numPr>
      </w:pPr>
      <w:r>
        <w:t>Obtain an independent authorized rerun or controlled reviewer access before making any generalization claim.</w:t>
      </w:r>
    </w:p>
    <w:p>
      <w:pPr>
        <w:pStyle w:val="Heading1"/>
      </w:pPr>
      <w:r>
        <w:t>References</w:t>
      </w:r>
    </w:p>
    <w:p>
      <w:r>
        <w:t xml:space="preserve">Brown, S. J., Goetzmann, W., Ibbotson, R. G., &amp; Ross, S. A. (1992). Survivorship bias in performance studies. </w:t>
      </w:r>
      <w:r>
        <w:rPr>
          <w:i/>
        </w:rPr>
        <w:t>Review of Financial Studies, 5</w:t>
      </w:r>
      <w:r>
        <w:t xml:space="preserve">(4), 553-580. </w:t>
      </w:r>
      <w:hyperlink r:id="rId16">
        <w:r>
          <w:rPr>
            <w:color w:val="2E74B5"/>
            <w:u w:val="single"/>
          </w:rPr>
          <w:t>https://doi.org/10.1093/rfs/5.4.553</w:t>
        </w:r>
      </w:hyperlink>
    </w:p>
    <w:p>
      <w:r>
        <w:t xml:space="preserve">Faff, R. W. (2023). PBFJ Editorial: Engaging with responsible science - "Open for business" - launching the PBFJ pre-registration publication initiative. </w:t>
      </w:r>
      <w:r>
        <w:rPr>
          <w:i/>
        </w:rPr>
        <w:t>Pacific-Basin Finance Journal, 79</w:t>
      </w:r>
      <w:r>
        <w:t xml:space="preserve">, 101837. </w:t>
      </w:r>
      <w:hyperlink r:id="rId12">
        <w:r>
          <w:rPr>
            <w:color w:val="2E74B5"/>
            <w:u w:val="single"/>
          </w:rPr>
          <w:t>https://doi.org/10.1016/j.pacfin.2022.101837</w:t>
        </w:r>
      </w:hyperlink>
    </w:p>
    <w:p>
      <w:r>
        <w:t xml:space="preserve">Faff, R. W. (2026). PBFJ Editorial: Responsible and open science in action - an update on the PBFJ experiment and beyond. </w:t>
      </w:r>
      <w:r>
        <w:rPr>
          <w:i/>
        </w:rPr>
        <w:t>Pacific-Basin Finance Journal, 96</w:t>
      </w:r>
      <w:r>
        <w:t xml:space="preserve">, 103045. </w:t>
      </w:r>
      <w:hyperlink r:id="rId13">
        <w:r>
          <w:rPr>
            <w:color w:val="2E74B5"/>
            <w:u w:val="single"/>
          </w:rPr>
          <w:t>https://doi.org/10.1016/j.pacfin.2025.103045</w:t>
        </w:r>
      </w:hyperlink>
    </w:p>
    <w:p>
      <w:r>
        <w:t xml:space="preserve">Gharghori, P., &amp; Nguyen, A. (2026). Which factors in China? A pre-registered study. </w:t>
      </w:r>
      <w:r>
        <w:rPr>
          <w:i/>
        </w:rPr>
        <w:t>Pacific-Basin Finance Journal, 96</w:t>
      </w:r>
      <w:r>
        <w:t xml:space="preserve">, 103012. </w:t>
      </w:r>
      <w:hyperlink r:id="rId14">
        <w:r>
          <w:rPr>
            <w:color w:val="2E74B5"/>
            <w:u w:val="single"/>
          </w:rPr>
          <w:t>https://doi.org/10.1016/j.pacfin.2025.103012</w:t>
        </w:r>
      </w:hyperlink>
    </w:p>
    <w:p>
      <w:r>
        <w:t xml:space="preserve">Harvey, C. R., Liu, Y., &amp; Zhu, H. (2016). ... and the cross-section of expected returns. </w:t>
      </w:r>
      <w:r>
        <w:rPr>
          <w:i/>
        </w:rPr>
        <w:t>Review of Financial Studies, 29</w:t>
      </w:r>
      <w:r>
        <w:t xml:space="preserve">(1), 5-68. </w:t>
      </w:r>
      <w:hyperlink r:id="rId17">
        <w:r>
          <w:rPr>
            <w:color w:val="2E74B5"/>
            <w:u w:val="single"/>
          </w:rPr>
          <w:t>https://doi.org/10.1093/rfs/hhv059</w:t>
        </w:r>
      </w:hyperlink>
    </w:p>
    <w:p>
      <w:r>
        <w:t xml:space="preserve">Hou, K., Xue, C., &amp; Zhang, L. (2020). Replicating anomalies. </w:t>
      </w:r>
      <w:r>
        <w:rPr>
          <w:i/>
        </w:rPr>
        <w:t>Review of Financial Studies, 33</w:t>
      </w:r>
      <w:r>
        <w:t xml:space="preserve">(5), 2019-2133. </w:t>
      </w:r>
      <w:hyperlink r:id="rId18">
        <w:r>
          <w:rPr>
            <w:color w:val="2E74B5"/>
            <w:u w:val="single"/>
          </w:rPr>
          <w:t>https://doi.org/10.1093/rfs/hhy131</w:t>
        </w:r>
      </w:hyperlink>
    </w:p>
    <w:p>
      <w:r>
        <w:t xml:space="preserve">Liu, J., Stambaugh, R. F., &amp; Yuan, Y. (2019). Size and value in China. </w:t>
      </w:r>
      <w:r>
        <w:rPr>
          <w:i/>
        </w:rPr>
        <w:t>Journal of Financial Economics, 134</w:t>
      </w:r>
      <w:r>
        <w:t xml:space="preserve">(1), 48-69. </w:t>
      </w:r>
      <w:hyperlink r:id="rId19">
        <w:r>
          <w:rPr>
            <w:color w:val="2E74B5"/>
            <w:u w:val="single"/>
          </w:rPr>
          <w:t>https://doi.org/10.1016/j.jfineco.2019.03.008</w:t>
        </w:r>
      </w:hyperlink>
    </w:p>
    <w:p>
      <w:r>
        <w:t xml:space="preserve">Newey, W. K., &amp; West, K. D. (1987). A simple, positive semi-definite, heteroskedasticity and autocorrelation consistent covariance matrix. </w:t>
      </w:r>
      <w:r>
        <w:rPr>
          <w:i/>
        </w:rPr>
        <w:t>Econometrica, 55</w:t>
      </w:r>
      <w:r>
        <w:t xml:space="preserve">(3), 703-708. </w:t>
      </w:r>
      <w:hyperlink r:id="rId20">
        <w:r>
          <w:rPr>
            <w:color w:val="2E74B5"/>
            <w:u w:val="single"/>
          </w:rPr>
          <w:t>https://doi.org/10.2307/1913610</w:t>
        </w:r>
      </w:hyperlink>
    </w:p>
    <w:p>
      <w:r>
        <w:t xml:space="preserve">Novy-Marx, R., &amp; Velikov, M. (2016). A taxonomy of anomalies and their trading costs. </w:t>
      </w:r>
      <w:r>
        <w:rPr>
          <w:i/>
        </w:rPr>
        <w:t>Review of Financial Studies, 29</w:t>
      </w:r>
      <w:r>
        <w:t xml:space="preserve">(1), 104-147. </w:t>
      </w:r>
      <w:hyperlink r:id="rId21">
        <w:r>
          <w:rPr>
            <w:color w:val="2E74B5"/>
            <w:u w:val="single"/>
          </w:rPr>
          <w:t>https://doi.org/10.1093/rfs/hhv063</w:t>
        </w:r>
      </w:hyperlink>
    </w:p>
    <w:p>
      <w:r>
        <w:t xml:space="preserve">Shapley, L. S. (1953). A value for n-person games. In H. W. Kuhn &amp; A. W. Tucker (Eds.), </w:t>
      </w:r>
      <w:r>
        <w:rPr>
          <w:i/>
        </w:rPr>
        <w:t>Contributions to the Theory of Games II</w:t>
      </w:r>
      <w:r>
        <w:t xml:space="preserve"> (pp. 307-317). Princeton University Press.</w:t>
      </w:r>
    </w:p>
    <w:p>
      <w:r>
        <w:t xml:space="preserve">Stambaugh, R. F., Yu, J., &amp; Yuan, Y. (2017). Mispricing factors. </w:t>
      </w:r>
      <w:r>
        <w:rPr>
          <w:i/>
        </w:rPr>
        <w:t>Review of Financial Studies, 30</w:t>
      </w:r>
      <w:r>
        <w:t xml:space="preserve">(4), 1270-1315. </w:t>
      </w:r>
      <w:hyperlink r:id="rId22">
        <w:r>
          <w:rPr>
            <w:color w:val="2E74B5"/>
            <w:u w:val="single"/>
          </w:rPr>
          <w:t>https://doi.org/10.1093/rfs/hhw107</w:t>
        </w:r>
      </w:hyperlink>
    </w:p>
    <w:p>
      <w:r>
        <w:t xml:space="preserve">White, H. (2000). A reality check for data snooping. </w:t>
      </w:r>
      <w:r>
        <w:rPr>
          <w:i/>
        </w:rPr>
        <w:t>Econometrica, 68</w:t>
      </w:r>
      <w:r>
        <w:t xml:space="preserve">(5), 1097-1126. </w:t>
      </w:r>
      <w:hyperlink r:id="rId23">
        <w:r>
          <w:rPr>
            <w:color w:val="2E74B5"/>
            <w:u w:val="single"/>
          </w:rPr>
          <w:t>https://doi.org/10.1111/1468-0262.00152</w:t>
        </w:r>
      </w:hyperlink>
    </w:p>
    <w:p>
      <w:pPr>
        <w:pStyle w:val="Heading1"/>
      </w:pPr>
      <w:r>
        <w:t>Draft generative-AI disclosure - human confirmation required</w:t>
      </w:r>
    </w:p>
    <w:tbl>
      <w:tblPr>
        <w:tblW w:type="dxa" w:w="9360"/>
        <w:jc w:val="left"/>
        <w:tblLayout w:type="fixed"/>
        <w:tblLook w:firstColumn="1" w:firstRow="1" w:lastColumn="0" w:lastRow="0" w:noHBand="0" w:noVBand="1" w:val="04A0"/>
        <w:tblInd w:type="dxa" w:w="120"/>
        <w:tblBorders>
          <w:top w:val="single" w:sz="4" w:color="D7DBE2"/>
          <w:left w:val="single" w:sz="4" w:color="D7DBE2"/>
          <w:bottom w:val="single" w:sz="4" w:color="D7DBE2"/>
          <w:right w:val="single" w:sz="4" w:color="D7DBE2"/>
          <w:insideH w:val="single" w:sz="4" w:color="D7DBE2"/>
          <w:insideV w:val="single" w:sz="4" w:color="D7DBE2"/>
        </w:tblBorders>
      </w:tblPr>
      <w:tblGrid>
        <w:gridCol w:w="9360"/>
      </w:tblGrid>
      <w:tr>
        <w:trPr>
          <w:cantSplit/>
        </w:trPr>
        <w:tc>
          <w:tcPr>
            <w:tcW w:type="dxa" w:w="9360"/>
            <w:shd w:fill="FFF5D6"/>
            <w:vAlign w:val="center"/>
            <w:tcMar>
              <w:top w:w="80" w:type="dxa"/>
              <w:bottom w:w="80" w:type="dxa"/>
              <w:start w:w="120" w:type="dxa"/>
              <w:end w:w="120" w:type="dxa"/>
            </w:tcMar>
          </w:tcPr>
          <w:p>
            <w:pPr>
              <w:keepNext/>
              <w:spacing w:after="80"/>
            </w:pPr>
            <w:r/>
            <w:r>
              <w:rPr>
                <w:rFonts w:ascii="Calibri" w:hAnsi="Calibri"/>
                <w:b/>
                <w:color w:val="7A5A00"/>
                <w:sz w:val="18"/>
              </w:rPr>
              <w:t>DO NOT SUBMIT UNCHANGED</w:t>
            </w:r>
          </w:p>
          <w:p>
            <w:pPr>
              <w:spacing w:after="0" w:line="276" w:lineRule="auto"/>
            </w:pPr>
            <w:r>
              <w:t>During preparation of this protocol, OpenAI Codex was used for code scaffolding, statistical-protocol drafting, document generation, and editing support. Before submission, the named human authors must verify the analyses and citations, review and edit the manuscript, document the tool and version required by the journal, and accept full responsibility for the work.</w:t>
            </w:r>
          </w:p>
        </w:tc>
      </w:tr>
    </w:tbl>
    <w:p>
      <w:pPr>
        <w:spacing w:after="40"/>
      </w:pPr>
    </w:p>
    <w:sectPr w:rsidR="00FC693F" w:rsidRPr="0006063C" w:rsidSect="00034616">
      <w:headerReference w:type="default" r:id="rId9"/>
      <w:footerReference w:type="default" r:id="rId10"/>
      <w:pgSz w:w="12240" w:h="15840"/>
      <w:pgMar w:top="1037" w:right="1080" w:bottom="1037" w:left="1080" w:header="490"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F6B76"/>
        <w:sz w:val="16"/>
      </w:rPr>
      <w:t xml:space="preserve">DRAFT - DATA FEASIBILITY PENDING   |   SEPTEMBER 2026   |   </w:t>
    </w:r>
    <w:r>
      <w:rPr>
        <w:rFonts w:ascii="Calibri" w:hAnsi="Calibri"/>
        <w:color w:val="5F6B76"/>
        <w:sz w:val="16"/>
      </w:rPr>
      <w:t xml:space="preserve">Page </w:t>
    </w:r>
    <w:r>
      <w:rPr>
        <w:color w:val="5F6B76"/>
        <w:sz w:val="16"/>
      </w:rPr>
      <w:fldChar w:fldCharType="begin"/>
      <w:instrText xml:space="preserve"> PAGE </w:instrText>
      <w:fldChar w:fldCharType="separate"/>
      <w:t>1</w:t>
      <w:fldChar w:fldCharType="end"/>
    </w:r>
    <w:r>
      <w:rPr>
        <w:rFonts w:ascii="Calibri" w:hAnsi="Calibri"/>
        <w:color w:val="5F6B76"/>
        <w:sz w:val="16"/>
      </w:rPr>
      <w:t xml:space="preserve"> of </w:t>
    </w:r>
    <w:r>
      <w:rPr>
        <w:color w:val="5F6B76"/>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5F6B76"/>
        <w:sz w:val="16"/>
      </w:rPr>
      <w:t>STAGE-2 REGISTERED REPORT PROTOCOL   |   A-SHARE FACTOR BIAS DECOMPOSITION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suff w:val="tab"/>
      <w:pPr>
        <w:tabs>
          <w:tab w:val="num" w:pos="540"/>
        </w:tabs>
        <w:ind w:left="540" w:hanging="279"/>
        <w:spacing w:after="80" w:line="290" w:lineRule="auto"/>
      </w:pPr>
    </w:lvl>
  </w:abstractNum>
  <w:num w:numId="11">
    <w:abstractNumId w:val="10"/>
  </w:num>
  <w:num w:numId="12">
    <w:abstractNumId w:val="10"/>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jc w:val="both"/>
    </w:pPr>
    <w:rPr>
      <w:rFonts w:ascii="Calibri" w:hAnsi="Calibri"/>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Calibri" w:hAnsi="Calibri"/>
      <w:b/>
      <w:bCs/>
      <w:i w:val="0"/>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Calibri" w:hAnsi="Calibri"/>
      <w:b/>
      <w:bCs/>
      <w:i w:val="0"/>
      <w:color w:val="2E74B5"/>
      <w:sz w:val="23"/>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i w:val="0"/>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i w:val="0"/>
      <w:color w:val="0B25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jc w:val="center"/>
    </w:pPr>
    <w:rPr>
      <w:rFonts w:asciiTheme="majorHAnsi" w:eastAsiaTheme="majorEastAsia" w:hAnsiTheme="majorHAnsi" w:cstheme="majorBidi" w:ascii="Calibri" w:hAnsi="Calibri"/>
      <w:b w:val="0"/>
      <w:i w:val="0"/>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Kicker">
    <w:name w:val="Protocol Kicker"/>
    <w:pPr>
      <w:spacing w:before="0" w:after="80" w:line="240" w:lineRule="auto"/>
    </w:pPr>
    <w:rPr>
      <w:rFonts w:ascii="Calibri" w:hAnsi="Calibri"/>
      <w:b w:val="0"/>
      <w:i w:val="0"/>
      <w:color w:val="7A5A00"/>
      <w:sz w:val="20"/>
    </w:rPr>
  </w:style>
  <w:style w:type="paragraph" w:customStyle="1" w:styleId="ProtocolCaption">
    <w:name w:val="Protocol Caption"/>
    <w:pPr>
      <w:spacing w:before="80" w:after="80" w:line="240" w:lineRule="auto"/>
    </w:pPr>
    <w:rPr>
      <w:rFonts w:ascii="Calibri" w:hAnsi="Calibri"/>
      <w:b w:val="0"/>
      <w:i/>
      <w:color w:val="5F6B76"/>
      <w:sz w:val="18"/>
    </w:rPr>
  </w:style>
  <w:style w:type="paragraph" w:customStyle="1" w:styleId="ProtocolSmall">
    <w:name w:val="Protocol Small"/>
    <w:pPr>
      <w:spacing w:before="0" w:after="80" w:line="240" w:lineRule="auto"/>
    </w:pPr>
    <w:rPr>
      <w:rFonts w:ascii="Calibri" w:hAnsi="Calibri"/>
      <w:b w:val="0"/>
      <w:i w:val="0"/>
      <w:color w:val="5F6B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016/j.pacfin.2022.101837" TargetMode="External"/><Relationship Id="rId13" Type="http://schemas.openxmlformats.org/officeDocument/2006/relationships/hyperlink" Target="https://doi.org/10.1016/j.pacfin.2025.103045" TargetMode="External"/><Relationship Id="rId14" Type="http://schemas.openxmlformats.org/officeDocument/2006/relationships/hyperlink" Target="https://doi.org/10.1016/j.pacfin.2025.103012" TargetMode="External"/><Relationship Id="rId15" Type="http://schemas.openxmlformats.org/officeDocument/2006/relationships/hyperlink" Target="https://www.elsevier.com/en-au/about/policies-and-standards/generative-ai-policies-for-journals" TargetMode="External"/><Relationship Id="rId16" Type="http://schemas.openxmlformats.org/officeDocument/2006/relationships/hyperlink" Target="https://doi.org/10.1093/rfs/5.4.553" TargetMode="External"/><Relationship Id="rId17" Type="http://schemas.openxmlformats.org/officeDocument/2006/relationships/hyperlink" Target="https://doi.org/10.1093/rfs/hhv059" TargetMode="External"/><Relationship Id="rId18" Type="http://schemas.openxmlformats.org/officeDocument/2006/relationships/hyperlink" Target="https://doi.org/10.1093/rfs/hhy131" TargetMode="External"/><Relationship Id="rId19" Type="http://schemas.openxmlformats.org/officeDocument/2006/relationships/hyperlink" Target="https://doi.org/10.1016/j.jfineco.2019.03.008" TargetMode="External"/><Relationship Id="rId20" Type="http://schemas.openxmlformats.org/officeDocument/2006/relationships/hyperlink" Target="https://doi.org/10.2307/1913610" TargetMode="External"/><Relationship Id="rId21" Type="http://schemas.openxmlformats.org/officeDocument/2006/relationships/hyperlink" Target="https://doi.org/10.1093/rfs/hhv063" TargetMode="External"/><Relationship Id="rId22" Type="http://schemas.openxmlformats.org/officeDocument/2006/relationships/hyperlink" Target="https://doi.org/10.1093/rfs/hhw107" TargetMode="External"/><Relationship Id="rId23" Type="http://schemas.openxmlformats.org/officeDocument/2006/relationships/hyperlink" Target="https://doi.org/10.1111/1468-0262.001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Do Information Timing and Implementation Choices Shift A-Share Factor Evidence?</dc:title>
  <dc:subject>Stage-2 registered-report protocol</dc:subject>
  <dc:creator>Research team (authors to be confirmed)</dc:creator>
  <cp:keywords>A-shares; preregistration; point-in-time data; survivorship bias; Shapley decomposition</cp:keywords>
  <dc:description/>
  <cp:lastModifiedBy>Research team</cp:lastModifiedBy>
  <cp:revision>1</cp:revision>
  <dcterms:created xsi:type="dcterms:W3CDTF">2026-09-01T00:00:00Z</dcterms:created>
  <dcterms:modified xsi:type="dcterms:W3CDTF">2026-09-01T05:56:10Z</dcterms:modified>
  <cp:category/>
</cp:coreProperties>
</file>