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PingFang SC"/>
          <w:b/>
          <w:i w:val="0"/>
          <w:color w:val="2E74B5"/>
          <w:sz w:val="19"/>
        </w:rPr>
        <w:t>IN-KIND DATA SPONSORSHIP PROPOSAL</w:t>
      </w:r>
    </w:p>
    <w:p>
      <w:pPr>
        <w:spacing w:after="80"/>
        <w:jc w:val="center"/>
      </w:pPr>
      <w:r>
        <w:rPr>
          <w:rFonts w:ascii="Calibri" w:hAnsi="Calibri" w:eastAsia="PingFang SC"/>
          <w:b/>
          <w:i w:val="0"/>
          <w:color w:val="0B2545"/>
          <w:sz w:val="42"/>
        </w:rPr>
        <w:t>Report Dates, Publication Dates, and the A-Share ROE Signal</w:t>
      </w:r>
    </w:p>
    <w:p>
      <w:pPr>
        <w:spacing w:after="200"/>
        <w:jc w:val="center"/>
      </w:pPr>
      <w:r>
        <w:rPr>
          <w:rFonts w:ascii="Calibri" w:hAnsi="Calibri" w:eastAsia="PingFang SC"/>
          <w:b w:val="0"/>
          <w:i/>
          <w:color w:val="596069"/>
          <w:sz w:val="23"/>
        </w:rPr>
        <w:t>A pre-specified historical confirmation of information-timing and implementation effects</w:t>
      </w:r>
    </w:p>
    <w:p>
      <w:pPr>
        <w:spacing w:after="140"/>
        <w:jc w:val="center"/>
      </w:pPr>
      <w:r>
        <w:rPr>
          <w:rFonts w:ascii="Calibri" w:hAnsi="Calibri" w:eastAsia="PingFang SC"/>
          <w:b w:val="0"/>
          <w:i w:val="0"/>
          <w:color w:val="000000"/>
          <w:sz w:val="18"/>
          <w:shd w:fill="FFF2CC"/>
        </w:rPr>
        <w:t>Researcher: [Name]</w:t>
      </w:r>
      <w:r>
        <w:rPr>
          <w:rFonts w:ascii="Calibri" w:hAnsi="Calibri" w:eastAsia="PingFang SC"/>
          <w:b w:val="0"/>
          <w:i w:val="0"/>
          <w:color w:val="000000"/>
          <w:sz w:val="18"/>
          <w:shd w:fill="FFF2CC"/>
        </w:rPr>
        <w:t xml:space="preserve">  |  Status: [Current status]</w:t>
      </w:r>
      <w:r>
        <w:rPr>
          <w:rFonts w:ascii="Calibri" w:hAnsi="Calibri" w:eastAsia="PingFang SC"/>
          <w:b w:val="0"/>
          <w:i w:val="0"/>
          <w:color w:val="000000"/>
          <w:sz w:val="18"/>
          <w:shd w:fill="FFF2CC"/>
        </w:rPr>
        <w:t xml:space="preserve">  |  Affiliation: [Institution or Independent Researcher]</w:t>
      </w:r>
      <w:r>
        <w:rPr>
          <w:rFonts w:ascii="Calibri" w:hAnsi="Calibri" w:eastAsia="PingFang SC"/>
          <w:b w:val="0"/>
          <w:i w:val="0"/>
          <w:color w:val="000000"/>
          <w:sz w:val="18"/>
          <w:shd w:fill="FFF2CC"/>
        </w:rPr>
        <w:t xml:space="preserve">  |  Contact: [Email]</w:t>
      </w:r>
    </w:p>
    <w:p>
      <w:pPr>
        <w:keepNext/>
        <w:spacing w:before="140" w:after="40"/>
      </w:pPr>
      <w:r>
        <w:rPr>
          <w:rFonts w:ascii="Calibri" w:hAnsi="Calibri" w:eastAsia="PingFang SC"/>
          <w:b/>
          <w:i w:val="0"/>
          <w:color w:val="2E74B5"/>
          <w:sz w:val="20"/>
        </w:rPr>
        <w:t>RESEARCH QUESTION</w:t>
      </w:r>
    </w:p>
    <w:p>
      <w:pPr>
        <w:keepLines/>
        <w:spacing w:after="100"/>
      </w:pPr>
      <w:r>
        <w:rPr>
          <w:rFonts w:ascii="Calibri" w:hAnsi="Calibri" w:eastAsia="PingFang SC"/>
          <w:b w:val="0"/>
          <w:i w:val="0"/>
          <w:color w:val="000000"/>
          <w:sz w:val="21"/>
        </w:rPr>
        <w:t>How much do information timing and implementation conventions distort A-share factor evidence? The study separates the effect of using fiscal report-period dates from recorded publication dates and then decomposes four implementation choices: ST exclusion, suspension exclusion, a 20-session liquidity floor, and a one-session lag.</w:t>
      </w:r>
    </w:p>
    <w:p>
      <w:pPr>
        <w:keepNext/>
        <w:spacing w:before="140" w:after="40"/>
      </w:pPr>
      <w:r>
        <w:rPr>
          <w:rFonts w:ascii="Calibri" w:hAnsi="Calibri" w:eastAsia="PingFang SC"/>
          <w:b/>
          <w:i w:val="0"/>
          <w:color w:val="2E74B5"/>
          <w:sz w:val="20"/>
        </w:rPr>
        <w:t>WHY IT MATTERS</w:t>
      </w:r>
    </w:p>
    <w:p>
      <w:pPr>
        <w:keepLines/>
        <w:spacing w:after="100"/>
      </w:pPr>
      <w:r>
        <w:rPr>
          <w:rFonts w:ascii="Calibri" w:hAnsi="Calibri" w:eastAsia="PingFang SC"/>
          <w:b w:val="0"/>
          <w:i w:val="0"/>
          <w:color w:val="000000"/>
          <w:sz w:val="21"/>
        </w:rPr>
        <w:t>A factor can appear predictive when accounting information is treated as available before it was published, or when historical membership, suspensions, liquidity, and execution timing are handled inconsistently. The project converts these often-hidden choices into a fully disclosed research object rather than presenting only the best-performing specification.</w:t>
      </w:r>
    </w:p>
    <w:p>
      <w:pPr>
        <w:keepNext/>
        <w:spacing w:before="140" w:after="40"/>
      </w:pPr>
      <w:r>
        <w:rPr>
          <w:rFonts w:ascii="Calibri" w:hAnsi="Calibri" w:eastAsia="PingFang SC"/>
          <w:b/>
          <w:i w:val="0"/>
          <w:color w:val="2E74B5"/>
          <w:sz w:val="20"/>
        </w:rPr>
        <w:t>PRE-SPECIFIED DESIGN</w:t>
      </w:r>
    </w:p>
    <w:p>
      <w:pPr>
        <w:keepLines/>
        <w:spacing w:after="100"/>
      </w:pPr>
      <w:r>
        <w:rPr>
          <w:rFonts w:ascii="Calibri" w:hAnsi="Calibri" w:eastAsia="PingFang SC"/>
          <w:b w:val="0"/>
          <w:i w:val="0"/>
          <w:color w:val="000000"/>
          <w:sz w:val="21"/>
        </w:rPr>
        <w:t>The public 2025-June 2026 pilot is disclosed as prior evidence and will not be relabeled as confirmation. Stage 2 targets January 2010-December 2022, with a 2009 warm-up and exact forward endpoints through January 2023. It reports all 18 variants and 72 factor-variant cells. Confirmatory inference is limited to one primary estimand and a fixed 28-member secondary family with multiplicity control. Coverage is tested without viewing factor outcomes; the design is frozen and externally registered before a separately authorized execution.</w:t>
      </w:r>
    </w:p>
    <w:p>
      <w:pPr>
        <w:keepNext/>
        <w:spacing w:before="140" w:after="40"/>
      </w:pPr>
      <w:r>
        <w:rPr>
          <w:rFonts w:ascii="Calibri" w:hAnsi="Calibri" w:eastAsia="PingFang SC"/>
          <w:b/>
          <w:i w:val="0"/>
          <w:color w:val="2E74B5"/>
          <w:sz w:val="20"/>
        </w:rPr>
        <w:t>SUPPORT REQUESTED</w:t>
      </w:r>
    </w:p>
    <w:p>
      <w:pPr>
        <w:keepLines/>
        <w:spacing w:after="100"/>
      </w:pPr>
      <w:r>
        <w:rPr>
          <w:rFonts w:ascii="Calibri" w:hAnsi="Calibri" w:eastAsia="PingFang SC"/>
          <w:b w:val="0"/>
          <w:i w:val="0"/>
          <w:color w:val="000000"/>
          <w:sz w:val="21"/>
        </w:rPr>
        <w:t>Time-limited academic access to the required historical A-share datasets; exact product/table/field mapping and a technical liaison; and written permission for local non-commercial analysis, aggregate publication, provider and field citation, hashes, and controlled reviewer reruns. No result-bearing rows are requested during the initial review. The study remains BLOCKED_FOR_STAGE2 until coverage, rights, registration, and execution authorization all pass.</w:t>
      </w:r>
    </w:p>
    <w:p>
      <w:pPr>
        <w:keepNext/>
        <w:spacing w:before="140" w:after="40"/>
      </w:pPr>
      <w:r>
        <w:rPr>
          <w:rFonts w:ascii="Calibri" w:hAnsi="Calibri" w:eastAsia="PingFang SC"/>
          <w:b/>
          <w:i w:val="0"/>
          <w:color w:val="2E74B5"/>
          <w:sz w:val="20"/>
        </w:rPr>
        <w:t>VALUE TO THE DATA PARTNER</w:t>
      </w:r>
    </w:p>
    <w:p>
      <w:pPr>
        <w:keepLines/>
        <w:spacing w:after="100"/>
      </w:pPr>
      <w:r>
        <w:rPr>
          <w:rFonts w:ascii="Calibri" w:hAnsi="Calibri" w:eastAsia="PingFang SC"/>
          <w:b w:val="0"/>
          <w:i w:val="0"/>
          <w:color w:val="000000"/>
          <w:sz w:val="21"/>
        </w:rPr>
        <w:t>A transparent academic use case; formal citation and acknowledgement; an open-source reproducibility framework that excludes licensed raw rows; permitted aggregate coverage and data-quality feedback; and an optional post-publication methods discussion. Support is not exchanged for positive findings, endorsement, authorship, or publication control. A single-version export will not be presented as revision or vintage history.</w:t>
      </w:r>
    </w:p>
    <w:p>
      <w:pPr>
        <w:spacing w:before="100" w:after="0"/>
        <w:jc w:val="center"/>
      </w:pPr>
      <w:r>
        <w:rPr>
          <w:rFonts w:ascii="Calibri" w:hAnsi="Calibri" w:eastAsia="PingFang SC"/>
          <w:b/>
          <w:i w:val="0"/>
          <w:color w:val="1F4D78"/>
          <w:sz w:val="19"/>
        </w:rPr>
        <w:t>Public repository: https://github.com/Wsw-lab/a-share-quant-research-agent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PingFang SC"/>
        <w:b w:val="0"/>
        <w:i/>
        <w:color w:val="596069"/>
        <w:sz w:val="17"/>
      </w:rPr>
      <w:t>CONFIDENTIAL DRAFT - Complete highlighted identity fields before sending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i w:val="0"/>
        <w:color w:val="596069"/>
        <w:sz w:val="18"/>
      </w:rPr>
      <w:t>Research Partnership Brief  |  A-Share Factor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PingFang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A-Share Research Project</dc:creator>
  <cp:keywords/>
  <dc:description>Provider outreach materials; identity placeholders require completion before dispatch.</dc:description>
  <cp:lastModifiedBy>A-Share Research Project</cp:lastModifiedBy>
  <cp:revision>1</cp:revision>
  <dcterms:created xsi:type="dcterms:W3CDTF">2013-12-23T23:15:00Z</dcterms:created>
  <dcterms:modified xsi:type="dcterms:W3CDTF">2013-12-23T23:15:00Z</dcterms:modified>
  <cp:category/>
</cp:coreProperties>
</file>