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24" w:lineRule="auto"/>
        <w:jc w:val="center"/>
      </w:pPr>
      <w:r>
        <w:rPr>
          <w:rFonts w:ascii="Arial" w:hAnsi="Arial" w:eastAsia="微软雅黑"/>
          <w:b/>
          <w:color w:val="1F4E79"/>
          <w:sz w:val="44"/>
        </w:rPr>
        <w:t>地下管网数字化健康监测系统</w:t>
        <w:br/>
        <w:t>详细设计方案</w:t>
      </w:r>
    </w:p>
    <w:p>
      <w:pPr>
        <w:spacing w:before="0" w:after="480" w:line="300" w:lineRule="auto"/>
        <w:jc w:val="center"/>
      </w:pPr>
      <w:r>
        <w:rPr>
          <w:rFonts w:ascii="Arial" w:hAnsi="Arial" w:eastAsia="微软雅黑"/>
          <w:color w:val="666666"/>
          <w:sz w:val="22"/>
        </w:rPr>
        <w:t>基于“资产一张图 + 实时监测 + 智能分析 + 预警处置 + 决策指挥”的前后端分离架构</w:t>
      </w:r>
    </w:p>
    <w:tbl>
      <w:tblPr>
        <w:tblW w:type="auto" w:w="0"/>
        <w:jc w:val="center"/>
        <w:tblLayout w:type="fixed"/>
        <w:tblLook w:firstColumn="1" w:firstRow="1" w:lastColumn="0" w:lastRow="0" w:noHBand="0" w:noVBand="1" w:val="04A0"/>
      </w:tblPr>
      <w:tblGrid>
        <w:gridCol w:w="4705"/>
        <w:gridCol w:w="4705"/>
      </w:tblGrid>
      <w:tr>
        <w:tc>
          <w:tcPr>
            <w:tcW w:type="dxa" w:w="1814"/>
            <w:shd w:fill="EAF2F8"/>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center"/>
            </w:pPr>
            <w:r>
              <w:rPr>
                <w:rFonts w:ascii="Arial" w:hAnsi="Arial" w:eastAsia="微软雅黑"/>
                <w:b/>
                <w:color w:val="244061"/>
                <w:sz w:val="20"/>
              </w:rPr>
              <w:t>文档定位</w:t>
            </w:r>
          </w:p>
        </w:tc>
        <w:tc>
          <w:tcPr>
            <w:tcW w:type="dxa" w:w="5953"/>
            <w:shd w:fill="F9FBFD"/>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left"/>
            </w:pPr>
            <w:r>
              <w:rPr>
                <w:rFonts w:ascii="Arial" w:hAnsi="Arial" w:eastAsia="微软雅黑"/>
                <w:b w:val="0"/>
                <w:color w:val="333333"/>
                <w:sz w:val="20"/>
              </w:rPr>
              <w:t>系统总体方案与详细设计说明书</w:t>
            </w:r>
          </w:p>
        </w:tc>
      </w:tr>
      <w:tr>
        <w:tc>
          <w:tcPr>
            <w:tcW w:type="dxa" w:w="1814"/>
            <w:shd w:fill="EAF2F8"/>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center"/>
            </w:pPr>
            <w:r>
              <w:rPr>
                <w:rFonts w:ascii="Arial" w:hAnsi="Arial" w:eastAsia="微软雅黑"/>
                <w:b/>
                <w:color w:val="244061"/>
                <w:sz w:val="20"/>
              </w:rPr>
              <w:t>适用对象</w:t>
            </w:r>
          </w:p>
        </w:tc>
        <w:tc>
          <w:tcPr>
            <w:tcW w:type="dxa" w:w="5953"/>
            <w:shd w:fill="F9FBFD"/>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left"/>
            </w:pPr>
            <w:r>
              <w:rPr>
                <w:rFonts w:ascii="Arial" w:hAnsi="Arial" w:eastAsia="微软雅黑"/>
                <w:b w:val="0"/>
                <w:color w:val="333333"/>
                <w:sz w:val="20"/>
              </w:rPr>
              <w:t>地下管网数字化健康监测系统项目</w:t>
            </w:r>
          </w:p>
        </w:tc>
      </w:tr>
      <w:tr>
        <w:tc>
          <w:tcPr>
            <w:tcW w:type="dxa" w:w="1814"/>
            <w:shd w:fill="EAF2F8"/>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center"/>
            </w:pPr>
            <w:r>
              <w:rPr>
                <w:rFonts w:ascii="Arial" w:hAnsi="Arial" w:eastAsia="微软雅黑"/>
                <w:b/>
                <w:color w:val="244061"/>
                <w:sz w:val="20"/>
              </w:rPr>
              <w:t>建议技术路线</w:t>
            </w:r>
          </w:p>
        </w:tc>
        <w:tc>
          <w:tcPr>
            <w:tcW w:type="dxa" w:w="5953"/>
            <w:shd w:fill="F9FBFD"/>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left"/>
            </w:pPr>
            <w:r>
              <w:rPr>
                <w:rFonts w:ascii="Arial" w:hAnsi="Arial" w:eastAsia="微软雅黑"/>
                <w:b w:val="0"/>
                <w:color w:val="333333"/>
                <w:sz w:val="20"/>
              </w:rPr>
              <w:t>Vue3 + Spring Boot + GIS/数字孪生扩展架构</w:t>
            </w:r>
          </w:p>
        </w:tc>
      </w:tr>
      <w:tr>
        <w:tc>
          <w:tcPr>
            <w:tcW w:type="dxa" w:w="1814"/>
            <w:shd w:fill="EAF2F8"/>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center"/>
            </w:pPr>
            <w:r>
              <w:rPr>
                <w:rFonts w:ascii="Arial" w:hAnsi="Arial" w:eastAsia="微软雅黑"/>
                <w:b/>
                <w:color w:val="244061"/>
                <w:sz w:val="20"/>
              </w:rPr>
              <w:t>编制日期</w:t>
            </w:r>
          </w:p>
        </w:tc>
        <w:tc>
          <w:tcPr>
            <w:tcW w:type="dxa" w:w="5953"/>
            <w:shd w:fill="F9FBFD"/>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left"/>
            </w:pPr>
            <w:r>
              <w:rPr>
                <w:rFonts w:ascii="Arial" w:hAnsi="Arial" w:eastAsia="微软雅黑"/>
                <w:b w:val="0"/>
                <w:color w:val="333333"/>
                <w:sz w:val="20"/>
              </w:rPr>
              <w:t>2026年3月</w:t>
            </w:r>
          </w:p>
        </w:tc>
      </w:tr>
    </w:tbl>
    <w:p/>
    <w:tbl>
      <w:tblPr>
        <w:tblW w:type="auto" w:w="0"/>
        <w:jc w:val="center"/>
        <w:tblLook w:firstColumn="1" w:firstRow="1" w:lastColumn="0" w:lastRow="0" w:noHBand="0" w:noVBand="1" w:val="04A0"/>
      </w:tblPr>
      <w:tblGrid>
        <w:gridCol w:w="9411"/>
      </w:tblGrid>
      <w:tr>
        <w:tc>
          <w:tcPr>
            <w:tcW w:type="dxa" w:w="9411"/>
            <w:shd w:fill="D9EAF7"/>
            <w:tcBorders>
              <w:start w:val="single" w:sz="10" w:color="9CC2E5"/>
              <w:top w:val="single" w:sz="10" w:color="9CC2E5"/>
              <w:end w:val="single" w:sz="10" w:color="9CC2E5"/>
              <w:bottom w:val="single" w:sz="10" w:color="9CC2E5"/>
            </w:tcBorders>
            <w:tcMar>
              <w:top w:w="100" w:type="dxa"/>
              <w:start w:w="140" w:type="dxa"/>
              <w:bottom w:w="100" w:type="dxa"/>
              <w:end w:w="140" w:type="dxa"/>
            </w:tcMar>
          </w:tcPr>
          <w:p>
            <w:pPr>
              <w:spacing w:before="0" w:after="0" w:line="240" w:lineRule="auto"/>
              <w:jc w:val="left"/>
            </w:pPr>
            <w:r>
              <w:rPr>
                <w:rFonts w:ascii="Arial" w:hAnsi="Arial" w:eastAsia="微软雅黑"/>
                <w:b/>
                <w:color w:val="1F1F1F"/>
                <w:sz w:val="21"/>
              </w:rPr>
              <w:t>编制说明</w:t>
            </w:r>
          </w:p>
        </w:tc>
      </w:tr>
      <w:tr>
        <w:tc>
          <w:tcPr>
            <w:tcW w:type="dxa" w:w="9411"/>
            <w:shd w:fill="F3F7FB"/>
            <w:tcBorders>
              <w:start w:val="single" w:sz="10" w:color="9CC2E5"/>
              <w:top w:val="single" w:sz="10" w:color="9CC2E5"/>
              <w:end w:val="single" w:sz="10" w:color="9CC2E5"/>
              <w:bottom w:val="single" w:sz="10" w:color="9CC2E5"/>
            </w:tcBorders>
            <w:tcMar>
              <w:top w:w="100" w:type="dxa"/>
              <w:start w:w="140" w:type="dxa"/>
              <w:bottom w:w="110" w:type="dxa"/>
              <w:end w:w="140" w:type="dxa"/>
            </w:tcMar>
          </w:tcPr>
          <w:p>
            <w:pPr>
              <w:spacing w:before="0" w:after="0" w:line="307" w:lineRule="auto"/>
              <w:jc w:val="left"/>
            </w:pPr>
            <w:r>
              <w:rPr>
                <w:rFonts w:ascii="Arial" w:hAnsi="Arial" w:eastAsia="微软雅黑"/>
                <w:color w:val="333333"/>
                <w:sz w:val="20"/>
              </w:rPr>
              <w:t>本方案在用户现有“基础建档—实时感知—评估分析—风险预警—运维处置”闭环设计基础上，进一步补充三维 GIS、数据接入治理、时序存储、算法服务和运维闭环等能力，形成可直接用于项目立项、需求澄清、系统开发与毕业设计/课题申报支撑的详细设计稿。</w:t>
            </w:r>
          </w:p>
        </w:tc>
      </w:tr>
    </w:tbl>
    <w:p/>
    <w:p>
      <w:r>
        <w:br w:type="page"/>
      </w:r>
    </w:p>
    <w:p>
      <w:pPr>
        <w:pStyle w:val="Heading1"/>
        <w:spacing w:before="160" w:after="120" w:line="276" w:lineRule="auto"/>
        <w:jc w:val="left"/>
      </w:pPr>
      <w:r>
        <w:rPr>
          <w:rFonts w:ascii="Arial" w:hAnsi="Arial" w:eastAsia="微软雅黑"/>
          <w:b/>
          <w:color w:val="1F4E79"/>
          <w:sz w:val="30"/>
        </w:rPr>
        <w:t>1 设计背景与建设目标</w:t>
      </w:r>
    </w:p>
    <w:p>
      <w:pPr>
        <w:spacing w:before="0" w:after="120" w:line="336" w:lineRule="auto"/>
        <w:ind w:firstLine="420"/>
      </w:pPr>
      <w:r>
        <w:t>建议直接采用以下组合：前端为 Vue3 + TypeScript + Vite + Vue Router + Pinia + Element Plus + ECharts + CesiumJS；后端为 Spring Boot + Spring Security + JWT + MyBatis-Plus + MyBatis XML + Redis + Redisson + MySQL；空间部分为 GeoServer + PostGIS；高频监测部分为 TimescaleDB；附件为 MinIO；实时推送为 Spring WebSocket + STOMP；算法服务为 Python FastAPI。</w:t>
      </w:r>
    </w:p>
    <w:p>
      <w:pPr>
        <w:spacing w:before="120" w:after="80" w:line="240" w:lineRule="auto"/>
      </w:pPr>
      <w:r>
        <w:rPr>
          <w:rFonts w:ascii="Arial" w:hAnsi="Arial" w:eastAsia="微软雅黑"/>
          <w:b/>
          <w:color w:val="244061"/>
          <w:sz w:val="21"/>
        </w:rPr>
        <w:t>表1-1 设计目标分解</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361"/>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目标维度</w:t>
            </w:r>
          </w:p>
        </w:tc>
        <w:tc>
          <w:tcPr>
            <w:tcW w:type="dxa" w:w="3402"/>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建设目标</w:t>
            </w:r>
          </w:p>
        </w:tc>
        <w:tc>
          <w:tcPr>
            <w:tcW w:type="dxa" w:w="3969"/>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设计落点</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资产管理</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实现管网、管段、节点、附属设施、传感器的统一建档与空间关联</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三维一张图、对象档案、空间查询、生命周期管理</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运行监测</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实现压力、流量、浓度、液位、设备状态等实时感知与历史追溯</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时序数据接入、曲线分析、设备在线监测、异常识别</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健康诊断</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将原始监测数据转化为健康度、漏损率、风险等级等业务指标</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规则引擎、评分模型、趋势分析、智能算法服务</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预警处置</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实现告警生成、分级、派单、处置、复核和闭环追踪</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告警中心、工单系统、处置建议、联动地图</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管理决策</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实现全市管网健康态势、风险分布和综合报表展示</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驾驶舱、大屏、专题分析、统计报表</w:t>
            </w:r>
          </w:p>
        </w:tc>
      </w:tr>
    </w:tbl>
    <w:p/>
    <w:p>
      <w:pPr>
        <w:pStyle w:val="Heading1"/>
        <w:spacing w:before="160" w:after="120" w:line="276" w:lineRule="auto"/>
        <w:jc w:val="left"/>
      </w:pPr>
      <w:r>
        <w:rPr>
          <w:rFonts w:ascii="Arial" w:hAnsi="Arial" w:eastAsia="微软雅黑"/>
          <w:b/>
          <w:color w:val="1F4E79"/>
          <w:sz w:val="30"/>
        </w:rPr>
        <w:t>2 推荐的系统划分方案</w:t>
      </w:r>
    </w:p>
    <w:p>
      <w:pPr>
        <w:spacing w:before="0" w:after="120" w:line="336" w:lineRule="auto"/>
        <w:ind w:firstLine="420"/>
      </w:pPr>
      <w:r>
        <w:rPr>
          <w:rFonts w:ascii="Arial" w:hAnsi="Arial" w:eastAsia="微软雅黑"/>
          <w:sz w:val="21"/>
        </w:rPr>
        <w:t>从工程实施角度看，若仅设置“管线管理系统、系统管理中心、监测分析-预警处置中心”三个入口，后续极易出现职责重叠：三维地图承担了太多业务、告警处置缺乏管理中台、综合态势展示与具体业务操作混在一起。为提高系统严谨性与可扩展性，建议采用“4个业务子系统 + 1个平台支撑层”的总体划分方式。</w:t>
      </w:r>
    </w:p>
    <w:p>
      <w:pPr>
        <w:spacing w:before="120" w:after="80" w:line="240" w:lineRule="auto"/>
      </w:pPr>
      <w:r>
        <w:rPr>
          <w:rFonts w:ascii="Arial" w:hAnsi="Arial" w:eastAsia="微软雅黑"/>
          <w:b/>
          <w:color w:val="244061"/>
          <w:sz w:val="21"/>
        </w:rPr>
        <w:t>表2-1 推荐的总体划分</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247"/>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层级</w:t>
            </w:r>
          </w:p>
        </w:tc>
        <w:tc>
          <w:tcPr>
            <w:tcW w:type="dxa" w:w="2438"/>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名称</w:t>
            </w:r>
          </w:p>
        </w:tc>
        <w:tc>
          <w:tcPr>
            <w:tcW w:type="dxa" w:w="3515"/>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定位</w:t>
            </w:r>
          </w:p>
        </w:tc>
        <w:tc>
          <w:tcPr>
            <w:tcW w:type="dxa" w:w="2381"/>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主要服务对象</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业务子系统</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三维地下管线管理系统</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空间底座与资产底座</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档案管理人员、规划人员、调度人员</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业务子系统</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监测分析—预警处置中心</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实时感知、诊断分析与运维闭环</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监测人员、维护人员</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业务子系统</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综合态势与决策指挥中心</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宏观态势、专题分析和综合报表</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管理人员、领导用户</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业务子系统</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系统管理中心</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权限、规则、参数、设备与日志管理</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系统管理员、运维管理员</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平台支撑层</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数据接入与治理 / 空间服务 / 算法服务</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为上层子系统提供统一数据和能力底座</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系统内部服务</w:t>
            </w:r>
          </w:p>
        </w:tc>
      </w:tr>
    </w:tbl>
    <w:p/>
    <w:tbl>
      <w:tblPr>
        <w:tblW w:type="auto" w:w="0"/>
        <w:jc w:val="center"/>
        <w:tblLook w:firstColumn="1" w:firstRow="1" w:lastColumn="0" w:lastRow="0" w:noHBand="0" w:noVBand="1" w:val="04A0"/>
      </w:tblPr>
      <w:tblGrid>
        <w:gridCol w:w="9411"/>
      </w:tblGrid>
      <w:tr>
        <w:tc>
          <w:tcPr>
            <w:tcW w:type="dxa" w:w="9411"/>
            <w:shd w:fill="D9EAF7"/>
            <w:tcBorders>
              <w:start w:val="single" w:sz="10" w:color="9CC2E5"/>
              <w:top w:val="single" w:sz="10" w:color="9CC2E5"/>
              <w:end w:val="single" w:sz="10" w:color="9CC2E5"/>
              <w:bottom w:val="single" w:sz="10" w:color="9CC2E5"/>
            </w:tcBorders>
            <w:tcMar>
              <w:top w:w="100" w:type="dxa"/>
              <w:start w:w="140" w:type="dxa"/>
              <w:bottom w:w="100" w:type="dxa"/>
              <w:end w:w="140" w:type="dxa"/>
            </w:tcMar>
          </w:tcPr>
          <w:p>
            <w:pPr>
              <w:spacing w:before="0" w:after="0" w:line="240" w:lineRule="auto"/>
              <w:jc w:val="left"/>
            </w:pPr>
            <w:r>
              <w:rPr>
                <w:rFonts w:ascii="Arial" w:hAnsi="Arial" w:eastAsia="微软雅黑"/>
                <w:b/>
                <w:color w:val="1F1F1F"/>
                <w:sz w:val="21"/>
              </w:rPr>
              <w:t>划分原则</w:t>
            </w:r>
          </w:p>
        </w:tc>
      </w:tr>
      <w:tr>
        <w:tc>
          <w:tcPr>
            <w:tcW w:type="dxa" w:w="9411"/>
            <w:shd w:fill="F3F7FB"/>
            <w:tcBorders>
              <w:start w:val="single" w:sz="10" w:color="9CC2E5"/>
              <w:top w:val="single" w:sz="10" w:color="9CC2E5"/>
              <w:end w:val="single" w:sz="10" w:color="9CC2E5"/>
              <w:bottom w:val="single" w:sz="10" w:color="9CC2E5"/>
            </w:tcBorders>
            <w:tcMar>
              <w:top w:w="100" w:type="dxa"/>
              <w:start w:w="140" w:type="dxa"/>
              <w:bottom w:w="110" w:type="dxa"/>
              <w:end w:w="140" w:type="dxa"/>
            </w:tcMar>
          </w:tcPr>
          <w:p>
            <w:pPr>
              <w:spacing w:before="0" w:after="0" w:line="307" w:lineRule="auto"/>
              <w:jc w:val="left"/>
            </w:pPr>
            <w:r>
              <w:rPr>
                <w:rFonts w:ascii="Arial" w:hAnsi="Arial" w:eastAsia="微软雅黑"/>
                <w:color w:val="333333"/>
                <w:sz w:val="20"/>
              </w:rPr>
              <w:t>业务子系统负责面向用户的业务场景，平台支撑层负责设备接入、空间服务、时序存储、规则引擎、算法服务、消息推送和外部接口等共性能力。这样可以避免前端页面直接耦合底层设备与算法，实现“前台清晰、后台稳固、后续可扩展”。</w:t>
            </w:r>
          </w:p>
        </w:tc>
      </w:tr>
    </w:tbl>
    <w:p/>
    <w:p>
      <w:pPr>
        <w:pStyle w:val="Heading1"/>
        <w:spacing w:before="160" w:after="120" w:line="276" w:lineRule="auto"/>
        <w:jc w:val="left"/>
      </w:pPr>
      <w:r>
        <w:rPr>
          <w:rFonts w:ascii="Arial" w:hAnsi="Arial" w:eastAsia="微软雅黑"/>
          <w:b/>
          <w:color w:val="1F4E79"/>
          <w:sz w:val="30"/>
        </w:rPr>
        <w:t>3 总体架构设计</w:t>
      </w:r>
    </w:p>
    <w:p>
      <w:pPr>
        <w:pStyle w:val="Heading2"/>
        <w:spacing w:before="80" w:after="120" w:line="276" w:lineRule="auto"/>
        <w:jc w:val="left"/>
      </w:pPr>
      <w:r>
        <w:rPr>
          <w:rFonts w:ascii="Arial" w:hAnsi="Arial" w:eastAsia="微软雅黑"/>
          <w:b/>
          <w:color w:val="244061"/>
          <w:sz w:val="25"/>
        </w:rPr>
        <w:t>3.1 总体架构分层</w:t>
      </w:r>
    </w:p>
    <w:tbl>
      <w:tblPr>
        <w:tblW w:type="auto" w:w="0"/>
        <w:jc w:val="center"/>
        <w:tblLook w:firstColumn="1" w:firstRow="1" w:lastColumn="0" w:lastRow="0" w:noHBand="0" w:noVBand="1" w:val="04A0"/>
      </w:tblPr>
      <w:tblGrid>
        <w:gridCol w:w="9411"/>
      </w:tblGrid>
      <w:tr>
        <w:tc>
          <w:tcPr>
            <w:tcW w:type="dxa" w:w="9411"/>
            <w:shd w:fill="D9EAF7"/>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center"/>
            </w:pPr>
            <w:r>
              <w:rPr>
                <w:rFonts w:ascii="Arial" w:hAnsi="Arial" w:eastAsia="微软雅黑"/>
                <w:b/>
                <w:color w:val="333333"/>
                <w:sz w:val="20"/>
              </w:rPr>
              <w:t>表现层：门户首页、PC 管理端、大屏驾驶舱、三维 GIS 场景、移动端巡检页面</w:t>
            </w:r>
          </w:p>
        </w:tc>
      </w:tr>
      <w:tr>
        <w:tc>
          <w:tcPr>
            <w:tcW w:type="dxa" w:w="9411"/>
            <w:shd w:fill="E8F1FB"/>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center"/>
            </w:pPr>
            <w:r>
              <w:rPr>
                <w:rFonts w:ascii="Arial" w:hAnsi="Arial" w:eastAsia="微软雅黑"/>
                <w:b/>
                <w:color w:val="333333"/>
                <w:sz w:val="20"/>
              </w:rPr>
              <w:t>业务层：三维管线管理、监测分析、预警处置、态势决策、系统管理</w:t>
            </w:r>
          </w:p>
        </w:tc>
      </w:tr>
      <w:tr>
        <w:tc>
          <w:tcPr>
            <w:tcW w:type="dxa" w:w="9411"/>
            <w:shd w:fill="F4F8FC"/>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left"/>
            </w:pPr>
            <w:r>
              <w:rPr>
                <w:rFonts w:ascii="Arial" w:hAnsi="Arial" w:eastAsia="微软雅黑"/>
                <w:b w:val="0"/>
                <w:color w:val="333333"/>
                <w:sz w:val="20"/>
              </w:rPr>
              <w:t>平台能力层：设备接入、数据治理、GIS 服务、规则引擎、算法服务、报表服务、消息服务</w:t>
            </w:r>
          </w:p>
        </w:tc>
      </w:tr>
      <w:tr>
        <w:tc>
          <w:tcPr>
            <w:tcW w:type="dxa" w:w="9411"/>
            <w:shd w:fill="F8FBFD"/>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left"/>
            </w:pPr>
            <w:r>
              <w:rPr>
                <w:rFonts w:ascii="Arial" w:hAnsi="Arial" w:eastAsia="微软雅黑"/>
                <w:b w:val="0"/>
                <w:color w:val="333333"/>
                <w:sz w:val="20"/>
              </w:rPr>
              <w:t>数据层：业务数据库、空间数据库、时序数据库、文件存储、缓存</w:t>
            </w:r>
          </w:p>
        </w:tc>
      </w:tr>
      <w:tr>
        <w:tc>
          <w:tcPr>
            <w:tcW w:type="dxa" w:w="9411"/>
            <w:shd w:fill="F3F3F3"/>
            <w:vAlign w:val="center"/>
            <w:tcMar>
              <w:top w:w="90" w:type="dxa"/>
              <w:start w:w="120" w:type="dxa"/>
              <w:bottom w:w="90" w:type="dxa"/>
              <w:end w:w="120" w:type="dxa"/>
            </w:tcMar>
            <w:tcBorders>
              <w:start w:val="single" w:sz="8" w:color="C9D7E5"/>
              <w:top w:val="single" w:sz="8" w:color="C9D7E5"/>
              <w:end w:val="single" w:sz="8" w:color="C9D7E5"/>
              <w:bottom w:val="single" w:sz="8" w:color="C9D7E5"/>
            </w:tcBorders>
          </w:tcPr>
          <w:p>
            <w:pPr>
              <w:spacing w:before="0" w:after="0" w:line="288" w:lineRule="auto"/>
              <w:jc w:val="left"/>
            </w:pPr>
            <w:r>
              <w:rPr>
                <w:rFonts w:ascii="Arial" w:hAnsi="Arial" w:eastAsia="微软雅黑"/>
                <w:b w:val="0"/>
                <w:color w:val="333333"/>
                <w:sz w:val="20"/>
              </w:rPr>
              <w:t>基础设施层：应用服务、数据库服务、消息队列、对象存储、日志监控与安全防护</w:t>
            </w:r>
          </w:p>
        </w:tc>
      </w:tr>
    </w:tbl>
    <w:p/>
    <w:p>
      <w:pPr>
        <w:spacing w:before="0" w:after="120" w:line="336" w:lineRule="auto"/>
        <w:ind w:firstLine="420"/>
      </w:pPr>
      <w:r>
        <w:rPr>
          <w:rFonts w:ascii="Arial" w:hAnsi="Arial" w:eastAsia="微软雅黑"/>
          <w:sz w:val="21"/>
        </w:rPr>
        <w:t>这种分层方式的优势在于：第一，前端界面与底层设备协议解耦；第二，GIS 与普通业务模块分离但可联动；第三，研究型算法可以独立为算法服务，不影响主业务系统的稳定性；第四，便于后续根据项目规模从模块化单体逐步演进为分布式架构。</w:t>
      </w:r>
    </w:p>
    <w:p>
      <w:pPr>
        <w:pStyle w:val="Heading2"/>
        <w:spacing w:before="80" w:after="120" w:line="276" w:lineRule="auto"/>
        <w:jc w:val="left"/>
      </w:pPr>
      <w:r>
        <w:rPr>
          <w:rFonts w:ascii="Arial" w:hAnsi="Arial" w:eastAsia="微软雅黑"/>
          <w:b/>
          <w:color w:val="244061"/>
          <w:sz w:val="25"/>
        </w:rPr>
        <w:t>3.2 业务闭环设计</w:t>
      </w:r>
    </w:p>
    <w:p>
      <w:pPr>
        <w:spacing w:before="120" w:after="80" w:line="240" w:lineRule="auto"/>
      </w:pPr>
      <w:r>
        <w:rPr>
          <w:rFonts w:ascii="Arial" w:hAnsi="Arial" w:eastAsia="微软雅黑"/>
          <w:b/>
          <w:color w:val="244061"/>
          <w:sz w:val="21"/>
        </w:rPr>
        <w:t>表3-1 业务闭环链路</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020"/>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步骤</w:t>
            </w:r>
          </w:p>
        </w:tc>
        <w:tc>
          <w:tcPr>
            <w:tcW w:type="dxa" w:w="2268"/>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输入</w:t>
            </w:r>
          </w:p>
        </w:tc>
        <w:tc>
          <w:tcPr>
            <w:tcW w:type="dxa" w:w="3288"/>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处理逻辑</w:t>
            </w:r>
          </w:p>
        </w:tc>
        <w:tc>
          <w:tcPr>
            <w:tcW w:type="dxa" w:w="2721"/>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输出</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基础建档</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管网、管段、井室、设备、传感器基础信息</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建模、编码、空间关联、权属归档</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对象档案与空间索引</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实时感知</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压力、流量、浓度、液位、设备在线状态</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采集、清洗、时序入库、异常检测</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实时监测数据与状态流</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评估分析</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实时/历史监测数据 + 静态属性</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漏损计算、健康评分、风险识别、趋势分析</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健康指数、风险等级、分析结果</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预警处置</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异常事件与分析结果</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告警生成、分级、推送、派单、处置跟踪</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告警记录、工单、处置结论</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决策支持</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全系统运行数据</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指标聚合、专题分析、报表输出、态势研判</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健康态势图、风险分布图、综合报表</w:t>
            </w:r>
          </w:p>
        </w:tc>
      </w:tr>
    </w:tbl>
    <w:p/>
    <w:p>
      <w:pPr>
        <w:pStyle w:val="Heading2"/>
        <w:spacing w:before="80" w:after="120" w:line="276" w:lineRule="auto"/>
        <w:jc w:val="left"/>
      </w:pPr>
      <w:r>
        <w:rPr>
          <w:rFonts w:ascii="Arial" w:hAnsi="Arial" w:eastAsia="微软雅黑"/>
          <w:b/>
          <w:color w:val="244061"/>
          <w:sz w:val="25"/>
        </w:rPr>
        <w:t>3.3 部署模式建议</w:t>
      </w:r>
    </w:p>
    <w:p>
      <w:pPr>
        <w:spacing w:before="0" w:after="120" w:line="336" w:lineRule="auto"/>
        <w:ind w:firstLine="420"/>
      </w:pPr>
      <w:r>
        <w:rPr>
          <w:rFonts w:ascii="Arial" w:hAnsi="Arial" w:eastAsia="微软雅黑"/>
          <w:sz w:val="21"/>
        </w:rPr>
        <w:t>在当前阶段，不建议直接采用复杂微服务架构。推荐采用“模块化单体 + 独立 GIS 服务 + 独立算法服务 + 独立时序存储”的方式：Java 后端承载主要业务，GIS 服务负责地图与空间数据发布，Python 算法服务负责泄漏识别和定位等研究型能力，时序数据库负责高频监测数据存储。此模式开发门槛适中，后续可平滑扩展。</w:t>
      </w:r>
    </w:p>
    <w:p>
      <w:pPr>
        <w:pStyle w:val="Heading1"/>
        <w:spacing w:before="160" w:after="120" w:line="276" w:lineRule="auto"/>
        <w:jc w:val="left"/>
      </w:pPr>
      <w:r>
        <w:rPr>
          <w:rFonts w:ascii="Arial" w:hAnsi="Arial" w:eastAsia="微软雅黑"/>
          <w:b/>
          <w:color w:val="1F4E79"/>
          <w:sz w:val="30"/>
        </w:rPr>
        <w:t>4 子系统详细设计</w:t>
      </w:r>
    </w:p>
    <w:p>
      <w:pPr>
        <w:pStyle w:val="Heading2"/>
        <w:spacing w:before="80" w:after="120" w:line="276" w:lineRule="auto"/>
        <w:jc w:val="left"/>
      </w:pPr>
      <w:r>
        <w:rPr>
          <w:rFonts w:ascii="Arial" w:hAnsi="Arial" w:eastAsia="微软雅黑"/>
          <w:b/>
          <w:color w:val="244061"/>
          <w:sz w:val="25"/>
        </w:rPr>
        <w:t>4.1 三维地下管线管理系统</w:t>
      </w:r>
    </w:p>
    <w:p>
      <w:pPr>
        <w:spacing w:before="0" w:after="120" w:line="336" w:lineRule="auto"/>
        <w:ind w:firstLine="420"/>
      </w:pPr>
      <w:r>
        <w:rPr>
          <w:rFonts w:ascii="Arial" w:hAnsi="Arial" w:eastAsia="微软雅黑"/>
          <w:sz w:val="21"/>
        </w:rPr>
        <w:t>该子系统是系统的空间底座和资产底座，不应仅理解为“看地图”，而应承担资产统一建档、三维场景承载业务状态、空间查询分析和专题图展示等职责。设计上建议以二维/三维联动的一张图作为主入口，点击任意对象均可查看其基础属性、监测曲线、历史告警、健康评分和维修记录。</w:t>
      </w:r>
    </w:p>
    <w:p>
      <w:pPr>
        <w:spacing w:before="120" w:after="80" w:line="240" w:lineRule="auto"/>
      </w:pPr>
      <w:r>
        <w:rPr>
          <w:rFonts w:ascii="Arial" w:hAnsi="Arial" w:eastAsia="微软雅黑"/>
          <w:b/>
          <w:color w:val="244061"/>
          <w:sz w:val="21"/>
        </w:rPr>
        <w:t>表4-1 三维地下管线管理系统功能模块</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587"/>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模块</w:t>
            </w:r>
          </w:p>
        </w:tc>
        <w:tc>
          <w:tcPr>
            <w:tcW w:type="dxa" w:w="3458"/>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主要功能</w:t>
            </w:r>
          </w:p>
        </w:tc>
        <w:tc>
          <w:tcPr>
            <w:tcW w:type="dxa" w:w="3402"/>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设计要点</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一张图总览</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底图、道路、建筑、管线、井室、传感器、风险点统一展示</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支持 2D/3D 切换、飞行定位、分层开关、专题切换</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资产档案管理</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管网、管段、节点、附属设施、传感器建档</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统一编码；空间对象与业务对象一一绑定</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空间查询分析</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区域查询、管线查询、上下游追踪、净距分析、断面分析</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兼顾工程查阅与业务研判，结果支持上图高亮</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专题图层</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健康度专题、风险专题、漏损专题、改造进度专题</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专题状态必须可由业务数据自动驱动，而不是手工绘制</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对象详情联动</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查看对象详情、实时曲线、维修记录、工单、评分明细</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实现从“看图”到“管图”的业务闭环</w:t>
            </w:r>
          </w:p>
        </w:tc>
      </w:tr>
    </w:tbl>
    <w:p/>
    <w:p>
      <w:pPr>
        <w:spacing w:before="0" w:after="120" w:line="336" w:lineRule="auto"/>
        <w:ind w:firstLine="420"/>
      </w:pPr>
      <w:r>
        <w:rPr>
          <w:rFonts w:ascii="Arial" w:hAnsi="Arial" w:eastAsia="微软雅黑"/>
          <w:sz w:val="21"/>
        </w:rPr>
        <w:t>对象模型建议按照“管网—管线—管段—节点/井室—附属设施—传感器”的层级进行组织。其中，管段是最关键的业务粒度，既要关联空间几何，也要关联监测点、健康评分、风险事件和工单记录。</w:t>
      </w:r>
    </w:p>
    <w:p>
      <w:pPr>
        <w:spacing w:before="0" w:after="80" w:line="324" w:lineRule="auto"/>
        <w:ind w:left="420" w:hanging="272"/>
      </w:pPr>
      <w:r>
        <w:rPr>
          <w:rFonts w:ascii="Arial" w:hAnsi="Arial" w:eastAsia="微软雅黑"/>
          <w:sz w:val="21"/>
        </w:rPr>
        <w:t>• 空间对象必须与业务对象统一编码，避免地图数据与业务数据两张皮。</w:t>
      </w:r>
    </w:p>
    <w:p>
      <w:pPr>
        <w:spacing w:before="0" w:after="80" w:line="324" w:lineRule="auto"/>
        <w:ind w:left="420" w:hanging="272"/>
      </w:pPr>
      <w:r>
        <w:rPr>
          <w:rFonts w:ascii="Arial" w:hAnsi="Arial" w:eastAsia="微软雅黑"/>
          <w:sz w:val="21"/>
        </w:rPr>
        <w:t>• 三维场景中的颜色、闪烁、图标不是装饰，而是健康等级、告警等级、在线状态和施工状态的业务表达。</w:t>
      </w:r>
    </w:p>
    <w:p>
      <w:pPr>
        <w:spacing w:before="0" w:after="80" w:line="324" w:lineRule="auto"/>
        <w:ind w:left="420" w:hanging="272"/>
      </w:pPr>
      <w:r>
        <w:rPr>
          <w:rFonts w:ascii="Arial" w:hAnsi="Arial" w:eastAsia="微软雅黑"/>
          <w:sz w:val="21"/>
        </w:rPr>
        <w:t>• 剖切、净距、断面、联通性等空间分析功能优先作为增强功能规划，可在一期中先实现基础查询与定位。</w:t>
      </w:r>
    </w:p>
    <w:p>
      <w:pPr>
        <w:pStyle w:val="Heading2"/>
        <w:spacing w:before="80" w:after="120" w:line="276" w:lineRule="auto"/>
        <w:jc w:val="left"/>
      </w:pPr>
      <w:r>
        <w:rPr>
          <w:rFonts w:ascii="Arial" w:hAnsi="Arial" w:eastAsia="微软雅黑"/>
          <w:b/>
          <w:color w:val="244061"/>
          <w:sz w:val="25"/>
        </w:rPr>
        <w:t>4.2 监测分析—预警处置中心</w:t>
      </w:r>
    </w:p>
    <w:p>
      <w:pPr>
        <w:spacing w:before="0" w:after="120" w:line="336" w:lineRule="auto"/>
        <w:ind w:firstLine="420"/>
      </w:pPr>
      <w:r>
        <w:rPr>
          <w:rFonts w:ascii="Arial" w:hAnsi="Arial" w:eastAsia="微软雅黑"/>
          <w:sz w:val="21"/>
        </w:rPr>
        <w:t>该子系统是系统的运行中枢，负责把监测数据转化为告警与处置动作。页面设计上建议采用“实时监测—历史趋势—健康分析—告警中心—工单处置”五屏协同，而不是单页堆砌所有信息。</w:t>
      </w:r>
    </w:p>
    <w:p>
      <w:pPr>
        <w:spacing w:before="120" w:after="80" w:line="240" w:lineRule="auto"/>
      </w:pPr>
      <w:r>
        <w:rPr>
          <w:rFonts w:ascii="Arial" w:hAnsi="Arial" w:eastAsia="微软雅黑"/>
          <w:b/>
          <w:color w:val="244061"/>
          <w:sz w:val="21"/>
        </w:rPr>
        <w:t>表4-2 监测分析—预警处置中心功能模块</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304"/>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模块</w:t>
            </w:r>
          </w:p>
        </w:tc>
        <w:tc>
          <w:tcPr>
            <w:tcW w:type="dxa" w:w="3685"/>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主要功能</w:t>
            </w:r>
          </w:p>
        </w:tc>
        <w:tc>
          <w:tcPr>
            <w:tcW w:type="dxa" w:w="3458"/>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建议实现方式</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实时监测</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实时数据卡片、曲线、设备状态、异常列表</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WebSocket 推送 + 定时刷新 + 测点地图联动</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历史趋势</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按测点、区域、时间维度查看历史数据与波动区间</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时序数据库查询 + 图表钻取</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漏损分析</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流量平衡分析、夜间最小流量分析、邻近测点差异分析</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一期规则模型，二期接入算法模型</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健康评分</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结构属性、运行状态、事件历史、环境影响多维打分</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规则引擎 + 定时任务计算 + 人工校核入口</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告警中心</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告警生成、分级、合并、确认、升级、关闭</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规则阈值 + 事件流水 + 推送机制</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工单处置</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派单、处置、回传现场结果、复核关闭</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与地图点位、风险对象、历史事件联动</w:t>
            </w:r>
          </w:p>
        </w:tc>
      </w:tr>
    </w:tbl>
    <w:p/>
    <w:tbl>
      <w:tblPr>
        <w:tblW w:type="auto" w:w="0"/>
        <w:jc w:val="center"/>
        <w:tblLook w:firstColumn="1" w:firstRow="1" w:lastColumn="0" w:lastRow="0" w:noHBand="0" w:noVBand="1" w:val="04A0"/>
      </w:tblPr>
      <w:tblGrid>
        <w:gridCol w:w="9411"/>
      </w:tblGrid>
      <w:tr>
        <w:tc>
          <w:tcPr>
            <w:tcW w:type="dxa" w:w="9411"/>
            <w:shd w:fill="D9EAF7"/>
            <w:tcBorders>
              <w:start w:val="single" w:sz="10" w:color="9CC2E5"/>
              <w:top w:val="single" w:sz="10" w:color="9CC2E5"/>
              <w:end w:val="single" w:sz="10" w:color="9CC2E5"/>
              <w:bottom w:val="single" w:sz="10" w:color="9CC2E5"/>
            </w:tcBorders>
            <w:tcMar>
              <w:top w:w="100" w:type="dxa"/>
              <w:start w:w="140" w:type="dxa"/>
              <w:bottom w:w="100" w:type="dxa"/>
              <w:end w:w="140" w:type="dxa"/>
            </w:tcMar>
          </w:tcPr>
          <w:p>
            <w:pPr>
              <w:spacing w:before="0" w:after="0" w:line="240" w:lineRule="auto"/>
              <w:jc w:val="left"/>
            </w:pPr>
            <w:r>
              <w:rPr>
                <w:rFonts w:ascii="Arial" w:hAnsi="Arial" w:eastAsia="微软雅黑"/>
                <w:b/>
                <w:color w:val="1F1F1F"/>
                <w:sz w:val="21"/>
              </w:rPr>
              <w:t>处置闭环建议</w:t>
            </w:r>
          </w:p>
        </w:tc>
      </w:tr>
      <w:tr>
        <w:tc>
          <w:tcPr>
            <w:tcW w:type="dxa" w:w="9411"/>
            <w:shd w:fill="F3F7FB"/>
            <w:tcBorders>
              <w:start w:val="single" w:sz="10" w:color="9CC2E5"/>
              <w:top w:val="single" w:sz="10" w:color="9CC2E5"/>
              <w:end w:val="single" w:sz="10" w:color="9CC2E5"/>
              <w:bottom w:val="single" w:sz="10" w:color="9CC2E5"/>
            </w:tcBorders>
            <w:tcMar>
              <w:top w:w="100" w:type="dxa"/>
              <w:start w:w="140" w:type="dxa"/>
              <w:bottom w:w="110" w:type="dxa"/>
              <w:end w:w="140" w:type="dxa"/>
            </w:tcMar>
          </w:tcPr>
          <w:p>
            <w:pPr>
              <w:spacing w:before="0" w:after="0" w:line="307" w:lineRule="auto"/>
              <w:jc w:val="left"/>
            </w:pPr>
            <w:r>
              <w:rPr>
                <w:rFonts w:ascii="Arial" w:hAnsi="Arial" w:eastAsia="微软雅黑"/>
                <w:color w:val="333333"/>
                <w:sz w:val="20"/>
              </w:rPr>
              <w:t>当系统识别到异常时，不应止步于“红点提示”。建议按照“异常识别 → 告警分级 → 责任人确认 → 自动生成工单 → 到场处置 → 现场回传 → 复核关闭 → 回写档案与模型”的链路设计，这样系统才具备真实业务价值。</w:t>
            </w:r>
          </w:p>
        </w:tc>
      </w:tr>
    </w:tbl>
    <w:p/>
    <w:p>
      <w:pPr>
        <w:pStyle w:val="Heading2"/>
        <w:spacing w:before="80" w:after="120" w:line="276" w:lineRule="auto"/>
        <w:jc w:val="left"/>
      </w:pPr>
      <w:r>
        <w:rPr>
          <w:rFonts w:ascii="Arial" w:hAnsi="Arial" w:eastAsia="微软雅黑"/>
          <w:b/>
          <w:color w:val="244061"/>
          <w:sz w:val="25"/>
        </w:rPr>
        <w:t>4.3 综合态势与决策指挥中心</w:t>
      </w:r>
    </w:p>
    <w:p>
      <w:pPr>
        <w:spacing w:before="0" w:after="120" w:line="336" w:lineRule="auto"/>
        <w:ind w:firstLine="420"/>
      </w:pPr>
      <w:r>
        <w:rPr>
          <w:rFonts w:ascii="Arial" w:hAnsi="Arial" w:eastAsia="微软雅黑"/>
          <w:sz w:val="21"/>
        </w:rPr>
        <w:t>该子系统面向管理者与领导用户，重点是全局判断与指挥调度，不强调复杂操作。建议采用大屏式布局，形成“全市总览—区域对比—事件指挥—统计报表—专题分析”五类页面。</w:t>
      </w:r>
    </w:p>
    <w:p>
      <w:pPr>
        <w:spacing w:before="120" w:after="80" w:line="240" w:lineRule="auto"/>
      </w:pPr>
      <w:r>
        <w:rPr>
          <w:rFonts w:ascii="Arial" w:hAnsi="Arial" w:eastAsia="微软雅黑"/>
          <w:b/>
          <w:color w:val="244061"/>
          <w:sz w:val="21"/>
        </w:rPr>
        <w:t>表4-3 综合态势与决策指挥中心功能模块</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417"/>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模块</w:t>
            </w:r>
          </w:p>
        </w:tc>
        <w:tc>
          <w:tcPr>
            <w:tcW w:type="dxa" w:w="3402"/>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核心指标</w:t>
            </w:r>
          </w:p>
        </w:tc>
        <w:tc>
          <w:tcPr>
            <w:tcW w:type="dxa" w:w="3628"/>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展示方式</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全市健康态势</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健康指数、设备在线率、今日告警、今日闭环率</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大屏卡片 + 趋势图 + 地图热力</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风险分布总览</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高风险区域、重点路段、重大事件清单</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专题地图 + 排名榜 + 清单联动</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事件处置指挥</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处置中工单、超时工单、人员分布、资源状态</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地图 + 甘特式进度 + 处置流转</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综合报表中心</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日报、周报、月报、年度报表</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条件筛选 + 导出 PDF/Excel</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专题分析</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老旧管网改造、漏损专题、重点区段专题</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专题页面 + 对比分析 + 历史回放</w:t>
            </w:r>
          </w:p>
        </w:tc>
      </w:tr>
    </w:tbl>
    <w:p/>
    <w:p>
      <w:pPr>
        <w:pStyle w:val="Heading2"/>
        <w:spacing w:before="80" w:after="120" w:line="276" w:lineRule="auto"/>
        <w:jc w:val="left"/>
      </w:pPr>
      <w:r>
        <w:rPr>
          <w:rFonts w:ascii="Arial" w:hAnsi="Arial" w:eastAsia="微软雅黑"/>
          <w:b/>
          <w:color w:val="244061"/>
          <w:sz w:val="25"/>
        </w:rPr>
        <w:t>4.4 系统管理中心</w:t>
      </w:r>
    </w:p>
    <w:p>
      <w:pPr>
        <w:spacing w:before="0" w:after="120" w:line="336" w:lineRule="auto"/>
        <w:ind w:firstLine="420"/>
      </w:pPr>
      <w:r>
        <w:rPr>
          <w:rFonts w:ascii="Arial" w:hAnsi="Arial" w:eastAsia="微软雅黑"/>
          <w:sz w:val="21"/>
        </w:rPr>
        <w:t>系统管理中心是全系统的管理后台，不应仅承担账号与权限管理，而应承担组织、角色、规则、参数、数据源、模型和日志等全局治理能力。</w:t>
      </w:r>
    </w:p>
    <w:p>
      <w:pPr>
        <w:spacing w:before="120" w:after="80" w:line="240" w:lineRule="auto"/>
      </w:pPr>
      <w:r>
        <w:rPr>
          <w:rFonts w:ascii="Arial" w:hAnsi="Arial" w:eastAsia="微软雅黑"/>
          <w:b/>
          <w:color w:val="244061"/>
          <w:sz w:val="21"/>
        </w:rPr>
        <w:t>表4-4 系统管理中心功能模块</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361"/>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模块</w:t>
            </w:r>
          </w:p>
        </w:tc>
        <w:tc>
          <w:tcPr>
            <w:tcW w:type="dxa" w:w="3572"/>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主要内容</w:t>
            </w:r>
          </w:p>
        </w:tc>
        <w:tc>
          <w:tcPr>
            <w:tcW w:type="dxa" w:w="3515"/>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说明</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组织与权限</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用户、角色、菜单、按钮、数据权限、区域权限</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建议支持按行政区和管线类型做数据隔离</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基础字典</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管线类型、设备类型、告警等级、工单状态、处置方式</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统一口径，便于统计与接口交换</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规则配置</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阈值规则、评分权重、预警升级规则、去重规则</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业务规则与系统参数分开管理</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设备与数据源</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传感器、网关、采样周期、第三方接口配置</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为后续多源接入预留统一配置入口</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模型管理</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算法版本、启停控制、模型参数与校准记录</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研究型算法接入后建议独立维护</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日志审计</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登录日志、操作日志、告警推送日志、接口调用日志</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满足运维排障和管理审计需求</w:t>
            </w:r>
          </w:p>
        </w:tc>
      </w:tr>
    </w:tbl>
    <w:p/>
    <w:p>
      <w:pPr>
        <w:pStyle w:val="Heading2"/>
        <w:spacing w:before="80" w:after="120" w:line="276" w:lineRule="auto"/>
        <w:jc w:val="left"/>
      </w:pPr>
      <w:r>
        <w:rPr>
          <w:rFonts w:ascii="Arial" w:hAnsi="Arial" w:eastAsia="微软雅黑"/>
          <w:b/>
          <w:color w:val="244061"/>
          <w:sz w:val="25"/>
        </w:rPr>
        <w:t>4.5 平台支撑层</w:t>
      </w:r>
    </w:p>
    <w:p>
      <w:pPr>
        <w:spacing w:before="0" w:after="120" w:line="336" w:lineRule="auto"/>
        <w:ind w:firstLine="420"/>
      </w:pPr>
      <w:r>
        <w:rPr>
          <w:rFonts w:ascii="Arial" w:hAnsi="Arial" w:eastAsia="微软雅黑"/>
          <w:sz w:val="21"/>
        </w:rPr>
        <w:t>平台支撑层不一定在门户首页形成单独入口，但它是整个系统可用、可扩、可维护的关键。建议至少包括设备接入服务、数据治理服务、GIS 空间服务、规则引擎、算法服务、消息服务、报表服务和统一接口网关。</w:t>
      </w:r>
    </w:p>
    <w:p>
      <w:pPr>
        <w:spacing w:before="0" w:after="80" w:line="324" w:lineRule="auto"/>
        <w:ind w:left="420" w:hanging="272"/>
      </w:pPr>
      <w:r>
        <w:rPr>
          <w:rFonts w:ascii="Arial" w:hAnsi="Arial" w:eastAsia="微软雅黑"/>
          <w:sz w:val="21"/>
        </w:rPr>
        <w:t>• 设备接入服务：统一接收传感器、网关、边缘节点上传的数据，完成协议适配、数据校验与缓存。</w:t>
      </w:r>
    </w:p>
    <w:p>
      <w:pPr>
        <w:spacing w:before="0" w:after="80" w:line="324" w:lineRule="auto"/>
        <w:ind w:left="420" w:hanging="272"/>
      </w:pPr>
      <w:r>
        <w:rPr>
          <w:rFonts w:ascii="Arial" w:hAnsi="Arial" w:eastAsia="微软雅黑"/>
          <w:sz w:val="21"/>
        </w:rPr>
        <w:t>• 数据治理服务：完成清洗、去噪、缺失补全、编码映射、主数据统一和质量校验。</w:t>
      </w:r>
    </w:p>
    <w:p>
      <w:pPr>
        <w:spacing w:before="0" w:after="80" w:line="324" w:lineRule="auto"/>
        <w:ind w:left="420" w:hanging="272"/>
      </w:pPr>
      <w:r>
        <w:rPr>
          <w:rFonts w:ascii="Arial" w:hAnsi="Arial" w:eastAsia="微软雅黑"/>
          <w:sz w:val="21"/>
        </w:rPr>
        <w:t>• GIS 空间服务：提供图层发布、空间查询、瓦片服务、专题图层和空间分析能力。</w:t>
      </w:r>
    </w:p>
    <w:p>
      <w:pPr>
        <w:spacing w:before="0" w:after="80" w:line="324" w:lineRule="auto"/>
        <w:ind w:left="420" w:hanging="272"/>
      </w:pPr>
      <w:r>
        <w:rPr>
          <w:rFonts w:ascii="Arial" w:hAnsi="Arial" w:eastAsia="微软雅黑"/>
          <w:sz w:val="21"/>
        </w:rPr>
        <w:t>• 算法服务：承接泄漏识别、定位、健康预测等研究型模型，建议独立部署。</w:t>
      </w:r>
    </w:p>
    <w:p>
      <w:pPr>
        <w:spacing w:before="0" w:after="80" w:line="324" w:lineRule="auto"/>
        <w:ind w:left="420" w:hanging="272"/>
      </w:pPr>
      <w:r>
        <w:rPr>
          <w:rFonts w:ascii="Arial" w:hAnsi="Arial" w:eastAsia="微软雅黑"/>
          <w:sz w:val="21"/>
        </w:rPr>
        <w:t>• 消息服务：负责站内消息、WebSocket 推送、短信/邮件/企业微信扩展。</w:t>
      </w:r>
    </w:p>
    <w:p>
      <w:pPr>
        <w:spacing w:before="0" w:after="80" w:line="324" w:lineRule="auto"/>
        <w:ind w:left="420" w:hanging="272"/>
      </w:pPr>
      <w:r>
        <w:rPr>
          <w:rFonts w:ascii="Arial" w:hAnsi="Arial" w:eastAsia="微软雅黑"/>
          <w:sz w:val="21"/>
        </w:rPr>
        <w:t>• 报表服务：提供统计模板、定时报表、导出和打印支持。</w:t>
      </w:r>
    </w:p>
    <w:p>
      <w:pPr>
        <w:pStyle w:val="Heading1"/>
        <w:spacing w:before="160" w:after="120" w:line="276" w:lineRule="auto"/>
        <w:jc w:val="left"/>
      </w:pPr>
      <w:r>
        <w:rPr>
          <w:rFonts w:ascii="Arial" w:hAnsi="Arial" w:eastAsia="微软雅黑"/>
          <w:b/>
          <w:color w:val="1F4E79"/>
          <w:sz w:val="30"/>
        </w:rPr>
        <w:t>5 数据架构与数据库设计建议</w:t>
      </w:r>
    </w:p>
    <w:p>
      <w:pPr>
        <w:spacing w:before="0" w:after="120" w:line="336" w:lineRule="auto"/>
        <w:ind w:firstLine="420"/>
      </w:pPr>
      <w:r>
        <w:rPr>
          <w:rFonts w:ascii="Arial" w:hAnsi="Arial" w:eastAsia="微软雅黑"/>
          <w:sz w:val="21"/>
        </w:rPr>
        <w:t>系统数据建议分为四类：业务主数据、空间数据、时序监测数据和过程事件数据。不同数据类型应采用不同存储策略，避免将所有数据都压在单一 MySQL 中。</w:t>
      </w:r>
    </w:p>
    <w:p>
      <w:pPr>
        <w:spacing w:before="120" w:after="80" w:line="240" w:lineRule="auto"/>
      </w:pPr>
      <w:r>
        <w:rPr>
          <w:rFonts w:ascii="Arial" w:hAnsi="Arial" w:eastAsia="微软雅黑"/>
          <w:b/>
          <w:color w:val="244061"/>
          <w:sz w:val="21"/>
        </w:rPr>
        <w:t>表5-1 数据分类与存储建议</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361"/>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数据类型</w:t>
            </w:r>
          </w:p>
        </w:tc>
        <w:tc>
          <w:tcPr>
            <w:tcW w:type="dxa" w:w="3005"/>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典型内容</w:t>
            </w:r>
          </w:p>
        </w:tc>
        <w:tc>
          <w:tcPr>
            <w:tcW w:type="dxa" w:w="2268"/>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建议存储</w:t>
            </w:r>
          </w:p>
        </w:tc>
        <w:tc>
          <w:tcPr>
            <w:tcW w:type="dxa" w:w="2154"/>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说明</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业务主数据</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管网、管段、井室、设备、用户、角色</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MySQL</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结构稳定、事务要求高</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空间数据</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管线几何、节点坐标、专题图层</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PostGIS</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支持空间索引、空间查询与 GIS 联动</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时序数据</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压力、流量、浓度、液位、在线状态</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TimescaleDB/时序库</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支持高频写入、区间查询、聚合分析</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过程事件</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告警、工单、评分结果、规则命中记录</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MySQL + Redis</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便于状态流转与高频读取</w:t>
            </w:r>
          </w:p>
        </w:tc>
      </w:tr>
      <w:tr>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文件数据</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图片、附件、报表、模型文件</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对象存储/文件服务</w:t>
            </w:r>
          </w:p>
        </w:tc>
        <w:tc>
          <w:tcPr>
            <w:tcW w:type="dxa" w:w="2353"/>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便于扩展与备份管理</w:t>
            </w:r>
          </w:p>
        </w:tc>
      </w:tr>
    </w:tbl>
    <w:p/>
    <w:p>
      <w:pPr>
        <w:pStyle w:val="Heading2"/>
        <w:spacing w:before="80" w:after="120" w:line="276" w:lineRule="auto"/>
        <w:jc w:val="left"/>
      </w:pPr>
      <w:r>
        <w:rPr>
          <w:rFonts w:ascii="Arial" w:hAnsi="Arial" w:eastAsia="微软雅黑"/>
          <w:b/>
          <w:color w:val="244061"/>
          <w:sz w:val="25"/>
        </w:rPr>
        <w:t>5.1 核心实体设计建议</w:t>
      </w:r>
    </w:p>
    <w:p>
      <w:pPr>
        <w:spacing w:before="120" w:after="80" w:line="240" w:lineRule="auto"/>
      </w:pPr>
      <w:r>
        <w:rPr>
          <w:rFonts w:ascii="Arial" w:hAnsi="Arial" w:eastAsia="微软雅黑"/>
          <w:b/>
          <w:color w:val="244061"/>
          <w:sz w:val="21"/>
        </w:rPr>
        <w:t>表5-2 核心实体清单</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587"/>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实体</w:t>
            </w:r>
          </w:p>
        </w:tc>
        <w:tc>
          <w:tcPr>
            <w:tcW w:type="dxa" w:w="3458"/>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关键字段</w:t>
            </w:r>
          </w:p>
        </w:tc>
        <w:tc>
          <w:tcPr>
            <w:tcW w:type="dxa" w:w="3288"/>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关联关系</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pipeline_network</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id、name、type、owner、area_code</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1 对多关联管线</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pipeline_segment</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id、segment_code、material、diameter、depth、age、geometry_id</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关联节点、监测点、评分、工单</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pipeline_node</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id、node_code、node_type、lon、lat、elevation</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连接管段与井室/阀门</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sensor_device</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id、device_code、sensor_type、status、gateway_id</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绑定管段或节点</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sensor_data</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device_id、ts、metric_code、value、quality_flag</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高频时序数据表</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health_score</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object_id、score、level、calc_time、detail_json</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记录评分结果与明细</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alert_event</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alert_code、object_id、alert_level、status、created_at</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与工单、处置记录关联</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work_order</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work_code、alert_id、assignee、deadline、status</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形成处置闭环</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rule_config</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rule_code、rule_type、threshold、weight、enabled</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驱动告警和评分逻辑</w:t>
            </w:r>
          </w:p>
        </w:tc>
      </w:tr>
    </w:tbl>
    <w:p/>
    <w:p>
      <w:pPr>
        <w:pStyle w:val="Heading2"/>
        <w:spacing w:before="80" w:after="120" w:line="276" w:lineRule="auto"/>
        <w:jc w:val="left"/>
      </w:pPr>
      <w:r>
        <w:rPr>
          <w:rFonts w:ascii="Arial" w:hAnsi="Arial" w:eastAsia="微软雅黑"/>
          <w:b/>
          <w:color w:val="244061"/>
          <w:sz w:val="25"/>
        </w:rPr>
        <w:t>5.2 编码与主数据原则</w:t>
      </w:r>
    </w:p>
    <w:p>
      <w:pPr>
        <w:spacing w:before="0" w:after="80" w:line="324" w:lineRule="auto"/>
        <w:ind w:left="420" w:hanging="272"/>
      </w:pPr>
      <w:r>
        <w:rPr>
          <w:rFonts w:ascii="Arial" w:hAnsi="Arial" w:eastAsia="微软雅黑"/>
          <w:sz w:val="21"/>
        </w:rPr>
        <w:t>• 所有空间对象、业务对象和设备对象必须有统一编码规则，建议按“区域-类型-层级-流水号”设计。</w:t>
      </w:r>
    </w:p>
    <w:p>
      <w:pPr>
        <w:spacing w:before="0" w:after="80" w:line="324" w:lineRule="auto"/>
        <w:ind w:left="420" w:hanging="272"/>
      </w:pPr>
      <w:r>
        <w:rPr>
          <w:rFonts w:ascii="Arial" w:hAnsi="Arial" w:eastAsia="微软雅黑"/>
          <w:sz w:val="21"/>
        </w:rPr>
        <w:t>• 传感器与管段/节点关系应采用绑定表维护，避免将设备字段直接写死在资产表中。</w:t>
      </w:r>
    </w:p>
    <w:p>
      <w:pPr>
        <w:spacing w:before="0" w:after="80" w:line="324" w:lineRule="auto"/>
        <w:ind w:left="420" w:hanging="272"/>
      </w:pPr>
      <w:r>
        <w:rPr>
          <w:rFonts w:ascii="Arial" w:hAnsi="Arial" w:eastAsia="微软雅黑"/>
          <w:sz w:val="21"/>
        </w:rPr>
        <w:t>• 评分结果、告警结果、工单结果建议保留历史快照，不覆盖旧值，便于审计与趋势分析。</w:t>
      </w:r>
    </w:p>
    <w:p>
      <w:pPr>
        <w:pStyle w:val="Heading1"/>
        <w:spacing w:before="160" w:after="120" w:line="276" w:lineRule="auto"/>
        <w:jc w:val="left"/>
      </w:pPr>
      <w:r>
        <w:rPr>
          <w:rFonts w:ascii="Arial" w:hAnsi="Arial" w:eastAsia="微软雅黑"/>
          <w:b/>
          <w:color w:val="1F4E79"/>
          <w:sz w:val="30"/>
        </w:rPr>
        <w:t>6 接口与集成设计</w:t>
      </w:r>
    </w:p>
    <w:p>
      <w:pPr>
        <w:spacing w:before="0" w:after="120" w:line="336" w:lineRule="auto"/>
        <w:ind w:firstLine="420"/>
      </w:pPr>
      <w:r>
        <w:rPr>
          <w:rFonts w:ascii="Arial" w:hAnsi="Arial" w:eastAsia="微软雅黑"/>
          <w:sz w:val="21"/>
        </w:rPr>
        <w:t>系统应支持内部模块接口、外部系统接口和设备接入接口三类集成方式。接口设计建议坚持“统一鉴权、统一编码、统一返回结构、统一异常码、统一日志”的原则。</w:t>
      </w:r>
    </w:p>
    <w:p>
      <w:pPr>
        <w:spacing w:before="120" w:after="80" w:line="240" w:lineRule="auto"/>
      </w:pPr>
      <w:r>
        <w:rPr>
          <w:rFonts w:ascii="Arial" w:hAnsi="Arial" w:eastAsia="微软雅黑"/>
          <w:b/>
          <w:color w:val="244061"/>
          <w:sz w:val="21"/>
        </w:rPr>
        <w:t>表6-1 接口分类建议</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474"/>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接口类型</w:t>
            </w:r>
          </w:p>
        </w:tc>
        <w:tc>
          <w:tcPr>
            <w:tcW w:type="dxa" w:w="3685"/>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示例</w:t>
            </w:r>
          </w:p>
        </w:tc>
        <w:tc>
          <w:tcPr>
            <w:tcW w:type="dxa" w:w="3118"/>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主要用途</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前后端业务接口</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/api/pipeline/list、/api/alert/page</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页面查询、表单提交、状态变更</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实时消息接口</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WebSocket /ws/alert</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实时告警推送、状态更新广播</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GIS 服务接口</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WMS/WFS/瓦片服务/专题图层服务</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地图展示、空间查询、图层叠加</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设备接入接口</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MQTT/HTTP/网关上传接口</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采集监测数据、设备状态数据</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算法服务接口</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/model/leak-detect、/model/location</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泄漏识别、风险预测、定位计算</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第三方对接接口</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统一认证、短信、政务系统、运维系统</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扩展集成与业务联动</w:t>
            </w:r>
          </w:p>
        </w:tc>
      </w:tr>
    </w:tbl>
    <w:p/>
    <w:p>
      <w:pPr>
        <w:pStyle w:val="Heading1"/>
        <w:spacing w:before="160" w:after="120" w:line="276" w:lineRule="auto"/>
        <w:jc w:val="left"/>
      </w:pPr>
      <w:r>
        <w:rPr>
          <w:rFonts w:ascii="Arial" w:hAnsi="Arial" w:eastAsia="微软雅黑"/>
          <w:b/>
          <w:color w:val="1F4E79"/>
          <w:sz w:val="30"/>
        </w:rPr>
        <w:t>7 技术选型与可行性分析</w:t>
      </w:r>
    </w:p>
    <w:p>
      <w:pPr>
        <w:spacing w:before="0" w:after="120" w:line="336" w:lineRule="auto"/>
        <w:ind w:firstLine="420"/>
      </w:pPr>
      <w:r>
        <w:rPr>
          <w:rFonts w:ascii="Arial" w:hAnsi="Arial" w:eastAsia="微软雅黑"/>
          <w:sz w:val="21"/>
        </w:rPr>
        <w:t>你现有文件中提出的技术栈为：后端 Spring Boot + MyBatis + MySQL，前端 Vue3 + TypeScript + Element Plus + ECharts，并通过 WebSocket 实现实时告警推送。该技术栈用于工程一期是可行的，尤其适合实现用户权限、档案管理、实时监测页面、趋势图、告警中心、工单流转和统计报表等典型业务。</w:t>
      </w:r>
    </w:p>
    <w:p>
      <w:pPr>
        <w:spacing w:before="120" w:after="80" w:line="240" w:lineRule="auto"/>
      </w:pPr>
      <w:r>
        <w:rPr>
          <w:rFonts w:ascii="Arial" w:hAnsi="Arial" w:eastAsia="微软雅黑"/>
          <w:b/>
          <w:color w:val="244061"/>
          <w:sz w:val="21"/>
        </w:rPr>
        <w:t>表7-1 现有技术栈可满足的能力</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能力项</w:t>
            </w:r>
          </w:p>
        </w:tc>
        <w:tc>
          <w:tcPr>
            <w:tcW w:type="dxa" w:w="1701"/>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可满足程度</w:t>
            </w:r>
          </w:p>
        </w:tc>
        <w:tc>
          <w:tcPr>
            <w:tcW w:type="dxa" w:w="4762"/>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说明</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前后端分离业务开发</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完全满足</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适合后台管理系统与多角色门户建设</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实时数据可视化</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基本满足</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ECharts + WebSocket 可实现实时图表与告警推送</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权限与流程管理</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完全满足</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Spring Boot + MyBatis + RBAC 实现难度适中</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三维 GIS 一张图</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部分满足</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需要额外引入 CesiumJS、GeoServer、PostGIS 等能力</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高频时序监测存储</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部分满足</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MySQL 可应付低频场景，高频场景建议引入时序库</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智能诊断与定位算法</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部分满足</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建议以独立 Python 算法服务方式接入</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数字孪生动态映射</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部分满足</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需三维引擎、空间服务和模型联动能力</w:t>
            </w:r>
          </w:p>
        </w:tc>
      </w:tr>
    </w:tbl>
    <w:p/>
    <w:p>
      <w:pPr>
        <w:pStyle w:val="Heading2"/>
        <w:spacing w:before="80" w:after="120" w:line="276" w:lineRule="auto"/>
        <w:jc w:val="left"/>
      </w:pPr>
      <w:r>
        <w:rPr>
          <w:rFonts w:ascii="Arial" w:hAnsi="Arial" w:eastAsia="微软雅黑"/>
          <w:b/>
          <w:color w:val="244061"/>
          <w:sz w:val="25"/>
        </w:rPr>
        <w:t>7.1 建议补充的技术组件</w:t>
      </w:r>
    </w:p>
    <w:p>
      <w:pPr>
        <w:spacing w:before="120" w:after="80" w:line="240" w:lineRule="auto"/>
      </w:pPr>
      <w:r>
        <w:rPr>
          <w:rFonts w:ascii="Arial" w:hAnsi="Arial" w:eastAsia="微软雅黑"/>
          <w:b/>
          <w:color w:val="244061"/>
          <w:sz w:val="21"/>
        </w:rPr>
        <w:t>表7-2 建议补充组件</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587"/>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组件</w:t>
            </w:r>
          </w:p>
        </w:tc>
        <w:tc>
          <w:tcPr>
            <w:tcW w:type="dxa" w:w="3402"/>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推荐用途</w:t>
            </w:r>
          </w:p>
        </w:tc>
        <w:tc>
          <w:tcPr>
            <w:tcW w:type="dxa" w:w="3288"/>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接入建议</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CesiumJS</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三维地球、三维场景、实时状态上图</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前端独立地图模块接入</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GeoServer</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发布 WMS/WFS/专题图层与空间数据服务</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作为 GIS 服务中台部署</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PostGIS</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空间数据存储、空间索引与空间查询</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作为空间数据库使用</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TimescaleDB</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高频监测数据时序存储</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与 MySQL 并行使用</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Redis</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缓存热点数据、会话、告警队列</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提高响应速度与并发能力</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Python/FastAPI</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承载泄漏识别、定位、预测模型</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独立算法服务，通过 HTTP 调用</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MQTT/消息队列</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设备接入缓冲与异步解耦</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用于采集数据入库前的削峰和解耦</w:t>
            </w:r>
          </w:p>
        </w:tc>
      </w:tr>
    </w:tbl>
    <w:p/>
    <w:tbl>
      <w:tblPr>
        <w:tblW w:type="auto" w:w="0"/>
        <w:jc w:val="center"/>
        <w:tblLook w:firstColumn="1" w:firstRow="1" w:lastColumn="0" w:lastRow="0" w:noHBand="0" w:noVBand="1" w:val="04A0"/>
      </w:tblPr>
      <w:tblGrid>
        <w:gridCol w:w="9411"/>
      </w:tblGrid>
      <w:tr>
        <w:tc>
          <w:tcPr>
            <w:tcW w:type="dxa" w:w="9411"/>
            <w:shd w:fill="D9EAF7"/>
            <w:tcBorders>
              <w:start w:val="single" w:sz="10" w:color="9CC2E5"/>
              <w:top w:val="single" w:sz="10" w:color="9CC2E5"/>
              <w:end w:val="single" w:sz="10" w:color="9CC2E5"/>
              <w:bottom w:val="single" w:sz="10" w:color="9CC2E5"/>
            </w:tcBorders>
            <w:tcMar>
              <w:top w:w="100" w:type="dxa"/>
              <w:start w:w="140" w:type="dxa"/>
              <w:bottom w:w="100" w:type="dxa"/>
              <w:end w:w="140" w:type="dxa"/>
            </w:tcMar>
          </w:tcPr>
          <w:p>
            <w:pPr>
              <w:spacing w:before="0" w:after="0" w:line="240" w:lineRule="auto"/>
              <w:jc w:val="left"/>
            </w:pPr>
            <w:r>
              <w:rPr>
                <w:rFonts w:ascii="Arial" w:hAnsi="Arial" w:eastAsia="微软雅黑"/>
                <w:b/>
                <w:color w:val="1F1F1F"/>
                <w:sz w:val="21"/>
              </w:rPr>
              <w:t>推荐判断</w:t>
            </w:r>
          </w:p>
        </w:tc>
      </w:tr>
      <w:tr>
        <w:tc>
          <w:tcPr>
            <w:tcW w:type="dxa" w:w="9411"/>
            <w:shd w:fill="F3F7FB"/>
            <w:tcBorders>
              <w:start w:val="single" w:sz="10" w:color="9CC2E5"/>
              <w:top w:val="single" w:sz="10" w:color="9CC2E5"/>
              <w:end w:val="single" w:sz="10" w:color="9CC2E5"/>
              <w:bottom w:val="single" w:sz="10" w:color="9CC2E5"/>
            </w:tcBorders>
            <w:tcMar>
              <w:top w:w="100" w:type="dxa"/>
              <w:start w:w="140" w:type="dxa"/>
              <w:bottom w:w="110" w:type="dxa"/>
              <w:end w:w="140" w:type="dxa"/>
            </w:tcMar>
          </w:tcPr>
          <w:p>
            <w:pPr>
              <w:spacing w:before="0" w:after="0" w:line="307" w:lineRule="auto"/>
              <w:jc w:val="left"/>
            </w:pPr>
            <w:r>
              <w:rPr>
                <w:rFonts w:ascii="Arial" w:hAnsi="Arial" w:eastAsia="微软雅黑"/>
                <w:color w:val="333333"/>
                <w:sz w:val="20"/>
              </w:rPr>
              <w:t>若目标是先做一套能开发、能展示、能跑业务闭环的系统，你现有技术栈足够作为一期主技术路线；若目标是进一步满足多源感知、精准定位和数字孪生可视化等研究要求，则必须补充 GIS、时序数据库和算法服务能力。</w:t>
            </w:r>
          </w:p>
        </w:tc>
      </w:tr>
    </w:tbl>
    <w:p/>
    <w:p>
      <w:pPr>
        <w:pStyle w:val="Heading1"/>
        <w:spacing w:before="160" w:after="120" w:line="276" w:lineRule="auto"/>
        <w:jc w:val="left"/>
      </w:pPr>
      <w:r>
        <w:rPr>
          <w:rFonts w:ascii="Arial" w:hAnsi="Arial" w:eastAsia="微软雅黑"/>
          <w:b/>
          <w:color w:val="1F4E79"/>
          <w:sz w:val="30"/>
        </w:rPr>
        <w:t>8 安全、运维与非功能设计</w:t>
      </w:r>
    </w:p>
    <w:p>
      <w:pPr>
        <w:spacing w:before="0" w:after="120" w:line="336" w:lineRule="auto"/>
        <w:ind w:firstLine="420"/>
      </w:pPr>
      <w:r>
        <w:rPr>
          <w:rFonts w:ascii="Arial" w:hAnsi="Arial" w:eastAsia="微软雅黑"/>
          <w:sz w:val="21"/>
        </w:rPr>
        <w:t>地下管网数字化健康监测系统属于数据连续性和运行可靠性要求较高的行业系统，除功能设计外，还应关注安全、性能、可维护性和审计能力。</w:t>
      </w:r>
    </w:p>
    <w:p>
      <w:pPr>
        <w:spacing w:before="120" w:after="80" w:line="240" w:lineRule="auto"/>
      </w:pPr>
      <w:r>
        <w:rPr>
          <w:rFonts w:ascii="Arial" w:hAnsi="Arial" w:eastAsia="微软雅黑"/>
          <w:b/>
          <w:color w:val="244061"/>
          <w:sz w:val="21"/>
        </w:rPr>
        <w:t>表8-1 非功能设计建议</w:t>
      </w:r>
    </w:p>
    <w:tbl>
      <w:tblPr>
        <w:tblStyle w:val="TableGrid"/>
        <w:tblW w:type="auto" w:w="0"/>
        <w:jc w:val="center"/>
        <w:tblLayout w:type="fixed"/>
        <w:tblLook w:firstColumn="1" w:firstRow="1" w:lastColumn="0" w:lastRow="0" w:noHBand="0" w:noVBand="1" w:val="04A0"/>
      </w:tblPr>
      <w:tblGrid>
        <w:gridCol w:w="4705"/>
        <w:gridCol w:w="4705"/>
      </w:tblGrid>
      <w:tr>
        <w:tc>
          <w:tcPr>
            <w:tcW w:type="dxa" w:w="1474"/>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维度</w:t>
            </w:r>
          </w:p>
        </w:tc>
        <w:tc>
          <w:tcPr>
            <w:tcW w:type="dxa" w:w="7370"/>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建议要求</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安全性</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登录鉴权、权限隔离、接口签名、重要操作审计、敏感配置加密、数据库备份</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可靠性</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核心服务异常重试、消息堆积保护、时序数据断点续传、设备离线检测</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性能</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热点数据缓存、分页查询、异步任务、时序数据冷热分层、地图图层分级加载</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可维护性</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模块化目录、统一日志、统一异常处理、接口文档自动化、环境参数外置</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可扩展性</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算法服务独立部署、GIS 服务独立部署、规则引擎可配置、接口标准化</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可追溯性</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保留评分历史、告警历史、参数变更历史、工单流转历史</w:t>
            </w:r>
          </w:p>
        </w:tc>
      </w:tr>
    </w:tbl>
    <w:p/>
    <w:p>
      <w:pPr>
        <w:pStyle w:val="Heading1"/>
        <w:spacing w:before="160" w:after="120" w:line="276" w:lineRule="auto"/>
        <w:jc w:val="left"/>
      </w:pPr>
      <w:r>
        <w:rPr>
          <w:rFonts w:ascii="Arial" w:hAnsi="Arial" w:eastAsia="微软雅黑"/>
          <w:b/>
          <w:color w:val="1F4E79"/>
          <w:sz w:val="30"/>
        </w:rPr>
        <w:t>9 分阶段实施路线</w:t>
      </w:r>
    </w:p>
    <w:p>
      <w:pPr>
        <w:spacing w:before="0" w:after="120" w:line="336" w:lineRule="auto"/>
        <w:ind w:firstLine="420"/>
      </w:pPr>
      <w:r>
        <w:rPr>
          <w:rFonts w:ascii="Arial" w:hAnsi="Arial" w:eastAsia="微软雅黑"/>
          <w:sz w:val="21"/>
        </w:rPr>
        <w:t>为降低一次性建设复杂度，建议采用“先闭环、再增强、后智能”的三阶段建设路径。</w:t>
      </w:r>
    </w:p>
    <w:p>
      <w:pPr>
        <w:spacing w:before="120" w:after="80" w:line="240" w:lineRule="auto"/>
      </w:pPr>
      <w:r>
        <w:rPr>
          <w:rFonts w:ascii="Arial" w:hAnsi="Arial" w:eastAsia="微软雅黑"/>
          <w:b/>
          <w:color w:val="244061"/>
          <w:sz w:val="21"/>
        </w:rPr>
        <w:t>表9-1 分阶段建设建议</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01"/>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阶段</w:t>
            </w:r>
          </w:p>
        </w:tc>
        <w:tc>
          <w:tcPr>
            <w:tcW w:type="dxa" w:w="3969"/>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建设重点</w:t>
            </w:r>
          </w:p>
        </w:tc>
        <w:tc>
          <w:tcPr>
            <w:tcW w:type="dxa" w:w="3175"/>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主要成果</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一期：工程闭环版</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完成门户、权限、基础档案、实时监测、告警中心、工单处置、综合报表</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系统可上线演示并支撑基本业务流转</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二期：空间增强版</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完善三维 GIS、一张图联动、专题图层、空间分析、区域态势</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实现资产、监测、告警、工单的空间化表达</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三期：智能升级版</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接入多源时序融合、泄漏识别与定位模型、数字孪生动态映射</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形成“监测—分析—定位—预警—决策”智能闭环</w:t>
            </w:r>
          </w:p>
        </w:tc>
      </w:tr>
    </w:tbl>
    <w:p/>
    <w:p>
      <w:pPr>
        <w:pStyle w:val="Heading1"/>
        <w:spacing w:before="160" w:after="120" w:line="276" w:lineRule="auto"/>
        <w:jc w:val="left"/>
      </w:pPr>
      <w:r>
        <w:rPr>
          <w:rFonts w:ascii="Arial" w:hAnsi="Arial" w:eastAsia="微软雅黑"/>
          <w:b/>
          <w:color w:val="1F4E79"/>
          <w:sz w:val="30"/>
        </w:rPr>
        <w:t>10 建议的首页与菜单结构</w:t>
      </w:r>
    </w:p>
    <w:p>
      <w:pPr>
        <w:spacing w:before="0" w:after="120" w:line="336" w:lineRule="auto"/>
        <w:ind w:firstLine="420"/>
      </w:pPr>
      <w:r>
        <w:rPr>
          <w:rFonts w:ascii="Arial" w:hAnsi="Arial" w:eastAsia="微软雅黑"/>
          <w:sz w:val="21"/>
        </w:rPr>
        <w:t>登录后建议先进入“工作台门户页”，再根据角色权限显示不同入口卡片，而不是直接展示长侧边菜单。这样更符合多角色系统使用习惯，也便于控制不同岗位只进入自己关心的子系统。</w:t>
      </w:r>
    </w:p>
    <w:p>
      <w:pPr>
        <w:spacing w:before="120" w:after="80" w:line="240" w:lineRule="auto"/>
      </w:pPr>
      <w:r>
        <w:rPr>
          <w:rFonts w:ascii="Arial" w:hAnsi="Arial" w:eastAsia="微软雅黑"/>
          <w:b/>
          <w:color w:val="244061"/>
          <w:sz w:val="21"/>
        </w:rPr>
        <w:t>表10-1 门户与菜单建议</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474"/>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角色</w:t>
            </w:r>
          </w:p>
        </w:tc>
        <w:tc>
          <w:tcPr>
            <w:tcW w:type="dxa" w:w="3175"/>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首页可见入口</w:t>
            </w:r>
          </w:p>
        </w:tc>
        <w:tc>
          <w:tcPr>
            <w:tcW w:type="dxa" w:w="4195"/>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常用菜单</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系统管理员</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系统管理中心、监测分析中心、三维管线管理</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用户权限、规则配置、设备管理、日志审计</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档案/规划人员</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三维地下管线管理系统</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一张图、档案管理、空间查询、改造专题</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监测人员</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监测分析—预警处置中心、综合态势中心</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实时监测、历史趋势、告警中心、评分分析</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维护人员</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监测分析—预警处置中心</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我的工单、告警确认、处置回传、现场记录</w:t>
            </w:r>
          </w:p>
        </w:tc>
      </w:tr>
      <w:tr>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领导/管理人员</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综合态势与决策指挥中心</w:t>
            </w:r>
          </w:p>
        </w:tc>
        <w:tc>
          <w:tcPr>
            <w:tcW w:type="dxa" w:w="3137"/>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全市态势、风险分布、报表、专题分析</w:t>
            </w:r>
          </w:p>
        </w:tc>
      </w:tr>
    </w:tbl>
    <w:p/>
    <w:p>
      <w:pPr>
        <w:pStyle w:val="Heading1"/>
        <w:spacing w:before="160" w:after="120" w:line="276" w:lineRule="auto"/>
        <w:jc w:val="left"/>
      </w:pPr>
      <w:r>
        <w:rPr>
          <w:rFonts w:ascii="Arial" w:hAnsi="Arial" w:eastAsia="微软雅黑"/>
          <w:b/>
          <w:color w:val="1F4E79"/>
          <w:sz w:val="30"/>
        </w:rPr>
        <w:t>11 结论与建议</w:t>
      </w:r>
    </w:p>
    <w:p>
      <w:pPr>
        <w:spacing w:before="0" w:after="120" w:line="336" w:lineRule="auto"/>
        <w:ind w:firstLine="420"/>
      </w:pPr>
      <w:r>
        <w:rPr>
          <w:rFonts w:ascii="Arial" w:hAnsi="Arial" w:eastAsia="微软雅黑"/>
          <w:sz w:val="21"/>
        </w:rPr>
        <w:t>综合来看，你现有的三块式思路是正确的，但为了让系统结构更加严谨、后续开发更顺畅，建议正式定为“4个业务子系统 + 1个平台支撑层”的架构。这样既承接了现有文件中的五类能力要求，也能对接后续研究型目标。</w:t>
      </w:r>
    </w:p>
    <w:p>
      <w:pPr>
        <w:spacing w:before="0" w:after="120" w:line="336" w:lineRule="auto"/>
        <w:ind w:firstLine="420"/>
      </w:pPr>
      <w:r>
        <w:rPr>
          <w:rFonts w:ascii="Arial" w:hAnsi="Arial" w:eastAsia="微软雅黑"/>
          <w:sz w:val="21"/>
        </w:rPr>
        <w:t>在技术路线方面，Spring Boot + MyBatis + MySQL + Vue3 + TypeScript + Element Plus + ECharts + WebSocket 可以作为一期工程系统的核心框架；若要继续满足三维 GIS、时序监测、多源融合诊断和数字孪生等更高要求，应补充 CesiumJS、GeoServer、PostGIS、TimescaleDB、Redis 以及独立 Python 算法服务。</w:t>
      </w:r>
    </w:p>
    <w:p>
      <w:pPr>
        <w:spacing w:before="0" w:after="120" w:line="336" w:lineRule="auto"/>
        <w:ind w:firstLine="420"/>
      </w:pPr>
      <w:r>
        <w:rPr>
          <w:rFonts w:ascii="Arial" w:hAnsi="Arial" w:eastAsia="微软雅黑"/>
          <w:sz w:val="21"/>
        </w:rPr>
        <w:t>建议你后续按照本方案继续细化三项内容：一是数据库字段级设计；二是前端页面原型与菜单路由；三是接口清单与开发优先级。这样就能从“想法”进入真正可开发的系统设计阶段。</w:t>
      </w:r>
    </w:p>
    <w:p>
      <w:pPr>
        <w:pStyle w:val="Heading1"/>
        <w:spacing w:before="160" w:after="120" w:line="276" w:lineRule="auto"/>
        <w:jc w:val="left"/>
      </w:pPr>
      <w:r>
        <w:rPr>
          <w:rFonts w:ascii="Arial" w:hAnsi="Arial" w:eastAsia="微软雅黑"/>
          <w:b/>
          <w:color w:val="1F4E79"/>
          <w:sz w:val="30"/>
        </w:rPr>
        <w:t>附录A 可直接用于开发拆分的后端模块建议</w:t>
      </w:r>
    </w:p>
    <w:p>
      <w:pPr>
        <w:spacing w:before="120" w:after="80" w:line="240" w:lineRule="auto"/>
      </w:pPr>
      <w:r>
        <w:rPr>
          <w:rFonts w:ascii="Arial" w:hAnsi="Arial" w:eastAsia="微软雅黑"/>
          <w:b/>
          <w:color w:val="244061"/>
          <w:sz w:val="21"/>
        </w:rPr>
        <w:t>表A-1 后端模块划分建议</w:t>
      </w:r>
    </w:p>
    <w:tbl>
      <w:tblPr>
        <w:tblStyle w:val="TableGrid"/>
        <w:tblW w:type="auto" w:w="0"/>
        <w:jc w:val="center"/>
        <w:tblLayout w:type="fixed"/>
        <w:tblLook w:firstColumn="1" w:firstRow="1" w:lastColumn="0" w:lastRow="0" w:noHBand="0" w:noVBand="1" w:val="04A0"/>
      </w:tblPr>
      <w:tblGrid>
        <w:gridCol w:w="4705"/>
        <w:gridCol w:w="4705"/>
      </w:tblGrid>
      <w:tr>
        <w:tc>
          <w:tcPr>
            <w:tcW w:type="dxa" w:w="1701"/>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模块名</w:t>
            </w:r>
          </w:p>
        </w:tc>
        <w:tc>
          <w:tcPr>
            <w:tcW w:type="dxa" w:w="6803"/>
            <w:shd w:fill="D9EAF7"/>
            <w:vAlign w:val="center"/>
            <w:tcMar>
              <w:top w:w="90" w:type="dxa"/>
              <w:start w:w="120" w:type="dxa"/>
              <w:bottom w:w="90" w:type="dxa"/>
              <w:end w:w="120" w:type="dxa"/>
            </w:tcMar>
            <w:tcBorders>
              <w:start w:val="single" w:sz="8" w:color="A6A6A6"/>
              <w:top w:val="single" w:sz="8" w:color="A6A6A6"/>
              <w:end w:val="single" w:sz="8" w:color="A6A6A6"/>
              <w:bottom w:val="single" w:sz="8" w:color="A6A6A6"/>
            </w:tcBorders>
          </w:tcPr>
          <w:p>
            <w:pPr>
              <w:spacing w:before="0" w:after="0" w:line="288" w:lineRule="auto"/>
              <w:jc w:val="center"/>
            </w:pPr>
            <w:r>
              <w:rPr>
                <w:rFonts w:ascii="Arial" w:hAnsi="Arial" w:eastAsia="微软雅黑"/>
                <w:b/>
                <w:color w:val="1F1F1F"/>
                <w:sz w:val="20"/>
              </w:rPr>
              <w:t>核心职责</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auth</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登录、鉴权、角色、权限、菜单</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asset</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管网、管段、节点、附属设施、传感器基础档案</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gis</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空间对象、图层服务、专题图层、空间查询接口</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monitor</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实时数据接入、历史趋势查询、在线状态计算</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alert</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异常识别、告警生成、分级、推送与状态流转</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workorder</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工单派发、处置记录、附件上传、闭环管理</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report</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指标统计、报表生成、导出</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rule</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规则配置、阈值管理、评分权重、模型开关</w:t>
            </w:r>
          </w:p>
        </w:tc>
      </w:tr>
      <w:tr>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center"/>
            </w:pPr>
            <w:r>
              <w:rPr>
                <w:rFonts w:ascii="Arial" w:hAnsi="Arial" w:eastAsia="微软雅黑"/>
                <w:b w:val="0"/>
                <w:color w:val="333333"/>
                <w:sz w:val="19"/>
              </w:rPr>
              <w:t>integration</w:t>
            </w:r>
          </w:p>
        </w:tc>
        <w:tc>
          <w:tcPr>
            <w:tcW w:type="dxa" w:w="4705"/>
            <w:vAlign w:val="center"/>
            <w:tcMar>
              <w:top w:w="90" w:type="dxa"/>
              <w:start w:w="120" w:type="dxa"/>
              <w:bottom w:w="90" w:type="dxa"/>
              <w:end w:w="120" w:type="dxa"/>
            </w:tcMar>
            <w:tcBorders>
              <w:start w:val="single" w:sz="6" w:color="D0D0D0"/>
              <w:top w:val="single" w:sz="6" w:color="D0D0D0"/>
              <w:end w:val="single" w:sz="6" w:color="D0D0D0"/>
              <w:bottom w:val="single" w:sz="6" w:color="D0D0D0"/>
            </w:tcBorders>
          </w:tcPr>
          <w:p>
            <w:pPr>
              <w:spacing w:before="0" w:after="0" w:line="288" w:lineRule="auto"/>
              <w:jc w:val="left"/>
            </w:pPr>
            <w:r>
              <w:rPr>
                <w:rFonts w:ascii="Arial" w:hAnsi="Arial" w:eastAsia="微软雅黑"/>
                <w:b w:val="0"/>
                <w:color w:val="333333"/>
                <w:sz w:val="19"/>
              </w:rPr>
              <w:t>第三方接口、消息通知、统一网关对接</w:t>
            </w:r>
          </w:p>
        </w:tc>
      </w:tr>
    </w:tbl>
    <w:p/>
    <w:tbl>
      <w:tblPr>
        <w:tblW w:type="auto" w:w="0"/>
        <w:jc w:val="center"/>
        <w:tblLook w:firstColumn="1" w:firstRow="1" w:lastColumn="0" w:lastRow="0" w:noHBand="0" w:noVBand="1" w:val="04A0"/>
      </w:tblPr>
      <w:tblGrid>
        <w:gridCol w:w="9411"/>
      </w:tblGrid>
      <w:tr>
        <w:tc>
          <w:tcPr>
            <w:tcW w:type="dxa" w:w="9411"/>
            <w:shd w:fill="D9EAF7"/>
            <w:tcBorders>
              <w:start w:val="single" w:sz="10" w:color="9CC2E5"/>
              <w:top w:val="single" w:sz="10" w:color="9CC2E5"/>
              <w:end w:val="single" w:sz="10" w:color="9CC2E5"/>
              <w:bottom w:val="single" w:sz="10" w:color="9CC2E5"/>
            </w:tcBorders>
            <w:tcMar>
              <w:top w:w="100" w:type="dxa"/>
              <w:start w:w="140" w:type="dxa"/>
              <w:bottom w:w="100" w:type="dxa"/>
              <w:end w:w="140" w:type="dxa"/>
            </w:tcMar>
          </w:tcPr>
          <w:p>
            <w:pPr>
              <w:spacing w:before="0" w:after="0" w:line="240" w:lineRule="auto"/>
              <w:jc w:val="left"/>
            </w:pPr>
            <w:r>
              <w:rPr>
                <w:rFonts w:ascii="Arial" w:hAnsi="Arial" w:eastAsia="微软雅黑"/>
                <w:b/>
                <w:color w:val="1F1F1F"/>
                <w:sz w:val="21"/>
              </w:rPr>
              <w:t>建议你下一步怎么用这份文档</w:t>
            </w:r>
          </w:p>
        </w:tc>
      </w:tr>
      <w:tr>
        <w:tc>
          <w:tcPr>
            <w:tcW w:type="dxa" w:w="9411"/>
            <w:shd w:fill="F3F7FB"/>
            <w:tcBorders>
              <w:start w:val="single" w:sz="10" w:color="9CC2E5"/>
              <w:top w:val="single" w:sz="10" w:color="9CC2E5"/>
              <w:end w:val="single" w:sz="10" w:color="9CC2E5"/>
              <w:bottom w:val="single" w:sz="10" w:color="9CC2E5"/>
            </w:tcBorders>
            <w:tcMar>
              <w:top w:w="100" w:type="dxa"/>
              <w:start w:w="140" w:type="dxa"/>
              <w:bottom w:w="110" w:type="dxa"/>
              <w:end w:w="140" w:type="dxa"/>
            </w:tcMar>
          </w:tcPr>
          <w:p>
            <w:pPr>
              <w:spacing w:before="0" w:after="0" w:line="307" w:lineRule="auto"/>
              <w:jc w:val="left"/>
            </w:pPr>
            <w:r>
              <w:rPr>
                <w:rFonts w:ascii="Arial" w:hAnsi="Arial" w:eastAsia="微软雅黑"/>
                <w:color w:val="333333"/>
                <w:sz w:val="20"/>
              </w:rPr>
              <w:t>可以直接把本方案作为系统设计初稿使用：先用第 2、3、4 章做整体方案汇报；再用第 5、6、7 章指导数据库设计、接口设计和技术选型；最后用第 9、10 章安排开发优先级与页面结构。如果后续需要，我还可以在此基础上继续扩展成“数据库设计说明书”或“前端原型说明书”。</w:t>
            </w:r>
          </w:p>
        </w:tc>
      </w:tr>
    </w:tbl>
    <w:p/>
    <w:p>
      <w:r>
        <w:br w:type="page"/>
      </w:r>
    </w:p>
    <w:p>
      <w:pPr>
        <w:pStyle w:val="Heading1"/>
        <w:spacing w:before="160" w:after="80"/>
      </w:pPr>
      <w:r>
        <w:rPr>
          <w:rFonts w:ascii="宋体" w:hAnsi="宋体" w:eastAsia="宋体"/>
          <w:b/>
          <w:color w:val="1F4E79"/>
          <w:sz w:val="32"/>
        </w:rPr>
        <w:t>附录B 前端与后端技术栈及实现方案</w:t>
      </w:r>
    </w:p>
    <w:p>
      <w:pPr>
        <w:spacing w:before="0" w:after="80" w:line="348" w:lineRule="auto"/>
        <w:ind w:firstLine="420"/>
      </w:pPr>
      <w:r>
        <w:rPr>
          <w:rFonts w:ascii="宋体" w:hAnsi="宋体" w:eastAsia="宋体"/>
          <w:b w:val="0"/>
          <w:sz w:val="22"/>
        </w:rPr>
        <w:t>本附录在原详细设计方案基础上，进一步把系统工程落地所需的前端、后端、中间件与数据库实现方案拆解到组件级和模块级，目标是让技术选型能够直接指导项目脚手架搭建、数据库建模、接口开发和页面实现，而不是停留在“Spring Boot + Vue3”这一层面的笼统描述。</w:t>
      </w:r>
    </w:p>
    <w:p>
      <w:pPr>
        <w:spacing w:before="0" w:after="80" w:line="348" w:lineRule="auto"/>
        <w:ind w:firstLine="420"/>
      </w:pPr>
      <w:r>
        <w:rPr>
          <w:rFonts w:ascii="宋体" w:hAnsi="宋体" w:eastAsia="宋体"/>
          <w:b w:val="0"/>
          <w:sz w:val="22"/>
        </w:rPr>
        <w:t>总体原则是：前端优先保证页面统一、地图联动和实时交互；后端优先保证模块边界清晰、主数据稳定、监测数据高效存取、告警闭环可追溯；研究型算法通过独立服务接入，避免直接耦合到主业务工程中。</w:t>
      </w:r>
    </w:p>
    <w:p>
      <w:pPr>
        <w:pStyle w:val="Heading2"/>
        <w:spacing w:before="100" w:after="80"/>
      </w:pPr>
      <w:r>
        <w:rPr>
          <w:rFonts w:ascii="宋体" w:hAnsi="宋体" w:eastAsia="宋体"/>
          <w:b/>
          <w:color w:val="373737"/>
          <w:sz w:val="26"/>
        </w:rPr>
        <w:t>B.1 前端技术栈建议</w:t>
      </w:r>
    </w:p>
    <w:p>
      <w:pPr>
        <w:spacing w:before="0" w:after="80" w:line="348" w:lineRule="auto"/>
        <w:ind w:firstLine="420"/>
      </w:pPr>
      <w:r>
        <w:rPr>
          <w:rFonts w:ascii="宋体" w:hAnsi="宋体" w:eastAsia="宋体"/>
          <w:b w:val="0"/>
          <w:sz w:val="22"/>
        </w:rPr>
        <w:t>前端建议继续采用 Vue3 技术体系，但要从“能写页面”提升为“可支撑 GIS、实时监测、大屏和后台管理并存”的工程化方案。具体上建议以 Vite 作为构建工具，以 TypeScript 统一类型，以 Pinia 管理状态，以 Element Plus 构建管理端交互，以 ECharts 承担统计图表，以 CesiumJS/二维地图组件承接管网空间场景。</w:t>
      </w:r>
    </w:p>
    <w:p>
      <w:pPr>
        <w:spacing w:before="80" w:after="40" w:line="348" w:lineRule="auto"/>
      </w:pPr>
      <w:r>
        <w:rPr>
          <w:rFonts w:ascii="宋体" w:hAnsi="宋体" w:eastAsia="宋体"/>
          <w:b w:val="0"/>
          <w:sz w:val="22"/>
        </w:rPr>
        <w:t>表B-1 前端技术栈明细建议</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247"/>
            <w:vAlign w:val="center"/>
            <w:shd w:fill="D9EAF7"/>
          </w:tcPr>
          <w:p>
            <w:pPr>
              <w:spacing w:before="0" w:after="0" w:line="276" w:lineRule="auto"/>
              <w:jc w:val="center"/>
            </w:pPr>
            <w:r/>
            <w:r>
              <w:rPr>
                <w:rFonts w:ascii="宋体" w:hAnsi="宋体" w:eastAsia="宋体"/>
                <w:b/>
                <w:sz w:val="20"/>
              </w:rPr>
              <w:t>层次</w:t>
            </w:r>
          </w:p>
        </w:tc>
        <w:tc>
          <w:tcPr>
            <w:tcW w:type="dxa" w:w="2381"/>
            <w:vAlign w:val="center"/>
            <w:shd w:fill="D9EAF7"/>
          </w:tcPr>
          <w:p>
            <w:pPr>
              <w:spacing w:before="0" w:after="0" w:line="276" w:lineRule="auto"/>
              <w:jc w:val="center"/>
            </w:pPr>
            <w:r/>
            <w:r>
              <w:rPr>
                <w:rFonts w:ascii="宋体" w:hAnsi="宋体" w:eastAsia="宋体"/>
                <w:b/>
                <w:sz w:val="20"/>
              </w:rPr>
              <w:t>推荐技术/组件</w:t>
            </w:r>
          </w:p>
        </w:tc>
        <w:tc>
          <w:tcPr>
            <w:tcW w:type="dxa" w:w="2268"/>
            <w:vAlign w:val="center"/>
            <w:shd w:fill="D9EAF7"/>
          </w:tcPr>
          <w:p>
            <w:pPr>
              <w:spacing w:before="0" w:after="0" w:line="276" w:lineRule="auto"/>
              <w:jc w:val="center"/>
            </w:pPr>
            <w:r/>
            <w:r>
              <w:rPr>
                <w:rFonts w:ascii="宋体" w:hAnsi="宋体" w:eastAsia="宋体"/>
                <w:b/>
                <w:sz w:val="20"/>
              </w:rPr>
              <w:t>作用定位</w:t>
            </w:r>
          </w:p>
        </w:tc>
        <w:tc>
          <w:tcPr>
            <w:tcW w:type="dxa" w:w="3515"/>
            <w:vAlign w:val="center"/>
            <w:shd w:fill="D9EAF7"/>
          </w:tcPr>
          <w:p>
            <w:pPr>
              <w:spacing w:before="0" w:after="0" w:line="276" w:lineRule="auto"/>
              <w:jc w:val="center"/>
            </w:pPr>
            <w:r/>
            <w:r>
              <w:rPr>
                <w:rFonts w:ascii="宋体" w:hAnsi="宋体" w:eastAsia="宋体"/>
                <w:b/>
                <w:sz w:val="20"/>
              </w:rPr>
              <w:t>落地说明</w:t>
            </w:r>
          </w:p>
        </w:tc>
      </w:tr>
      <w:tr>
        <w:tc>
          <w:tcPr>
            <w:tcW w:type="dxa" w:w="1247"/>
            <w:vAlign w:val="center"/>
          </w:tcPr>
          <w:p>
            <w:pPr>
              <w:spacing w:before="0" w:after="0" w:line="276" w:lineRule="auto"/>
              <w:jc w:val="left"/>
            </w:pPr>
            <w:r/>
            <w:r>
              <w:rPr>
                <w:rFonts w:ascii="宋体" w:hAnsi="宋体" w:eastAsia="宋体"/>
                <w:b w:val="0"/>
                <w:sz w:val="20"/>
              </w:rPr>
              <w:t>工程基础</w:t>
            </w:r>
          </w:p>
        </w:tc>
        <w:tc>
          <w:tcPr>
            <w:tcW w:type="dxa" w:w="2381"/>
            <w:vAlign w:val="center"/>
          </w:tcPr>
          <w:p>
            <w:pPr>
              <w:spacing w:before="0" w:after="0" w:line="276" w:lineRule="auto"/>
              <w:jc w:val="left"/>
            </w:pPr>
            <w:r/>
            <w:r>
              <w:rPr>
                <w:rFonts w:ascii="宋体" w:hAnsi="宋体" w:eastAsia="宋体"/>
                <w:b w:val="0"/>
                <w:sz w:val="20"/>
              </w:rPr>
              <w:t>Vue3 + TypeScript + Vite</w:t>
            </w:r>
          </w:p>
        </w:tc>
        <w:tc>
          <w:tcPr>
            <w:tcW w:type="dxa" w:w="2268"/>
            <w:vAlign w:val="center"/>
          </w:tcPr>
          <w:p>
            <w:pPr>
              <w:spacing w:before="0" w:after="0" w:line="276" w:lineRule="auto"/>
              <w:jc w:val="left"/>
            </w:pPr>
            <w:r/>
            <w:r>
              <w:rPr>
                <w:rFonts w:ascii="宋体" w:hAnsi="宋体" w:eastAsia="宋体"/>
                <w:b w:val="0"/>
                <w:sz w:val="20"/>
              </w:rPr>
              <w:t>项目脚手架、组件化开发、类型约束、构建发布</w:t>
            </w:r>
          </w:p>
        </w:tc>
        <w:tc>
          <w:tcPr>
            <w:tcW w:type="dxa" w:w="3515"/>
            <w:vAlign w:val="center"/>
          </w:tcPr>
          <w:p>
            <w:pPr>
              <w:spacing w:before="0" w:after="0" w:line="276" w:lineRule="auto"/>
              <w:jc w:val="left"/>
            </w:pPr>
            <w:r/>
            <w:r>
              <w:rPr>
                <w:rFonts w:ascii="宋体" w:hAnsi="宋体" w:eastAsia="宋体"/>
                <w:b w:val="0"/>
                <w:sz w:val="20"/>
              </w:rPr>
              <w:t>Vue3 负责视图层，TypeScript 保证接口、表单、字典和模型类型可控，Vite 负责本地开发与生产打包。</w:t>
            </w:r>
          </w:p>
        </w:tc>
      </w:tr>
      <w:tr>
        <w:tc>
          <w:tcPr>
            <w:tcW w:type="dxa" w:w="1247"/>
            <w:vAlign w:val="center"/>
          </w:tcPr>
          <w:p>
            <w:pPr>
              <w:spacing w:before="0" w:after="0" w:line="276" w:lineRule="auto"/>
              <w:jc w:val="left"/>
            </w:pPr>
            <w:r/>
            <w:r>
              <w:rPr>
                <w:rFonts w:ascii="宋体" w:hAnsi="宋体" w:eastAsia="宋体"/>
                <w:b w:val="0"/>
                <w:sz w:val="20"/>
              </w:rPr>
              <w:t>路由管理</w:t>
            </w:r>
          </w:p>
        </w:tc>
        <w:tc>
          <w:tcPr>
            <w:tcW w:type="dxa" w:w="2381"/>
            <w:vAlign w:val="center"/>
          </w:tcPr>
          <w:p>
            <w:pPr>
              <w:spacing w:before="0" w:after="0" w:line="276" w:lineRule="auto"/>
              <w:jc w:val="center"/>
            </w:pPr>
            <w:r/>
            <w:r>
              <w:rPr>
                <w:rFonts w:ascii="宋体" w:hAnsi="宋体" w:eastAsia="宋体"/>
                <w:b w:val="0"/>
                <w:sz w:val="20"/>
              </w:rPr>
              <w:t>Vue Router</w:t>
            </w:r>
          </w:p>
        </w:tc>
        <w:tc>
          <w:tcPr>
            <w:tcW w:type="dxa" w:w="2268"/>
            <w:vAlign w:val="center"/>
          </w:tcPr>
          <w:p>
            <w:pPr>
              <w:spacing w:before="0" w:after="0" w:line="276" w:lineRule="auto"/>
              <w:jc w:val="left"/>
            </w:pPr>
            <w:r/>
            <w:r>
              <w:rPr>
                <w:rFonts w:ascii="宋体" w:hAnsi="宋体" w:eastAsia="宋体"/>
                <w:b w:val="0"/>
                <w:sz w:val="20"/>
              </w:rPr>
              <w:t>子系统路由、菜单路由、权限路由</w:t>
            </w:r>
          </w:p>
        </w:tc>
        <w:tc>
          <w:tcPr>
            <w:tcW w:type="dxa" w:w="3515"/>
            <w:vAlign w:val="center"/>
          </w:tcPr>
          <w:p>
            <w:pPr>
              <w:spacing w:before="0" w:after="0" w:line="276" w:lineRule="auto"/>
              <w:jc w:val="left"/>
            </w:pPr>
            <w:r/>
            <w:r>
              <w:rPr>
                <w:rFonts w:ascii="宋体" w:hAnsi="宋体" w:eastAsia="宋体"/>
                <w:b w:val="0"/>
                <w:sz w:val="20"/>
              </w:rPr>
              <w:t>建议按“工作台/三维管理/监测预警/决策指挥/系统管理”拆分一级路由，并采用动态路由控制角色可见菜单。</w:t>
            </w:r>
          </w:p>
        </w:tc>
      </w:tr>
      <w:tr>
        <w:tc>
          <w:tcPr>
            <w:tcW w:type="dxa" w:w="1247"/>
            <w:vAlign w:val="center"/>
          </w:tcPr>
          <w:p>
            <w:pPr>
              <w:spacing w:before="0" w:after="0" w:line="276" w:lineRule="auto"/>
              <w:jc w:val="left"/>
            </w:pPr>
            <w:r/>
            <w:r>
              <w:rPr>
                <w:rFonts w:ascii="宋体" w:hAnsi="宋体" w:eastAsia="宋体"/>
                <w:b w:val="0"/>
                <w:sz w:val="20"/>
              </w:rPr>
              <w:t>状态管理</w:t>
            </w:r>
          </w:p>
        </w:tc>
        <w:tc>
          <w:tcPr>
            <w:tcW w:type="dxa" w:w="2381"/>
            <w:vAlign w:val="center"/>
          </w:tcPr>
          <w:p>
            <w:pPr>
              <w:spacing w:before="0" w:after="0" w:line="276" w:lineRule="auto"/>
              <w:jc w:val="center"/>
            </w:pPr>
            <w:r/>
            <w:r>
              <w:rPr>
                <w:rFonts w:ascii="宋体" w:hAnsi="宋体" w:eastAsia="宋体"/>
                <w:b w:val="0"/>
                <w:sz w:val="20"/>
              </w:rPr>
              <w:t>Pinia</w:t>
            </w:r>
          </w:p>
        </w:tc>
        <w:tc>
          <w:tcPr>
            <w:tcW w:type="dxa" w:w="2268"/>
            <w:vAlign w:val="center"/>
          </w:tcPr>
          <w:p>
            <w:pPr>
              <w:spacing w:before="0" w:after="0" w:line="276" w:lineRule="auto"/>
              <w:jc w:val="left"/>
            </w:pPr>
            <w:r/>
            <w:r>
              <w:rPr>
                <w:rFonts w:ascii="宋体" w:hAnsi="宋体" w:eastAsia="宋体"/>
                <w:b w:val="0"/>
                <w:sz w:val="20"/>
              </w:rPr>
              <w:t>登录态、用户信息、字典缓存、全局筛选条件、地图状态</w:t>
            </w:r>
          </w:p>
        </w:tc>
        <w:tc>
          <w:tcPr>
            <w:tcW w:type="dxa" w:w="3515"/>
            <w:vAlign w:val="center"/>
          </w:tcPr>
          <w:p>
            <w:pPr>
              <w:spacing w:before="0" w:after="0" w:line="276" w:lineRule="auto"/>
              <w:jc w:val="left"/>
            </w:pPr>
            <w:r/>
            <w:r>
              <w:rPr>
                <w:rFonts w:ascii="宋体" w:hAnsi="宋体" w:eastAsia="宋体"/>
                <w:b w:val="0"/>
                <w:sz w:val="20"/>
              </w:rPr>
              <w:t>适合管理多页面共享状态，如当前区域、图层、选中管段、告警筛选条件等。</w:t>
            </w:r>
          </w:p>
        </w:tc>
      </w:tr>
      <w:tr>
        <w:tc>
          <w:tcPr>
            <w:tcW w:type="dxa" w:w="1247"/>
            <w:vAlign w:val="center"/>
          </w:tcPr>
          <w:p>
            <w:pPr>
              <w:spacing w:before="0" w:after="0" w:line="276" w:lineRule="auto"/>
              <w:jc w:val="left"/>
            </w:pPr>
            <w:r/>
            <w:r>
              <w:rPr>
                <w:rFonts w:ascii="宋体" w:hAnsi="宋体" w:eastAsia="宋体"/>
                <w:b w:val="0"/>
                <w:sz w:val="20"/>
              </w:rPr>
              <w:t>基础 UI</w:t>
            </w:r>
          </w:p>
        </w:tc>
        <w:tc>
          <w:tcPr>
            <w:tcW w:type="dxa" w:w="2381"/>
            <w:vAlign w:val="center"/>
          </w:tcPr>
          <w:p>
            <w:pPr>
              <w:spacing w:before="0" w:after="0" w:line="276" w:lineRule="auto"/>
              <w:jc w:val="center"/>
            </w:pPr>
            <w:r/>
            <w:r>
              <w:rPr>
                <w:rFonts w:ascii="宋体" w:hAnsi="宋体" w:eastAsia="宋体"/>
                <w:b w:val="0"/>
                <w:sz w:val="20"/>
              </w:rPr>
              <w:t>Element Plus</w:t>
            </w:r>
          </w:p>
        </w:tc>
        <w:tc>
          <w:tcPr>
            <w:tcW w:type="dxa" w:w="2268"/>
            <w:vAlign w:val="center"/>
          </w:tcPr>
          <w:p>
            <w:pPr>
              <w:spacing w:before="0" w:after="0" w:line="276" w:lineRule="auto"/>
              <w:jc w:val="center"/>
            </w:pPr>
            <w:r/>
            <w:r>
              <w:rPr>
                <w:rFonts w:ascii="宋体" w:hAnsi="宋体" w:eastAsia="宋体"/>
                <w:b w:val="0"/>
                <w:sz w:val="20"/>
              </w:rPr>
              <w:t>后台管理端组件库</w:t>
            </w:r>
          </w:p>
        </w:tc>
        <w:tc>
          <w:tcPr>
            <w:tcW w:type="dxa" w:w="3515"/>
            <w:vAlign w:val="center"/>
          </w:tcPr>
          <w:p>
            <w:pPr>
              <w:spacing w:before="0" w:after="0" w:line="276" w:lineRule="auto"/>
              <w:jc w:val="left"/>
            </w:pPr>
            <w:r/>
            <w:r>
              <w:rPr>
                <w:rFonts w:ascii="宋体" w:hAnsi="宋体" w:eastAsia="宋体"/>
                <w:b w:val="0"/>
                <w:sz w:val="20"/>
              </w:rPr>
              <w:t>承担按钮、表单、弹窗、树控件、抽屉、Tabs、分页、日期选择器等常规业务页面组件。</w:t>
            </w:r>
          </w:p>
        </w:tc>
      </w:tr>
      <w:tr>
        <w:tc>
          <w:tcPr>
            <w:tcW w:type="dxa" w:w="1247"/>
            <w:vAlign w:val="center"/>
          </w:tcPr>
          <w:p>
            <w:pPr>
              <w:spacing w:before="0" w:after="0" w:line="276" w:lineRule="auto"/>
              <w:jc w:val="left"/>
            </w:pPr>
            <w:r/>
            <w:r>
              <w:rPr>
                <w:rFonts w:ascii="宋体" w:hAnsi="宋体" w:eastAsia="宋体"/>
                <w:b w:val="0"/>
                <w:sz w:val="20"/>
              </w:rPr>
              <w:t>表格组件</w:t>
            </w:r>
          </w:p>
        </w:tc>
        <w:tc>
          <w:tcPr>
            <w:tcW w:type="dxa" w:w="2381"/>
            <w:vAlign w:val="center"/>
          </w:tcPr>
          <w:p>
            <w:pPr>
              <w:spacing w:before="0" w:after="0" w:line="276" w:lineRule="auto"/>
              <w:jc w:val="left"/>
            </w:pPr>
            <w:r/>
            <w:r>
              <w:rPr>
                <w:rFonts w:ascii="宋体" w:hAnsi="宋体" w:eastAsia="宋体"/>
                <w:b w:val="0"/>
                <w:sz w:val="20"/>
              </w:rPr>
              <w:t>Element Plus Table / Table V2</w:t>
            </w:r>
          </w:p>
        </w:tc>
        <w:tc>
          <w:tcPr>
            <w:tcW w:type="dxa" w:w="2268"/>
            <w:vAlign w:val="center"/>
          </w:tcPr>
          <w:p>
            <w:pPr>
              <w:spacing w:before="0" w:after="0" w:line="276" w:lineRule="auto"/>
              <w:jc w:val="left"/>
            </w:pPr>
            <w:r/>
            <w:r>
              <w:rPr>
                <w:rFonts w:ascii="宋体" w:hAnsi="宋体" w:eastAsia="宋体"/>
                <w:b w:val="0"/>
                <w:sz w:val="20"/>
              </w:rPr>
              <w:t>标准列表表格与大数据量虚拟表格</w:t>
            </w:r>
          </w:p>
        </w:tc>
        <w:tc>
          <w:tcPr>
            <w:tcW w:type="dxa" w:w="3515"/>
            <w:vAlign w:val="center"/>
          </w:tcPr>
          <w:p>
            <w:pPr>
              <w:spacing w:before="0" w:after="0" w:line="276" w:lineRule="auto"/>
              <w:jc w:val="left"/>
            </w:pPr>
            <w:r/>
            <w:r>
              <w:rPr>
                <w:rFonts w:ascii="宋体" w:hAnsi="宋体" w:eastAsia="宋体"/>
                <w:b w:val="0"/>
                <w:sz w:val="20"/>
              </w:rPr>
              <w:t>普通档案列表、告警列表使用 Table；设备清单、监测明细等大数据量场景可使用 Table V2 提升滚动性能。</w:t>
            </w:r>
          </w:p>
        </w:tc>
      </w:tr>
      <w:tr>
        <w:tc>
          <w:tcPr>
            <w:tcW w:type="dxa" w:w="1247"/>
            <w:vAlign w:val="center"/>
          </w:tcPr>
          <w:p>
            <w:pPr>
              <w:spacing w:before="0" w:after="0" w:line="276" w:lineRule="auto"/>
              <w:jc w:val="left"/>
            </w:pPr>
            <w:r/>
            <w:r>
              <w:rPr>
                <w:rFonts w:ascii="宋体" w:hAnsi="宋体" w:eastAsia="宋体"/>
                <w:b w:val="0"/>
                <w:sz w:val="20"/>
              </w:rPr>
              <w:t>图表可视化</w:t>
            </w:r>
          </w:p>
        </w:tc>
        <w:tc>
          <w:tcPr>
            <w:tcW w:type="dxa" w:w="2381"/>
            <w:vAlign w:val="center"/>
          </w:tcPr>
          <w:p>
            <w:pPr>
              <w:spacing w:before="0" w:after="0" w:line="276" w:lineRule="auto"/>
              <w:jc w:val="center"/>
            </w:pPr>
            <w:r/>
            <w:r>
              <w:rPr>
                <w:rFonts w:ascii="宋体" w:hAnsi="宋体" w:eastAsia="宋体"/>
                <w:b w:val="0"/>
                <w:sz w:val="20"/>
              </w:rPr>
              <w:t>ECharts</w:t>
            </w:r>
          </w:p>
        </w:tc>
        <w:tc>
          <w:tcPr>
            <w:tcW w:type="dxa" w:w="2268"/>
            <w:vAlign w:val="center"/>
          </w:tcPr>
          <w:p>
            <w:pPr>
              <w:spacing w:before="0" w:after="0" w:line="276" w:lineRule="auto"/>
              <w:jc w:val="left"/>
            </w:pPr>
            <w:r/>
            <w:r>
              <w:rPr>
                <w:rFonts w:ascii="宋体" w:hAnsi="宋体" w:eastAsia="宋体"/>
                <w:b w:val="0"/>
                <w:sz w:val="20"/>
              </w:rPr>
              <w:t>趋势曲线、饼图、柱状图、热力图、大屏图表</w:t>
            </w:r>
          </w:p>
        </w:tc>
        <w:tc>
          <w:tcPr>
            <w:tcW w:type="dxa" w:w="3515"/>
            <w:vAlign w:val="center"/>
          </w:tcPr>
          <w:p>
            <w:pPr>
              <w:spacing w:before="0" w:after="0" w:line="276" w:lineRule="auto"/>
              <w:jc w:val="left"/>
            </w:pPr>
            <w:r/>
            <w:r>
              <w:rPr>
                <w:rFonts w:ascii="宋体" w:hAnsi="宋体" w:eastAsia="宋体"/>
                <w:b w:val="0"/>
                <w:sz w:val="20"/>
              </w:rPr>
              <w:t>适合监测趋势、区域风险排名、健康评分分布、工单闭环率等统计表达。</w:t>
            </w:r>
          </w:p>
        </w:tc>
      </w:tr>
      <w:tr>
        <w:tc>
          <w:tcPr>
            <w:tcW w:type="dxa" w:w="1247"/>
            <w:vAlign w:val="center"/>
          </w:tcPr>
          <w:p>
            <w:pPr>
              <w:spacing w:before="0" w:after="0" w:line="276" w:lineRule="auto"/>
              <w:jc w:val="left"/>
            </w:pPr>
            <w:r/>
            <w:r>
              <w:rPr>
                <w:rFonts w:ascii="宋体" w:hAnsi="宋体" w:eastAsia="宋体"/>
                <w:b w:val="0"/>
                <w:sz w:val="20"/>
              </w:rPr>
              <w:t>二维地图</w:t>
            </w:r>
          </w:p>
        </w:tc>
        <w:tc>
          <w:tcPr>
            <w:tcW w:type="dxa" w:w="2381"/>
            <w:vAlign w:val="center"/>
          </w:tcPr>
          <w:p>
            <w:pPr>
              <w:spacing w:before="0" w:after="0" w:line="276" w:lineRule="auto"/>
              <w:jc w:val="left"/>
            </w:pPr>
            <w:r/>
            <w:r>
              <w:rPr>
                <w:rFonts w:ascii="宋体" w:hAnsi="宋体" w:eastAsia="宋体"/>
                <w:b w:val="0"/>
                <w:sz w:val="20"/>
              </w:rPr>
              <w:t>OpenLayers（建议）</w:t>
            </w:r>
          </w:p>
        </w:tc>
        <w:tc>
          <w:tcPr>
            <w:tcW w:type="dxa" w:w="2268"/>
            <w:vAlign w:val="center"/>
          </w:tcPr>
          <w:p>
            <w:pPr>
              <w:spacing w:before="0" w:after="0" w:line="276" w:lineRule="auto"/>
              <w:jc w:val="left"/>
            </w:pPr>
            <w:r/>
            <w:r>
              <w:rPr>
                <w:rFonts w:ascii="宋体" w:hAnsi="宋体" w:eastAsia="宋体"/>
                <w:b w:val="0"/>
                <w:sz w:val="20"/>
              </w:rPr>
              <w:t>二维底图、图层控制、点线面要素加载</w:t>
            </w:r>
          </w:p>
        </w:tc>
        <w:tc>
          <w:tcPr>
            <w:tcW w:type="dxa" w:w="3515"/>
            <w:vAlign w:val="center"/>
          </w:tcPr>
          <w:p>
            <w:pPr>
              <w:spacing w:before="0" w:after="0" w:line="276" w:lineRule="auto"/>
              <w:jc w:val="left"/>
            </w:pPr>
            <w:r/>
            <w:r>
              <w:rPr>
                <w:rFonts w:ascii="宋体" w:hAnsi="宋体" w:eastAsia="宋体"/>
                <w:b w:val="0"/>
                <w:sz w:val="20"/>
              </w:rPr>
              <w:t>用于二维场景下的基础浏览、测点定位、图层开关、框选查询，与三维场景形成补充。</w:t>
            </w:r>
          </w:p>
        </w:tc>
      </w:tr>
      <w:tr>
        <w:tc>
          <w:tcPr>
            <w:tcW w:type="dxa" w:w="1247"/>
            <w:vAlign w:val="center"/>
          </w:tcPr>
          <w:p>
            <w:pPr>
              <w:spacing w:before="0" w:after="0" w:line="276" w:lineRule="auto"/>
              <w:jc w:val="left"/>
            </w:pPr>
            <w:r/>
            <w:r>
              <w:rPr>
                <w:rFonts w:ascii="宋体" w:hAnsi="宋体" w:eastAsia="宋体"/>
                <w:b w:val="0"/>
                <w:sz w:val="20"/>
              </w:rPr>
              <w:t>三维 GIS</w:t>
            </w:r>
          </w:p>
        </w:tc>
        <w:tc>
          <w:tcPr>
            <w:tcW w:type="dxa" w:w="2381"/>
            <w:vAlign w:val="center"/>
          </w:tcPr>
          <w:p>
            <w:pPr>
              <w:spacing w:before="0" w:after="0" w:line="276" w:lineRule="auto"/>
              <w:jc w:val="center"/>
            </w:pPr>
            <w:r/>
            <w:r>
              <w:rPr>
                <w:rFonts w:ascii="宋体" w:hAnsi="宋体" w:eastAsia="宋体"/>
                <w:b w:val="0"/>
                <w:sz w:val="20"/>
              </w:rPr>
              <w:t>CesiumJS</w:t>
            </w:r>
          </w:p>
        </w:tc>
        <w:tc>
          <w:tcPr>
            <w:tcW w:type="dxa" w:w="2268"/>
            <w:vAlign w:val="center"/>
          </w:tcPr>
          <w:p>
            <w:pPr>
              <w:spacing w:before="0" w:after="0" w:line="276" w:lineRule="auto"/>
              <w:jc w:val="left"/>
            </w:pPr>
            <w:r/>
            <w:r>
              <w:rPr>
                <w:rFonts w:ascii="宋体" w:hAnsi="宋体" w:eastAsia="宋体"/>
                <w:b w:val="0"/>
                <w:sz w:val="20"/>
              </w:rPr>
              <w:t>地下管线三维场景、飞行漫游、剖切、实时状态上图</w:t>
            </w:r>
          </w:p>
        </w:tc>
        <w:tc>
          <w:tcPr>
            <w:tcW w:type="dxa" w:w="3515"/>
            <w:vAlign w:val="center"/>
          </w:tcPr>
          <w:p>
            <w:pPr>
              <w:spacing w:before="0" w:after="0" w:line="276" w:lineRule="auto"/>
              <w:jc w:val="left"/>
            </w:pPr>
            <w:r/>
            <w:r>
              <w:rPr>
                <w:rFonts w:ascii="宋体" w:hAnsi="宋体" w:eastAsia="宋体"/>
                <w:b w:val="0"/>
                <w:sz w:val="20"/>
              </w:rPr>
              <w:t>承接地下管线、井室、附属设施、风险点位和专题图层的三维可视化。</w:t>
            </w:r>
          </w:p>
        </w:tc>
      </w:tr>
      <w:tr>
        <w:tc>
          <w:tcPr>
            <w:tcW w:type="dxa" w:w="1247"/>
            <w:vAlign w:val="center"/>
          </w:tcPr>
          <w:p>
            <w:pPr>
              <w:spacing w:before="0" w:after="0" w:line="276" w:lineRule="auto"/>
              <w:jc w:val="left"/>
            </w:pPr>
            <w:r/>
            <w:r>
              <w:rPr>
                <w:rFonts w:ascii="宋体" w:hAnsi="宋体" w:eastAsia="宋体"/>
                <w:b w:val="0"/>
                <w:sz w:val="20"/>
              </w:rPr>
              <w:t>HTTP 请求</w:t>
            </w:r>
          </w:p>
        </w:tc>
        <w:tc>
          <w:tcPr>
            <w:tcW w:type="dxa" w:w="2381"/>
            <w:vAlign w:val="center"/>
          </w:tcPr>
          <w:p>
            <w:pPr>
              <w:spacing w:before="0" w:after="0" w:line="276" w:lineRule="auto"/>
              <w:jc w:val="center"/>
            </w:pPr>
            <w:r/>
            <w:r>
              <w:rPr>
                <w:rFonts w:ascii="宋体" w:hAnsi="宋体" w:eastAsia="宋体"/>
                <w:b w:val="0"/>
                <w:sz w:val="20"/>
              </w:rPr>
              <w:t>Axios</w:t>
            </w:r>
          </w:p>
        </w:tc>
        <w:tc>
          <w:tcPr>
            <w:tcW w:type="dxa" w:w="2268"/>
            <w:vAlign w:val="center"/>
          </w:tcPr>
          <w:p>
            <w:pPr>
              <w:spacing w:before="0" w:after="0" w:line="276" w:lineRule="auto"/>
              <w:jc w:val="left"/>
            </w:pPr>
            <w:r/>
            <w:r>
              <w:rPr>
                <w:rFonts w:ascii="宋体" w:hAnsi="宋体" w:eastAsia="宋体"/>
                <w:b w:val="0"/>
                <w:sz w:val="20"/>
              </w:rPr>
              <w:t>接口调用、统一鉴权、统一异常处理</w:t>
            </w:r>
          </w:p>
        </w:tc>
        <w:tc>
          <w:tcPr>
            <w:tcW w:type="dxa" w:w="3515"/>
            <w:vAlign w:val="center"/>
          </w:tcPr>
          <w:p>
            <w:pPr>
              <w:spacing w:before="0" w:after="0" w:line="276" w:lineRule="auto"/>
              <w:jc w:val="left"/>
            </w:pPr>
            <w:r/>
            <w:r>
              <w:rPr>
                <w:rFonts w:ascii="宋体" w:hAnsi="宋体" w:eastAsia="宋体"/>
                <w:b w:val="0"/>
                <w:sz w:val="20"/>
              </w:rPr>
              <w:t>建议统一封装 request 实例，处理 Token、超时、重试、错误提示和文件流下载。</w:t>
            </w:r>
          </w:p>
        </w:tc>
      </w:tr>
      <w:tr>
        <w:tc>
          <w:tcPr>
            <w:tcW w:type="dxa" w:w="1247"/>
            <w:vAlign w:val="center"/>
          </w:tcPr>
          <w:p>
            <w:pPr>
              <w:spacing w:before="0" w:after="0" w:line="276" w:lineRule="auto"/>
              <w:jc w:val="left"/>
            </w:pPr>
            <w:r/>
            <w:r>
              <w:rPr>
                <w:rFonts w:ascii="宋体" w:hAnsi="宋体" w:eastAsia="宋体"/>
                <w:b w:val="0"/>
                <w:sz w:val="20"/>
              </w:rPr>
              <w:t>实时通信</w:t>
            </w:r>
          </w:p>
        </w:tc>
        <w:tc>
          <w:tcPr>
            <w:tcW w:type="dxa" w:w="2381"/>
            <w:vAlign w:val="center"/>
          </w:tcPr>
          <w:p>
            <w:pPr>
              <w:spacing w:before="0" w:after="0" w:line="276" w:lineRule="auto"/>
              <w:jc w:val="left"/>
            </w:pPr>
            <w:r/>
            <w:r>
              <w:rPr>
                <w:rFonts w:ascii="宋体" w:hAnsi="宋体" w:eastAsia="宋体"/>
                <w:b w:val="0"/>
                <w:sz w:val="20"/>
              </w:rPr>
              <w:t>@stomp/stompjs + SockJS 或原生 WebSocket</w:t>
            </w:r>
          </w:p>
        </w:tc>
        <w:tc>
          <w:tcPr>
            <w:tcW w:type="dxa" w:w="2268"/>
            <w:vAlign w:val="center"/>
          </w:tcPr>
          <w:p>
            <w:pPr>
              <w:spacing w:before="0" w:after="0" w:line="276" w:lineRule="auto"/>
              <w:jc w:val="left"/>
            </w:pPr>
            <w:r/>
            <w:r>
              <w:rPr>
                <w:rFonts w:ascii="宋体" w:hAnsi="宋体" w:eastAsia="宋体"/>
                <w:b w:val="0"/>
                <w:sz w:val="20"/>
              </w:rPr>
              <w:t>告警推送、设备在线状态刷新、工单状态更新</w:t>
            </w:r>
          </w:p>
        </w:tc>
        <w:tc>
          <w:tcPr>
            <w:tcW w:type="dxa" w:w="3515"/>
            <w:vAlign w:val="center"/>
          </w:tcPr>
          <w:p>
            <w:pPr>
              <w:spacing w:before="0" w:after="0" w:line="276" w:lineRule="auto"/>
              <w:jc w:val="left"/>
            </w:pPr>
            <w:r/>
            <w:r>
              <w:rPr>
                <w:rFonts w:ascii="宋体" w:hAnsi="宋体" w:eastAsia="宋体"/>
                <w:b w:val="0"/>
                <w:sz w:val="20"/>
              </w:rPr>
              <w:t>若后端采用 Spring WebSocket + STOMP，前端建议直接配套 STOMP 客户端；若仅做轻量推送，可用原生 WebSocket。</w:t>
            </w:r>
          </w:p>
        </w:tc>
      </w:tr>
      <w:tr>
        <w:tc>
          <w:tcPr>
            <w:tcW w:type="dxa" w:w="1247"/>
            <w:vAlign w:val="center"/>
          </w:tcPr>
          <w:p>
            <w:pPr>
              <w:spacing w:before="0" w:after="0" w:line="276" w:lineRule="auto"/>
              <w:jc w:val="left"/>
            </w:pPr>
            <w:r/>
            <w:r>
              <w:rPr>
                <w:rFonts w:ascii="宋体" w:hAnsi="宋体" w:eastAsia="宋体"/>
                <w:b w:val="0"/>
                <w:sz w:val="20"/>
              </w:rPr>
              <w:t>时间与工具</w:t>
            </w:r>
          </w:p>
        </w:tc>
        <w:tc>
          <w:tcPr>
            <w:tcW w:type="dxa" w:w="2381"/>
            <w:vAlign w:val="center"/>
          </w:tcPr>
          <w:p>
            <w:pPr>
              <w:spacing w:before="0" w:after="0" w:line="276" w:lineRule="auto"/>
              <w:jc w:val="center"/>
            </w:pPr>
            <w:r/>
            <w:r>
              <w:rPr>
                <w:rFonts w:ascii="宋体" w:hAnsi="宋体" w:eastAsia="宋体"/>
                <w:b w:val="0"/>
                <w:sz w:val="20"/>
              </w:rPr>
              <w:t>dayjs</w:t>
            </w:r>
          </w:p>
        </w:tc>
        <w:tc>
          <w:tcPr>
            <w:tcW w:type="dxa" w:w="2268"/>
            <w:vAlign w:val="center"/>
          </w:tcPr>
          <w:p>
            <w:pPr>
              <w:spacing w:before="0" w:after="0" w:line="276" w:lineRule="auto"/>
              <w:jc w:val="left"/>
            </w:pPr>
            <w:r/>
            <w:r>
              <w:rPr>
                <w:rFonts w:ascii="宋体" w:hAnsi="宋体" w:eastAsia="宋体"/>
                <w:b w:val="0"/>
                <w:sz w:val="20"/>
              </w:rPr>
              <w:t>时间格式化、日期计算、时间区间处理</w:t>
            </w:r>
          </w:p>
        </w:tc>
        <w:tc>
          <w:tcPr>
            <w:tcW w:type="dxa" w:w="3515"/>
            <w:vAlign w:val="center"/>
          </w:tcPr>
          <w:p>
            <w:pPr>
              <w:spacing w:before="0" w:after="0" w:line="276" w:lineRule="auto"/>
              <w:jc w:val="left"/>
            </w:pPr>
            <w:r/>
            <w:r>
              <w:rPr>
                <w:rFonts w:ascii="宋体" w:hAnsi="宋体" w:eastAsia="宋体"/>
                <w:b w:val="0"/>
                <w:sz w:val="20"/>
              </w:rPr>
              <w:t>用于趋势查询、报表日期、告警时长计算和页面格式化。</w:t>
            </w:r>
          </w:p>
        </w:tc>
      </w:tr>
      <w:tr>
        <w:tc>
          <w:tcPr>
            <w:tcW w:type="dxa" w:w="1247"/>
            <w:vAlign w:val="center"/>
          </w:tcPr>
          <w:p>
            <w:pPr>
              <w:spacing w:before="0" w:after="0" w:line="276" w:lineRule="auto"/>
              <w:jc w:val="left"/>
            </w:pPr>
            <w:r/>
            <w:r>
              <w:rPr>
                <w:rFonts w:ascii="宋体" w:hAnsi="宋体" w:eastAsia="宋体"/>
                <w:b w:val="0"/>
                <w:sz w:val="20"/>
              </w:rPr>
              <w:t>文件导出</w:t>
            </w:r>
          </w:p>
        </w:tc>
        <w:tc>
          <w:tcPr>
            <w:tcW w:type="dxa" w:w="2381"/>
            <w:vAlign w:val="center"/>
          </w:tcPr>
          <w:p>
            <w:pPr>
              <w:spacing w:before="0" w:after="0" w:line="276" w:lineRule="auto"/>
              <w:jc w:val="left"/>
            </w:pPr>
            <w:r/>
            <w:r>
              <w:rPr>
                <w:rFonts w:ascii="宋体" w:hAnsi="宋体" w:eastAsia="宋体"/>
                <w:b w:val="0"/>
                <w:sz w:val="20"/>
              </w:rPr>
              <w:t>xlsx / file-saver</w:t>
            </w:r>
          </w:p>
        </w:tc>
        <w:tc>
          <w:tcPr>
            <w:tcW w:type="dxa" w:w="2268"/>
            <w:vAlign w:val="center"/>
          </w:tcPr>
          <w:p>
            <w:pPr>
              <w:spacing w:before="0" w:after="0" w:line="276" w:lineRule="auto"/>
              <w:jc w:val="left"/>
            </w:pPr>
            <w:r/>
            <w:r>
              <w:rPr>
                <w:rFonts w:ascii="宋体" w:hAnsi="宋体" w:eastAsia="宋体"/>
                <w:b w:val="0"/>
                <w:sz w:val="20"/>
              </w:rPr>
              <w:t>Excel 导出、模板下载、前端轻量导表</w:t>
            </w:r>
          </w:p>
        </w:tc>
        <w:tc>
          <w:tcPr>
            <w:tcW w:type="dxa" w:w="3515"/>
            <w:vAlign w:val="center"/>
          </w:tcPr>
          <w:p>
            <w:pPr>
              <w:spacing w:before="0" w:after="0" w:line="276" w:lineRule="auto"/>
              <w:jc w:val="left"/>
            </w:pPr>
            <w:r/>
            <w:r>
              <w:rPr>
                <w:rFonts w:ascii="宋体" w:hAnsi="宋体" w:eastAsia="宋体"/>
                <w:b w:val="0"/>
                <w:sz w:val="20"/>
              </w:rPr>
              <w:t>简单导出可前端生成，正式报表导出仍建议由后端生成后下载。</w:t>
            </w:r>
          </w:p>
        </w:tc>
      </w:tr>
      <w:tr>
        <w:tc>
          <w:tcPr>
            <w:tcW w:type="dxa" w:w="1247"/>
            <w:vAlign w:val="center"/>
          </w:tcPr>
          <w:p>
            <w:pPr>
              <w:spacing w:before="0" w:after="0" w:line="276" w:lineRule="auto"/>
              <w:jc w:val="left"/>
            </w:pPr>
            <w:r/>
            <w:r>
              <w:rPr>
                <w:rFonts w:ascii="宋体" w:hAnsi="宋体" w:eastAsia="宋体"/>
                <w:b w:val="0"/>
                <w:sz w:val="20"/>
              </w:rPr>
              <w:t>样式体系</w:t>
            </w:r>
          </w:p>
        </w:tc>
        <w:tc>
          <w:tcPr>
            <w:tcW w:type="dxa" w:w="2381"/>
            <w:vAlign w:val="center"/>
          </w:tcPr>
          <w:p>
            <w:pPr>
              <w:spacing w:before="0" w:after="0" w:line="276" w:lineRule="auto"/>
              <w:jc w:val="center"/>
            </w:pPr>
            <w:r/>
            <w:r>
              <w:rPr>
                <w:rFonts w:ascii="宋体" w:hAnsi="宋体" w:eastAsia="宋体"/>
                <w:b w:val="0"/>
                <w:sz w:val="20"/>
              </w:rPr>
              <w:t>SCSS</w:t>
            </w:r>
          </w:p>
        </w:tc>
        <w:tc>
          <w:tcPr>
            <w:tcW w:type="dxa" w:w="2268"/>
            <w:vAlign w:val="center"/>
          </w:tcPr>
          <w:p>
            <w:pPr>
              <w:spacing w:before="0" w:after="0" w:line="276" w:lineRule="auto"/>
              <w:jc w:val="left"/>
            </w:pPr>
            <w:r/>
            <w:r>
              <w:rPr>
                <w:rFonts w:ascii="宋体" w:hAnsi="宋体" w:eastAsia="宋体"/>
                <w:b w:val="0"/>
                <w:sz w:val="20"/>
              </w:rPr>
              <w:t>主题变量、通用样式、页面布局</w:t>
            </w:r>
          </w:p>
        </w:tc>
        <w:tc>
          <w:tcPr>
            <w:tcW w:type="dxa" w:w="3515"/>
            <w:vAlign w:val="center"/>
          </w:tcPr>
          <w:p>
            <w:pPr>
              <w:spacing w:before="0" w:after="0" w:line="276" w:lineRule="auto"/>
              <w:jc w:val="left"/>
            </w:pPr>
            <w:r/>
            <w:r>
              <w:rPr>
                <w:rFonts w:ascii="宋体" w:hAnsi="宋体" w:eastAsia="宋体"/>
                <w:b w:val="0"/>
                <w:sz w:val="20"/>
              </w:rPr>
              <w:t>用于统一色板、间距、告警颜色、状态标签样式和门户卡片风格。</w:t>
            </w:r>
          </w:p>
        </w:tc>
      </w:tr>
      <w:tr>
        <w:tc>
          <w:tcPr>
            <w:tcW w:type="dxa" w:w="1247"/>
            <w:vAlign w:val="center"/>
          </w:tcPr>
          <w:p>
            <w:pPr>
              <w:spacing w:before="0" w:after="0" w:line="276" w:lineRule="auto"/>
              <w:jc w:val="left"/>
            </w:pPr>
            <w:r/>
            <w:r>
              <w:rPr>
                <w:rFonts w:ascii="宋体" w:hAnsi="宋体" w:eastAsia="宋体"/>
                <w:b w:val="0"/>
                <w:sz w:val="20"/>
              </w:rPr>
              <w:t>工程规范</w:t>
            </w:r>
          </w:p>
        </w:tc>
        <w:tc>
          <w:tcPr>
            <w:tcW w:type="dxa" w:w="2381"/>
            <w:vAlign w:val="center"/>
          </w:tcPr>
          <w:p>
            <w:pPr>
              <w:spacing w:before="0" w:after="0" w:line="276" w:lineRule="auto"/>
              <w:jc w:val="left"/>
            </w:pPr>
            <w:r/>
            <w:r>
              <w:rPr>
                <w:rFonts w:ascii="宋体" w:hAnsi="宋体" w:eastAsia="宋体"/>
                <w:b w:val="0"/>
                <w:sz w:val="20"/>
              </w:rPr>
              <w:t>ESLint + Prettier</w:t>
            </w:r>
          </w:p>
        </w:tc>
        <w:tc>
          <w:tcPr>
            <w:tcW w:type="dxa" w:w="2268"/>
            <w:vAlign w:val="center"/>
          </w:tcPr>
          <w:p>
            <w:pPr>
              <w:spacing w:before="0" w:after="0" w:line="276" w:lineRule="auto"/>
              <w:jc w:val="center"/>
            </w:pPr>
            <w:r/>
            <w:r>
              <w:rPr>
                <w:rFonts w:ascii="宋体" w:hAnsi="宋体" w:eastAsia="宋体"/>
                <w:b w:val="0"/>
                <w:sz w:val="20"/>
              </w:rPr>
              <w:t>代码质量与格式统一</w:t>
            </w:r>
          </w:p>
        </w:tc>
        <w:tc>
          <w:tcPr>
            <w:tcW w:type="dxa" w:w="3515"/>
            <w:vAlign w:val="center"/>
          </w:tcPr>
          <w:p>
            <w:pPr>
              <w:spacing w:before="0" w:after="0" w:line="276" w:lineRule="auto"/>
              <w:jc w:val="left"/>
            </w:pPr>
            <w:r/>
            <w:r>
              <w:rPr>
                <w:rFonts w:ascii="宋体" w:hAnsi="宋体" w:eastAsia="宋体"/>
                <w:b w:val="0"/>
                <w:sz w:val="20"/>
              </w:rPr>
              <w:t>避免多人开发时代码风格漂移，提升长期可维护性。</w:t>
            </w:r>
          </w:p>
        </w:tc>
      </w:tr>
    </w:tbl>
    <w:p>
      <w:pPr>
        <w:spacing w:after="80"/>
      </w:pPr>
    </w:p>
    <w:p>
      <w:pPr>
        <w:pStyle w:val="Heading3"/>
        <w:spacing w:before="100" w:after="80"/>
      </w:pPr>
      <w:r>
        <w:rPr>
          <w:rFonts w:ascii="宋体" w:hAnsi="宋体" w:eastAsia="宋体"/>
          <w:b/>
          <w:color w:val="373737"/>
          <w:sz w:val="26"/>
        </w:rPr>
        <w:t>B.1.1 前端页面与组件实现建议</w:t>
      </w:r>
    </w:p>
    <w:p>
      <w:pPr>
        <w:spacing w:before="0" w:after="80" w:line="348" w:lineRule="auto"/>
        <w:ind w:firstLine="420"/>
      </w:pPr>
      <w:r>
        <w:rPr>
          <w:rFonts w:ascii="宋体" w:hAnsi="宋体" w:eastAsia="宋体"/>
          <w:b w:val="0"/>
          <w:sz w:val="22"/>
        </w:rPr>
        <w:t>前端页面应避免“每个页面从零拼一次”，而应围绕查询区、表格区、图表区、地图区、详情区、工单区沉淀可复用组件。这样后续新增页面只需组合组件，而不必重复开发。</w:t>
      </w:r>
    </w:p>
    <w:p>
      <w:pPr>
        <w:spacing w:before="80" w:after="40" w:line="348" w:lineRule="auto"/>
      </w:pPr>
      <w:r>
        <w:rPr>
          <w:rFonts w:ascii="宋体" w:hAnsi="宋体" w:eastAsia="宋体"/>
          <w:b w:val="0"/>
          <w:sz w:val="22"/>
        </w:rPr>
        <w:t>表B-2 前端页面场景与组件对应建议</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01"/>
            <w:vAlign w:val="center"/>
            <w:shd w:fill="D9EAF7"/>
          </w:tcPr>
          <w:p>
            <w:pPr>
              <w:spacing w:before="0" w:after="0" w:line="276" w:lineRule="auto"/>
              <w:jc w:val="center"/>
            </w:pPr>
            <w:r/>
            <w:r>
              <w:rPr>
                <w:rFonts w:ascii="宋体" w:hAnsi="宋体" w:eastAsia="宋体"/>
                <w:b/>
                <w:sz w:val="20"/>
              </w:rPr>
              <w:t>页面场景</w:t>
            </w:r>
          </w:p>
        </w:tc>
        <w:tc>
          <w:tcPr>
            <w:tcW w:type="dxa" w:w="2551"/>
            <w:vAlign w:val="center"/>
            <w:shd w:fill="D9EAF7"/>
          </w:tcPr>
          <w:p>
            <w:pPr>
              <w:spacing w:before="0" w:after="0" w:line="276" w:lineRule="auto"/>
              <w:jc w:val="center"/>
            </w:pPr>
            <w:r/>
            <w:r>
              <w:rPr>
                <w:rFonts w:ascii="宋体" w:hAnsi="宋体" w:eastAsia="宋体"/>
                <w:b/>
                <w:sz w:val="20"/>
              </w:rPr>
              <w:t>优先组件</w:t>
            </w:r>
          </w:p>
        </w:tc>
        <w:tc>
          <w:tcPr>
            <w:tcW w:type="dxa" w:w="4252"/>
            <w:vAlign w:val="center"/>
            <w:shd w:fill="D9EAF7"/>
          </w:tcPr>
          <w:p>
            <w:pPr>
              <w:spacing w:before="0" w:after="0" w:line="276" w:lineRule="auto"/>
              <w:jc w:val="center"/>
            </w:pPr>
            <w:r/>
            <w:r>
              <w:rPr>
                <w:rFonts w:ascii="宋体" w:hAnsi="宋体" w:eastAsia="宋体"/>
                <w:b/>
                <w:sz w:val="20"/>
              </w:rPr>
              <w:t>实现方式</w:t>
            </w:r>
          </w:p>
        </w:tc>
      </w:tr>
      <w:tr>
        <w:tc>
          <w:tcPr>
            <w:tcW w:type="dxa" w:w="1701"/>
            <w:vAlign w:val="center"/>
          </w:tcPr>
          <w:p>
            <w:pPr>
              <w:spacing w:before="0" w:after="0" w:line="276" w:lineRule="auto"/>
              <w:jc w:val="left"/>
            </w:pPr>
            <w:r/>
            <w:r>
              <w:rPr>
                <w:rFonts w:ascii="宋体" w:hAnsi="宋体" w:eastAsia="宋体"/>
                <w:b w:val="0"/>
                <w:sz w:val="20"/>
              </w:rPr>
              <w:t>档案管理列表页</w:t>
            </w:r>
          </w:p>
        </w:tc>
        <w:tc>
          <w:tcPr>
            <w:tcW w:type="dxa" w:w="2551"/>
            <w:vAlign w:val="center"/>
          </w:tcPr>
          <w:p>
            <w:pPr>
              <w:spacing w:before="0" w:after="0" w:line="276" w:lineRule="auto"/>
              <w:jc w:val="left"/>
            </w:pPr>
            <w:r/>
            <w:r>
              <w:rPr>
                <w:rFonts w:ascii="宋体" w:hAnsi="宋体" w:eastAsia="宋体"/>
                <w:b w:val="0"/>
                <w:sz w:val="20"/>
              </w:rPr>
              <w:t>ElForm + ElTable + ElPagination + ElDrawer</w:t>
            </w:r>
          </w:p>
        </w:tc>
        <w:tc>
          <w:tcPr>
            <w:tcW w:type="dxa" w:w="4252"/>
            <w:vAlign w:val="center"/>
          </w:tcPr>
          <w:p>
            <w:pPr>
              <w:spacing w:before="0" w:after="0" w:line="276" w:lineRule="auto"/>
              <w:jc w:val="left"/>
            </w:pPr>
            <w:r/>
            <w:r>
              <w:rPr>
                <w:rFonts w:ascii="宋体" w:hAnsi="宋体" w:eastAsia="宋体"/>
                <w:b w:val="0"/>
                <w:sz w:val="20"/>
              </w:rPr>
              <w:t>上方查询表单、中央表格列表、右侧抽屉查看详情，适合管段档案、设备档案、监测点档案。</w:t>
            </w:r>
          </w:p>
        </w:tc>
      </w:tr>
      <w:tr>
        <w:tc>
          <w:tcPr>
            <w:tcW w:type="dxa" w:w="1701"/>
            <w:vAlign w:val="center"/>
          </w:tcPr>
          <w:p>
            <w:pPr>
              <w:spacing w:before="0" w:after="0" w:line="276" w:lineRule="auto"/>
              <w:jc w:val="left"/>
            </w:pPr>
            <w:r/>
            <w:r>
              <w:rPr>
                <w:rFonts w:ascii="宋体" w:hAnsi="宋体" w:eastAsia="宋体"/>
                <w:b w:val="0"/>
                <w:sz w:val="20"/>
              </w:rPr>
              <w:t>告警中心</w:t>
            </w:r>
          </w:p>
        </w:tc>
        <w:tc>
          <w:tcPr>
            <w:tcW w:type="dxa" w:w="2551"/>
            <w:vAlign w:val="center"/>
          </w:tcPr>
          <w:p>
            <w:pPr>
              <w:spacing w:before="0" w:after="0" w:line="276" w:lineRule="auto"/>
              <w:jc w:val="left"/>
            </w:pPr>
            <w:r/>
            <w:r>
              <w:rPr>
                <w:rFonts w:ascii="宋体" w:hAnsi="宋体" w:eastAsia="宋体"/>
                <w:b w:val="0"/>
                <w:sz w:val="20"/>
              </w:rPr>
              <w:t>ElTabs + ElTable + ElTag + ElDialog</w:t>
            </w:r>
          </w:p>
        </w:tc>
        <w:tc>
          <w:tcPr>
            <w:tcW w:type="dxa" w:w="4252"/>
            <w:vAlign w:val="center"/>
          </w:tcPr>
          <w:p>
            <w:pPr>
              <w:spacing w:before="0" w:after="0" w:line="276" w:lineRule="auto"/>
              <w:jc w:val="left"/>
            </w:pPr>
            <w:r/>
            <w:r>
              <w:rPr>
                <w:rFonts w:ascii="宋体" w:hAnsi="宋体" w:eastAsia="宋体"/>
                <w:b w:val="0"/>
                <w:sz w:val="20"/>
              </w:rPr>
              <w:t>按“未处理/处理中/已闭环”分 Tab，颜色标签区分等级，弹窗查看告警详情与处置记录。</w:t>
            </w:r>
          </w:p>
        </w:tc>
      </w:tr>
      <w:tr>
        <w:tc>
          <w:tcPr>
            <w:tcW w:type="dxa" w:w="1701"/>
            <w:vAlign w:val="center"/>
          </w:tcPr>
          <w:p>
            <w:pPr>
              <w:spacing w:before="0" w:after="0" w:line="276" w:lineRule="auto"/>
              <w:jc w:val="left"/>
            </w:pPr>
            <w:r/>
            <w:r>
              <w:rPr>
                <w:rFonts w:ascii="宋体" w:hAnsi="宋体" w:eastAsia="宋体"/>
                <w:b w:val="0"/>
                <w:sz w:val="20"/>
              </w:rPr>
              <w:t>监测趋势页</w:t>
            </w:r>
          </w:p>
        </w:tc>
        <w:tc>
          <w:tcPr>
            <w:tcW w:type="dxa" w:w="2551"/>
            <w:vAlign w:val="center"/>
          </w:tcPr>
          <w:p>
            <w:pPr>
              <w:spacing w:before="0" w:after="0" w:line="276" w:lineRule="auto"/>
              <w:jc w:val="left"/>
            </w:pPr>
            <w:r/>
            <w:r>
              <w:rPr>
                <w:rFonts w:ascii="宋体" w:hAnsi="宋体" w:eastAsia="宋体"/>
                <w:b w:val="0"/>
                <w:sz w:val="20"/>
              </w:rPr>
              <w:t>ECharts + DatePicker + Select + Card</w:t>
            </w:r>
          </w:p>
        </w:tc>
        <w:tc>
          <w:tcPr>
            <w:tcW w:type="dxa" w:w="4252"/>
            <w:vAlign w:val="center"/>
          </w:tcPr>
          <w:p>
            <w:pPr>
              <w:spacing w:before="0" w:after="0" w:line="276" w:lineRule="auto"/>
              <w:jc w:val="left"/>
            </w:pPr>
            <w:r/>
            <w:r>
              <w:rPr>
                <w:rFonts w:ascii="宋体" w:hAnsi="宋体" w:eastAsia="宋体"/>
                <w:b w:val="0"/>
                <w:sz w:val="20"/>
              </w:rPr>
              <w:t>顶部条件筛选，主体为趋势曲线和统计卡片，支持单测点、多测点对比。</w:t>
            </w:r>
          </w:p>
        </w:tc>
      </w:tr>
      <w:tr>
        <w:tc>
          <w:tcPr>
            <w:tcW w:type="dxa" w:w="1701"/>
            <w:vAlign w:val="center"/>
          </w:tcPr>
          <w:p>
            <w:pPr>
              <w:spacing w:before="0" w:after="0" w:line="276" w:lineRule="auto"/>
              <w:jc w:val="left"/>
            </w:pPr>
            <w:r/>
            <w:r>
              <w:rPr>
                <w:rFonts w:ascii="宋体" w:hAnsi="宋体" w:eastAsia="宋体"/>
                <w:b w:val="0"/>
                <w:sz w:val="20"/>
              </w:rPr>
              <w:t>健康评分页</w:t>
            </w:r>
          </w:p>
        </w:tc>
        <w:tc>
          <w:tcPr>
            <w:tcW w:type="dxa" w:w="2551"/>
            <w:vAlign w:val="center"/>
          </w:tcPr>
          <w:p>
            <w:pPr>
              <w:spacing w:before="0" w:after="0" w:line="276" w:lineRule="auto"/>
              <w:jc w:val="left"/>
            </w:pPr>
            <w:r/>
            <w:r>
              <w:rPr>
                <w:rFonts w:ascii="宋体" w:hAnsi="宋体" w:eastAsia="宋体"/>
                <w:b w:val="0"/>
                <w:sz w:val="20"/>
              </w:rPr>
              <w:t>Card + Progress + ECharts</w:t>
            </w:r>
          </w:p>
        </w:tc>
        <w:tc>
          <w:tcPr>
            <w:tcW w:type="dxa" w:w="4252"/>
            <w:vAlign w:val="center"/>
          </w:tcPr>
          <w:p>
            <w:pPr>
              <w:spacing w:before="0" w:after="0" w:line="276" w:lineRule="auto"/>
              <w:jc w:val="left"/>
            </w:pPr>
            <w:r/>
            <w:r>
              <w:rPr>
                <w:rFonts w:ascii="宋体" w:hAnsi="宋体" w:eastAsia="宋体"/>
                <w:b w:val="0"/>
                <w:sz w:val="20"/>
              </w:rPr>
              <w:t>展示管段评分、区域评分、构成项占比和评分说明。</w:t>
            </w:r>
          </w:p>
        </w:tc>
      </w:tr>
      <w:tr>
        <w:tc>
          <w:tcPr>
            <w:tcW w:type="dxa" w:w="1701"/>
            <w:vAlign w:val="center"/>
          </w:tcPr>
          <w:p>
            <w:pPr>
              <w:spacing w:before="0" w:after="0" w:line="276" w:lineRule="auto"/>
              <w:jc w:val="left"/>
            </w:pPr>
            <w:r/>
            <w:r>
              <w:rPr>
                <w:rFonts w:ascii="宋体" w:hAnsi="宋体" w:eastAsia="宋体"/>
                <w:b w:val="0"/>
                <w:sz w:val="20"/>
              </w:rPr>
              <w:t>门户工作台</w:t>
            </w:r>
          </w:p>
        </w:tc>
        <w:tc>
          <w:tcPr>
            <w:tcW w:type="dxa" w:w="2551"/>
            <w:vAlign w:val="center"/>
          </w:tcPr>
          <w:p>
            <w:pPr>
              <w:spacing w:before="0" w:after="0" w:line="276" w:lineRule="auto"/>
              <w:jc w:val="left"/>
            </w:pPr>
            <w:r/>
            <w:r>
              <w:rPr>
                <w:rFonts w:ascii="宋体" w:hAnsi="宋体" w:eastAsia="宋体"/>
                <w:b w:val="0"/>
                <w:sz w:val="20"/>
              </w:rPr>
              <w:t>Card + Statistic + Button + Menu</w:t>
            </w:r>
          </w:p>
        </w:tc>
        <w:tc>
          <w:tcPr>
            <w:tcW w:type="dxa" w:w="4252"/>
            <w:vAlign w:val="center"/>
          </w:tcPr>
          <w:p>
            <w:pPr>
              <w:spacing w:before="0" w:after="0" w:line="276" w:lineRule="auto"/>
              <w:jc w:val="left"/>
            </w:pPr>
            <w:r/>
            <w:r>
              <w:rPr>
                <w:rFonts w:ascii="宋体" w:hAnsi="宋体" w:eastAsia="宋体"/>
                <w:b w:val="0"/>
                <w:sz w:val="20"/>
              </w:rPr>
              <w:t>登录后展示按角色可见的子系统入口卡片、待办告警、待办工单和系统公告。</w:t>
            </w:r>
          </w:p>
        </w:tc>
      </w:tr>
      <w:tr>
        <w:tc>
          <w:tcPr>
            <w:tcW w:type="dxa" w:w="1701"/>
            <w:vAlign w:val="center"/>
          </w:tcPr>
          <w:p>
            <w:pPr>
              <w:spacing w:before="0" w:after="0" w:line="276" w:lineRule="auto"/>
              <w:jc w:val="left"/>
            </w:pPr>
            <w:r/>
            <w:r>
              <w:rPr>
                <w:rFonts w:ascii="宋体" w:hAnsi="宋体" w:eastAsia="宋体"/>
                <w:b w:val="0"/>
                <w:sz w:val="20"/>
              </w:rPr>
              <w:t>二维地图页</w:t>
            </w:r>
          </w:p>
        </w:tc>
        <w:tc>
          <w:tcPr>
            <w:tcW w:type="dxa" w:w="2551"/>
            <w:vAlign w:val="center"/>
          </w:tcPr>
          <w:p>
            <w:pPr>
              <w:spacing w:before="0" w:after="0" w:line="276" w:lineRule="auto"/>
              <w:jc w:val="left"/>
            </w:pPr>
            <w:r/>
            <w:r>
              <w:rPr>
                <w:rFonts w:ascii="宋体" w:hAnsi="宋体" w:eastAsia="宋体"/>
                <w:b w:val="0"/>
                <w:sz w:val="20"/>
              </w:rPr>
              <w:t>图层树 + 地图容器 + 右侧属性面板</w:t>
            </w:r>
          </w:p>
        </w:tc>
        <w:tc>
          <w:tcPr>
            <w:tcW w:type="dxa" w:w="4252"/>
            <w:vAlign w:val="center"/>
          </w:tcPr>
          <w:p>
            <w:pPr>
              <w:spacing w:before="0" w:after="0" w:line="276" w:lineRule="auto"/>
              <w:jc w:val="left"/>
            </w:pPr>
            <w:r/>
            <w:r>
              <w:rPr>
                <w:rFonts w:ascii="宋体" w:hAnsi="宋体" w:eastAsia="宋体"/>
                <w:b w:val="0"/>
                <w:sz w:val="20"/>
              </w:rPr>
              <w:t>左侧图层与专题开关，中间地图，右侧展示选中对象详情。</w:t>
            </w:r>
          </w:p>
        </w:tc>
      </w:tr>
      <w:tr>
        <w:tc>
          <w:tcPr>
            <w:tcW w:type="dxa" w:w="1701"/>
            <w:vAlign w:val="center"/>
          </w:tcPr>
          <w:p>
            <w:pPr>
              <w:spacing w:before="0" w:after="0" w:line="276" w:lineRule="auto"/>
              <w:jc w:val="left"/>
            </w:pPr>
            <w:r/>
            <w:r>
              <w:rPr>
                <w:rFonts w:ascii="宋体" w:hAnsi="宋体" w:eastAsia="宋体"/>
                <w:b w:val="0"/>
                <w:sz w:val="20"/>
              </w:rPr>
              <w:t>三维 GIS 页</w:t>
            </w:r>
          </w:p>
        </w:tc>
        <w:tc>
          <w:tcPr>
            <w:tcW w:type="dxa" w:w="2551"/>
            <w:vAlign w:val="center"/>
          </w:tcPr>
          <w:p>
            <w:pPr>
              <w:spacing w:before="0" w:after="0" w:line="276" w:lineRule="auto"/>
              <w:jc w:val="left"/>
            </w:pPr>
            <w:r/>
            <w:r>
              <w:rPr>
                <w:rFonts w:ascii="宋体" w:hAnsi="宋体" w:eastAsia="宋体"/>
                <w:b w:val="0"/>
                <w:sz w:val="20"/>
              </w:rPr>
              <w:t>Cesium Canvas + Drawer + Tabs + Tree</w:t>
            </w:r>
          </w:p>
        </w:tc>
        <w:tc>
          <w:tcPr>
            <w:tcW w:type="dxa" w:w="4252"/>
            <w:vAlign w:val="center"/>
          </w:tcPr>
          <w:p>
            <w:pPr>
              <w:spacing w:before="0" w:after="0" w:line="276" w:lineRule="auto"/>
              <w:jc w:val="left"/>
            </w:pPr>
            <w:r/>
            <w:r>
              <w:rPr>
                <w:rFonts w:ascii="宋体" w:hAnsi="宋体" w:eastAsia="宋体"/>
                <w:b w:val="0"/>
                <w:sz w:val="20"/>
              </w:rPr>
              <w:t>中间三维场景，右侧对象属性/监测/告警 Tabs，左侧图层树和专题切换。</w:t>
            </w:r>
          </w:p>
        </w:tc>
      </w:tr>
      <w:tr>
        <w:tc>
          <w:tcPr>
            <w:tcW w:type="dxa" w:w="1701"/>
            <w:vAlign w:val="center"/>
          </w:tcPr>
          <w:p>
            <w:pPr>
              <w:spacing w:before="0" w:after="0" w:line="276" w:lineRule="auto"/>
              <w:jc w:val="left"/>
            </w:pPr>
            <w:r/>
            <w:r>
              <w:rPr>
                <w:rFonts w:ascii="宋体" w:hAnsi="宋体" w:eastAsia="宋体"/>
                <w:b w:val="0"/>
                <w:sz w:val="20"/>
              </w:rPr>
              <w:t>大屏决策页</w:t>
            </w:r>
          </w:p>
        </w:tc>
        <w:tc>
          <w:tcPr>
            <w:tcW w:type="dxa" w:w="2551"/>
            <w:vAlign w:val="center"/>
          </w:tcPr>
          <w:p>
            <w:pPr>
              <w:spacing w:before="0" w:after="0" w:line="276" w:lineRule="auto"/>
              <w:jc w:val="left"/>
            </w:pPr>
            <w:r/>
            <w:r>
              <w:rPr>
                <w:rFonts w:ascii="宋体" w:hAnsi="宋体" w:eastAsia="宋体"/>
                <w:b w:val="0"/>
                <w:sz w:val="20"/>
              </w:rPr>
              <w:t>ECharts + Statistic + Card + AutoScroll</w:t>
            </w:r>
          </w:p>
        </w:tc>
        <w:tc>
          <w:tcPr>
            <w:tcW w:type="dxa" w:w="4252"/>
            <w:vAlign w:val="center"/>
          </w:tcPr>
          <w:p>
            <w:pPr>
              <w:spacing w:before="0" w:after="0" w:line="276" w:lineRule="auto"/>
              <w:jc w:val="left"/>
            </w:pPr>
            <w:r/>
            <w:r>
              <w:rPr>
                <w:rFonts w:ascii="宋体" w:hAnsi="宋体" w:eastAsia="宋体"/>
                <w:b w:val="0"/>
                <w:sz w:val="20"/>
              </w:rPr>
              <w:t>以全局指标、风险热力、区域排名、实时事件清单组成驾驶舱。</w:t>
            </w:r>
          </w:p>
        </w:tc>
      </w:tr>
      <w:tr>
        <w:tc>
          <w:tcPr>
            <w:tcW w:type="dxa" w:w="1701"/>
            <w:vAlign w:val="center"/>
          </w:tcPr>
          <w:p>
            <w:pPr>
              <w:spacing w:before="0" w:after="0" w:line="276" w:lineRule="auto"/>
              <w:jc w:val="left"/>
            </w:pPr>
            <w:r/>
            <w:r>
              <w:rPr>
                <w:rFonts w:ascii="宋体" w:hAnsi="宋体" w:eastAsia="宋体"/>
                <w:b w:val="0"/>
                <w:sz w:val="20"/>
              </w:rPr>
              <w:t>配置管理页</w:t>
            </w:r>
          </w:p>
        </w:tc>
        <w:tc>
          <w:tcPr>
            <w:tcW w:type="dxa" w:w="2551"/>
            <w:vAlign w:val="center"/>
          </w:tcPr>
          <w:p>
            <w:pPr>
              <w:spacing w:before="0" w:after="0" w:line="276" w:lineRule="auto"/>
              <w:jc w:val="left"/>
            </w:pPr>
            <w:r/>
            <w:r>
              <w:rPr>
                <w:rFonts w:ascii="宋体" w:hAnsi="宋体" w:eastAsia="宋体"/>
                <w:b w:val="0"/>
                <w:sz w:val="20"/>
              </w:rPr>
              <w:t>ElTree + ElForm + ElSwitch + ElTable</w:t>
            </w:r>
          </w:p>
        </w:tc>
        <w:tc>
          <w:tcPr>
            <w:tcW w:type="dxa" w:w="4252"/>
            <w:vAlign w:val="center"/>
          </w:tcPr>
          <w:p>
            <w:pPr>
              <w:spacing w:before="0" w:after="0" w:line="276" w:lineRule="auto"/>
              <w:jc w:val="left"/>
            </w:pPr>
            <w:r/>
            <w:r>
              <w:rPr>
                <w:rFonts w:ascii="宋体" w:hAnsi="宋体" w:eastAsia="宋体"/>
                <w:b w:val="0"/>
                <w:sz w:val="20"/>
              </w:rPr>
              <w:t>适合规则配置、字典配置、角色菜单授权、系统参数维护。</w:t>
            </w:r>
          </w:p>
        </w:tc>
      </w:tr>
      <w:tr>
        <w:tc>
          <w:tcPr>
            <w:tcW w:type="dxa" w:w="1701"/>
            <w:vAlign w:val="center"/>
          </w:tcPr>
          <w:p>
            <w:pPr>
              <w:spacing w:before="0" w:after="0" w:line="276" w:lineRule="auto"/>
              <w:jc w:val="left"/>
            </w:pPr>
            <w:r/>
            <w:r>
              <w:rPr>
                <w:rFonts w:ascii="宋体" w:hAnsi="宋体" w:eastAsia="宋体"/>
                <w:b w:val="0"/>
                <w:sz w:val="20"/>
              </w:rPr>
              <w:t>大数据量表格</w:t>
            </w:r>
          </w:p>
        </w:tc>
        <w:tc>
          <w:tcPr>
            <w:tcW w:type="dxa" w:w="2551"/>
            <w:vAlign w:val="center"/>
          </w:tcPr>
          <w:p>
            <w:pPr>
              <w:spacing w:before="0" w:after="0" w:line="276" w:lineRule="auto"/>
              <w:jc w:val="center"/>
            </w:pPr>
            <w:r/>
            <w:r>
              <w:rPr>
                <w:rFonts w:ascii="宋体" w:hAnsi="宋体" w:eastAsia="宋体"/>
                <w:b w:val="0"/>
                <w:sz w:val="20"/>
              </w:rPr>
              <w:t>Table V2</w:t>
            </w:r>
          </w:p>
        </w:tc>
        <w:tc>
          <w:tcPr>
            <w:tcW w:type="dxa" w:w="4252"/>
            <w:vAlign w:val="center"/>
          </w:tcPr>
          <w:p>
            <w:pPr>
              <w:spacing w:before="0" w:after="0" w:line="276" w:lineRule="auto"/>
              <w:jc w:val="left"/>
            </w:pPr>
            <w:r/>
            <w:r>
              <w:rPr>
                <w:rFonts w:ascii="宋体" w:hAnsi="宋体" w:eastAsia="宋体"/>
                <w:b w:val="0"/>
                <w:sz w:val="20"/>
              </w:rPr>
              <w:t>当监测明细、历史日志记录很多时使用虚拟滚动，避免普通表格渲染卡顿。</w:t>
            </w:r>
          </w:p>
        </w:tc>
      </w:tr>
    </w:tbl>
    <w:p>
      <w:pPr>
        <w:spacing w:after="80"/>
      </w:pPr>
    </w:p>
    <w:p>
      <w:pPr>
        <w:spacing w:before="0" w:after="80" w:line="348" w:lineRule="auto"/>
        <w:ind w:firstLine="420"/>
      </w:pPr>
      <w:r>
        <w:rPr>
          <w:rFonts w:ascii="宋体" w:hAnsi="宋体" w:eastAsia="宋体"/>
          <w:b w:val="0"/>
          <w:sz w:val="22"/>
        </w:rPr>
        <w:t>对于你关心的“前端一个表格需要什么组件库”这个问题，建议优先使用 Element Plus 自带的 Table 组件完成大部分后台管理表格；当出现大数据量滚动、性能瓶颈或需要虚拟滚动时，再切换到 Element Plus Table V2，而不是一开始就引入过多第三方表格库。这样可以降低组件体系复杂度，保持页面风格一致。</w:t>
      </w:r>
    </w:p>
    <w:p>
      <w:pPr>
        <w:spacing w:before="0" w:after="80" w:line="348" w:lineRule="auto"/>
        <w:ind w:firstLine="420"/>
      </w:pPr>
      <w:r>
        <w:rPr>
          <w:rFonts w:ascii="宋体" w:hAnsi="宋体" w:eastAsia="宋体"/>
          <w:b w:val="0"/>
          <w:sz w:val="22"/>
        </w:rPr>
        <w:t>建议封装以下通用前端基础组件：SearchPanel（查询面板）、BasicTable（标准列表）、StatusTag（状态标签）、TrendChart（趋势图包装）、MapLayerTree（图层树）、ObjectDetailDrawer（对象详情抽屉）、AlarmTimeline（告警时间轴）、WorkOrderPanel（工单面板）。</w:t>
      </w:r>
    </w:p>
    <w:p>
      <w:pPr>
        <w:pStyle w:val="Heading3"/>
        <w:spacing w:before="100" w:after="80"/>
      </w:pPr>
      <w:r>
        <w:rPr>
          <w:rFonts w:ascii="宋体" w:hAnsi="宋体" w:eastAsia="宋体"/>
          <w:b/>
          <w:color w:val="373737"/>
          <w:sz w:val="26"/>
        </w:rPr>
        <w:t>B.1.2 前端工程目录建议</w:t>
      </w:r>
    </w:p>
    <w:p>
      <w:pPr>
        <w:spacing w:before="0" w:after="80" w:line="348" w:lineRule="auto"/>
        <w:ind w:firstLine="420"/>
      </w:pPr>
      <w:r>
        <w:rPr>
          <w:rFonts w:ascii="宋体" w:hAnsi="宋体" w:eastAsia="宋体"/>
          <w:b w:val="0"/>
          <w:sz w:val="22"/>
        </w:rPr>
        <w:t>前端工程建议按“页面、组件、接口、状态、地图、工具、样式”拆分目录。例如：src/views 存放各子系统页面，src/components 存放通用组件，src/api 存放按模块划分的接口文件，src/stores 存放 Pinia 状态，src/gis 存放地图封装，src/utils 存放时间、下载、权限等工具，src/styles 统一主题变量和公共样式。</w:t>
      </w:r>
    </w:p>
    <w:p>
      <w:pPr>
        <w:spacing w:before="0" w:after="80" w:line="348" w:lineRule="auto"/>
        <w:ind w:firstLine="420"/>
      </w:pPr>
      <w:r>
        <w:rPr>
          <w:rFonts w:ascii="宋体" w:hAnsi="宋体" w:eastAsia="宋体"/>
          <w:b w:val="0"/>
          <w:sz w:val="22"/>
        </w:rPr>
        <w:t>GIS 相关代码不要散落到每个页面，应在 src/gis 下单独封装 viewer 初始化、图层加载、要素高亮、弹窗定位、专题图切换、空间查询等方法；业务页面只负责调用，不直接操作底层地图实例。</w:t>
      </w:r>
    </w:p>
    <w:p>
      <w:pPr>
        <w:pStyle w:val="Heading2"/>
        <w:spacing w:before="100" w:after="80"/>
      </w:pPr>
      <w:r>
        <w:rPr>
          <w:rFonts w:ascii="宋体" w:hAnsi="宋体" w:eastAsia="宋体"/>
          <w:b/>
          <w:color w:val="373737"/>
          <w:sz w:val="26"/>
        </w:rPr>
        <w:t>B.2 后端技术栈建议</w:t>
      </w:r>
    </w:p>
    <w:p>
      <w:pPr>
        <w:spacing w:before="0" w:after="80" w:line="348" w:lineRule="auto"/>
        <w:ind w:firstLine="420"/>
      </w:pPr>
      <w:r>
        <w:rPr>
          <w:rFonts w:ascii="宋体" w:hAnsi="宋体" w:eastAsia="宋体"/>
          <w:b w:val="0"/>
          <w:sz w:val="22"/>
        </w:rPr>
        <w:t>后端建议采用“Spring Boot 主业务工程 + GIS 服务 + 时序存储 + 算法服务”的组合方式。其中主业务工程负责用户、档案、告警、工单、报表等核心业务；GIS 服务负责空间数据发布；时序数据库负责监测数据；算法服务负责漏损识别、健康预测和定位模型。这样既符合当前前后端分离的开发习惯，也便于你后续逐步接入研究型能力。</w:t>
      </w:r>
    </w:p>
    <w:p>
      <w:pPr>
        <w:spacing w:before="80" w:after="40" w:line="348" w:lineRule="auto"/>
      </w:pPr>
      <w:r>
        <w:rPr>
          <w:rFonts w:ascii="宋体" w:hAnsi="宋体" w:eastAsia="宋体"/>
          <w:b w:val="0"/>
          <w:sz w:val="22"/>
        </w:rPr>
        <w:t>表B-3 后端技术栈明细建议</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247"/>
            <w:vAlign w:val="center"/>
            <w:shd w:fill="D9EAF7"/>
          </w:tcPr>
          <w:p>
            <w:pPr>
              <w:spacing w:before="0" w:after="0" w:line="276" w:lineRule="auto"/>
              <w:jc w:val="center"/>
            </w:pPr>
            <w:r/>
            <w:r>
              <w:rPr>
                <w:rFonts w:ascii="宋体" w:hAnsi="宋体" w:eastAsia="宋体"/>
                <w:b/>
                <w:sz w:val="20"/>
              </w:rPr>
              <w:t>层次</w:t>
            </w:r>
          </w:p>
        </w:tc>
        <w:tc>
          <w:tcPr>
            <w:tcW w:type="dxa" w:w="2721"/>
            <w:vAlign w:val="center"/>
            <w:shd w:fill="D9EAF7"/>
          </w:tcPr>
          <w:p>
            <w:pPr>
              <w:spacing w:before="0" w:after="0" w:line="276" w:lineRule="auto"/>
              <w:jc w:val="center"/>
            </w:pPr>
            <w:r/>
            <w:r>
              <w:rPr>
                <w:rFonts w:ascii="宋体" w:hAnsi="宋体" w:eastAsia="宋体"/>
                <w:b/>
                <w:sz w:val="20"/>
              </w:rPr>
              <w:t>推荐技术/组件</w:t>
            </w:r>
          </w:p>
        </w:tc>
        <w:tc>
          <w:tcPr>
            <w:tcW w:type="dxa" w:w="1984"/>
            <w:vAlign w:val="center"/>
            <w:shd w:fill="D9EAF7"/>
          </w:tcPr>
          <w:p>
            <w:pPr>
              <w:spacing w:before="0" w:after="0" w:line="276" w:lineRule="auto"/>
              <w:jc w:val="center"/>
            </w:pPr>
            <w:r/>
            <w:r>
              <w:rPr>
                <w:rFonts w:ascii="宋体" w:hAnsi="宋体" w:eastAsia="宋体"/>
                <w:b/>
                <w:sz w:val="20"/>
              </w:rPr>
              <w:t>作用定位</w:t>
            </w:r>
          </w:p>
        </w:tc>
        <w:tc>
          <w:tcPr>
            <w:tcW w:type="dxa" w:w="3458"/>
            <w:vAlign w:val="center"/>
            <w:shd w:fill="D9EAF7"/>
          </w:tcPr>
          <w:p>
            <w:pPr>
              <w:spacing w:before="0" w:after="0" w:line="276" w:lineRule="auto"/>
              <w:jc w:val="center"/>
            </w:pPr>
            <w:r/>
            <w:r>
              <w:rPr>
                <w:rFonts w:ascii="宋体" w:hAnsi="宋体" w:eastAsia="宋体"/>
                <w:b/>
                <w:sz w:val="20"/>
              </w:rPr>
              <w:t>实现建议</w:t>
            </w:r>
          </w:p>
        </w:tc>
      </w:tr>
      <w:tr>
        <w:tc>
          <w:tcPr>
            <w:tcW w:type="dxa" w:w="1247"/>
            <w:vAlign w:val="center"/>
          </w:tcPr>
          <w:p>
            <w:pPr>
              <w:spacing w:before="0" w:after="0" w:line="276" w:lineRule="auto"/>
              <w:jc w:val="left"/>
            </w:pPr>
            <w:r/>
            <w:r>
              <w:rPr>
                <w:rFonts w:ascii="宋体" w:hAnsi="宋体" w:eastAsia="宋体"/>
                <w:b w:val="0"/>
                <w:sz w:val="20"/>
              </w:rPr>
              <w:t>运行环境</w:t>
            </w:r>
          </w:p>
        </w:tc>
        <w:tc>
          <w:tcPr>
            <w:tcW w:type="dxa" w:w="2721"/>
            <w:vAlign w:val="center"/>
          </w:tcPr>
          <w:p>
            <w:pPr>
              <w:spacing w:before="0" w:after="0" w:line="276" w:lineRule="auto"/>
              <w:jc w:val="center"/>
            </w:pPr>
            <w:r/>
            <w:r>
              <w:rPr>
                <w:rFonts w:ascii="宋体" w:hAnsi="宋体" w:eastAsia="宋体"/>
                <w:b w:val="0"/>
                <w:sz w:val="20"/>
              </w:rPr>
              <w:t>JDK 17</w:t>
            </w:r>
          </w:p>
        </w:tc>
        <w:tc>
          <w:tcPr>
            <w:tcW w:type="dxa" w:w="1984"/>
            <w:vAlign w:val="center"/>
          </w:tcPr>
          <w:p>
            <w:pPr>
              <w:spacing w:before="0" w:after="0" w:line="276" w:lineRule="auto"/>
              <w:jc w:val="center"/>
            </w:pPr>
            <w:r/>
            <w:r>
              <w:rPr>
                <w:rFonts w:ascii="宋体" w:hAnsi="宋体" w:eastAsia="宋体"/>
                <w:b w:val="0"/>
                <w:sz w:val="20"/>
              </w:rPr>
              <w:t>后端运行时环境</w:t>
            </w:r>
          </w:p>
        </w:tc>
        <w:tc>
          <w:tcPr>
            <w:tcW w:type="dxa" w:w="3458"/>
            <w:vAlign w:val="center"/>
          </w:tcPr>
          <w:p>
            <w:pPr>
              <w:spacing w:before="0" w:after="0" w:line="276" w:lineRule="auto"/>
              <w:jc w:val="left"/>
            </w:pPr>
            <w:r/>
            <w:r>
              <w:rPr>
                <w:rFonts w:ascii="宋体" w:hAnsi="宋体" w:eastAsia="宋体"/>
                <w:b w:val="0"/>
                <w:sz w:val="20"/>
              </w:rPr>
              <w:t>保证 Spring Boot 3.x 生态兼容，语言层面可使用 record、switch 增强等现代语法。</w:t>
            </w:r>
          </w:p>
        </w:tc>
      </w:tr>
      <w:tr>
        <w:tc>
          <w:tcPr>
            <w:tcW w:type="dxa" w:w="1247"/>
            <w:vAlign w:val="center"/>
          </w:tcPr>
          <w:p>
            <w:pPr>
              <w:spacing w:before="0" w:after="0" w:line="276" w:lineRule="auto"/>
              <w:jc w:val="left"/>
            </w:pPr>
            <w:r/>
            <w:r>
              <w:rPr>
                <w:rFonts w:ascii="宋体" w:hAnsi="宋体" w:eastAsia="宋体"/>
                <w:b w:val="0"/>
                <w:sz w:val="20"/>
              </w:rPr>
              <w:t>基础框架</w:t>
            </w:r>
          </w:p>
        </w:tc>
        <w:tc>
          <w:tcPr>
            <w:tcW w:type="dxa" w:w="2721"/>
            <w:vAlign w:val="center"/>
          </w:tcPr>
          <w:p>
            <w:pPr>
              <w:spacing w:before="0" w:after="0" w:line="276" w:lineRule="auto"/>
              <w:jc w:val="center"/>
            </w:pPr>
            <w:r/>
            <w:r>
              <w:rPr>
                <w:rFonts w:ascii="宋体" w:hAnsi="宋体" w:eastAsia="宋体"/>
                <w:b w:val="0"/>
                <w:sz w:val="20"/>
              </w:rPr>
              <w:t>Spring Boot</w:t>
            </w:r>
          </w:p>
        </w:tc>
        <w:tc>
          <w:tcPr>
            <w:tcW w:type="dxa" w:w="1984"/>
            <w:vAlign w:val="center"/>
          </w:tcPr>
          <w:p>
            <w:pPr>
              <w:spacing w:before="0" w:after="0" w:line="276" w:lineRule="auto"/>
              <w:jc w:val="center"/>
            </w:pPr>
            <w:r/>
            <w:r>
              <w:rPr>
                <w:rFonts w:ascii="宋体" w:hAnsi="宋体" w:eastAsia="宋体"/>
                <w:b w:val="0"/>
                <w:sz w:val="20"/>
              </w:rPr>
              <w:t>主业务框架</w:t>
            </w:r>
          </w:p>
        </w:tc>
        <w:tc>
          <w:tcPr>
            <w:tcW w:type="dxa" w:w="3458"/>
            <w:vAlign w:val="center"/>
          </w:tcPr>
          <w:p>
            <w:pPr>
              <w:spacing w:before="0" w:after="0" w:line="276" w:lineRule="auto"/>
              <w:jc w:val="left"/>
            </w:pPr>
            <w:r/>
            <w:r>
              <w:rPr>
                <w:rFonts w:ascii="宋体" w:hAnsi="宋体" w:eastAsia="宋体"/>
                <w:b w:val="0"/>
                <w:sz w:val="20"/>
              </w:rPr>
              <w:t>承载 REST 接口、配置管理、自动装配、日志、WebSocket、定时任务等通用能力。</w:t>
            </w:r>
          </w:p>
        </w:tc>
      </w:tr>
      <w:tr>
        <w:tc>
          <w:tcPr>
            <w:tcW w:type="dxa" w:w="1247"/>
            <w:vAlign w:val="center"/>
          </w:tcPr>
          <w:p>
            <w:pPr>
              <w:spacing w:before="0" w:after="0" w:line="276" w:lineRule="auto"/>
              <w:jc w:val="left"/>
            </w:pPr>
            <w:r/>
            <w:r>
              <w:rPr>
                <w:rFonts w:ascii="宋体" w:hAnsi="宋体" w:eastAsia="宋体"/>
                <w:b w:val="0"/>
                <w:sz w:val="20"/>
              </w:rPr>
              <w:t>接口层</w:t>
            </w:r>
          </w:p>
        </w:tc>
        <w:tc>
          <w:tcPr>
            <w:tcW w:type="dxa" w:w="2721"/>
            <w:vAlign w:val="center"/>
          </w:tcPr>
          <w:p>
            <w:pPr>
              <w:spacing w:before="0" w:after="0" w:line="276" w:lineRule="auto"/>
              <w:jc w:val="center"/>
            </w:pPr>
            <w:r/>
            <w:r>
              <w:rPr>
                <w:rFonts w:ascii="宋体" w:hAnsi="宋体" w:eastAsia="宋体"/>
                <w:b w:val="0"/>
                <w:sz w:val="20"/>
              </w:rPr>
              <w:t>Spring MVC</w:t>
            </w:r>
          </w:p>
        </w:tc>
        <w:tc>
          <w:tcPr>
            <w:tcW w:type="dxa" w:w="1984"/>
            <w:vAlign w:val="center"/>
          </w:tcPr>
          <w:p>
            <w:pPr>
              <w:spacing w:before="0" w:after="0" w:line="276" w:lineRule="auto"/>
              <w:jc w:val="left"/>
            </w:pPr>
            <w:r/>
            <w:r>
              <w:rPr>
                <w:rFonts w:ascii="宋体" w:hAnsi="宋体" w:eastAsia="宋体"/>
                <w:b w:val="0"/>
                <w:sz w:val="20"/>
              </w:rPr>
              <w:t>REST API 对外服务</w:t>
            </w:r>
          </w:p>
        </w:tc>
        <w:tc>
          <w:tcPr>
            <w:tcW w:type="dxa" w:w="3458"/>
            <w:vAlign w:val="center"/>
          </w:tcPr>
          <w:p>
            <w:pPr>
              <w:spacing w:before="0" w:after="0" w:line="276" w:lineRule="auto"/>
              <w:jc w:val="left"/>
            </w:pPr>
            <w:r/>
            <w:r>
              <w:rPr>
                <w:rFonts w:ascii="宋体" w:hAnsi="宋体" w:eastAsia="宋体"/>
                <w:b w:val="0"/>
                <w:sz w:val="20"/>
              </w:rPr>
              <w:t>统一采用 /api 前缀，按模块划分 Controller，返回结构统一。</w:t>
            </w:r>
          </w:p>
        </w:tc>
      </w:tr>
      <w:tr>
        <w:tc>
          <w:tcPr>
            <w:tcW w:type="dxa" w:w="1247"/>
            <w:vAlign w:val="center"/>
          </w:tcPr>
          <w:p>
            <w:pPr>
              <w:spacing w:before="0" w:after="0" w:line="276" w:lineRule="auto"/>
              <w:jc w:val="left"/>
            </w:pPr>
            <w:r/>
            <w:r>
              <w:rPr>
                <w:rFonts w:ascii="宋体" w:hAnsi="宋体" w:eastAsia="宋体"/>
                <w:b w:val="0"/>
                <w:sz w:val="20"/>
              </w:rPr>
              <w:t>安全认证</w:t>
            </w:r>
          </w:p>
        </w:tc>
        <w:tc>
          <w:tcPr>
            <w:tcW w:type="dxa" w:w="2721"/>
            <w:vAlign w:val="center"/>
          </w:tcPr>
          <w:p>
            <w:pPr>
              <w:spacing w:before="0" w:after="0" w:line="276" w:lineRule="auto"/>
              <w:jc w:val="left"/>
            </w:pPr>
            <w:r/>
            <w:r>
              <w:rPr>
                <w:rFonts w:ascii="宋体" w:hAnsi="宋体" w:eastAsia="宋体"/>
                <w:b w:val="0"/>
                <w:sz w:val="20"/>
              </w:rPr>
              <w:t>Spring Security + JWT</w:t>
            </w:r>
          </w:p>
        </w:tc>
        <w:tc>
          <w:tcPr>
            <w:tcW w:type="dxa" w:w="1984"/>
            <w:vAlign w:val="center"/>
          </w:tcPr>
          <w:p>
            <w:pPr>
              <w:spacing w:before="0" w:after="0" w:line="276" w:lineRule="auto"/>
              <w:jc w:val="left"/>
            </w:pPr>
            <w:r/>
            <w:r>
              <w:rPr>
                <w:rFonts w:ascii="宋体" w:hAnsi="宋体" w:eastAsia="宋体"/>
                <w:b w:val="0"/>
                <w:sz w:val="20"/>
              </w:rPr>
              <w:t>登录认证、接口鉴权、角色权限控制</w:t>
            </w:r>
          </w:p>
        </w:tc>
        <w:tc>
          <w:tcPr>
            <w:tcW w:type="dxa" w:w="3458"/>
            <w:vAlign w:val="center"/>
          </w:tcPr>
          <w:p>
            <w:pPr>
              <w:spacing w:before="0" w:after="0" w:line="276" w:lineRule="auto"/>
              <w:jc w:val="left"/>
            </w:pPr>
            <w:r/>
            <w:r>
              <w:rPr>
                <w:rFonts w:ascii="宋体" w:hAnsi="宋体" w:eastAsia="宋体"/>
                <w:b w:val="0"/>
                <w:sz w:val="20"/>
              </w:rPr>
              <w:t>适合前后端分离系统，后端签发 Token，前端通过请求头携带。</w:t>
            </w:r>
          </w:p>
        </w:tc>
      </w:tr>
      <w:tr>
        <w:tc>
          <w:tcPr>
            <w:tcW w:type="dxa" w:w="1247"/>
            <w:vAlign w:val="center"/>
          </w:tcPr>
          <w:p>
            <w:pPr>
              <w:spacing w:before="0" w:after="0" w:line="276" w:lineRule="auto"/>
              <w:jc w:val="left"/>
            </w:pPr>
            <w:r/>
            <w:r>
              <w:rPr>
                <w:rFonts w:ascii="宋体" w:hAnsi="宋体" w:eastAsia="宋体"/>
                <w:b w:val="0"/>
                <w:sz w:val="20"/>
              </w:rPr>
              <w:t>参数校验</w:t>
            </w:r>
          </w:p>
        </w:tc>
        <w:tc>
          <w:tcPr>
            <w:tcW w:type="dxa" w:w="2721"/>
            <w:vAlign w:val="center"/>
          </w:tcPr>
          <w:p>
            <w:pPr>
              <w:spacing w:before="0" w:after="0" w:line="276" w:lineRule="auto"/>
              <w:jc w:val="left"/>
            </w:pPr>
            <w:r/>
            <w:r>
              <w:rPr>
                <w:rFonts w:ascii="宋体" w:hAnsi="宋体" w:eastAsia="宋体"/>
                <w:b w:val="0"/>
                <w:sz w:val="20"/>
              </w:rPr>
              <w:t>Hibernate Validator</w:t>
            </w:r>
          </w:p>
        </w:tc>
        <w:tc>
          <w:tcPr>
            <w:tcW w:type="dxa" w:w="1984"/>
            <w:vAlign w:val="center"/>
          </w:tcPr>
          <w:p>
            <w:pPr>
              <w:spacing w:before="0" w:after="0" w:line="276" w:lineRule="auto"/>
              <w:jc w:val="center"/>
            </w:pPr>
            <w:r/>
            <w:r>
              <w:rPr>
                <w:rFonts w:ascii="宋体" w:hAnsi="宋体" w:eastAsia="宋体"/>
                <w:b w:val="0"/>
                <w:sz w:val="20"/>
              </w:rPr>
              <w:t>请求参数合法性校验</w:t>
            </w:r>
          </w:p>
        </w:tc>
        <w:tc>
          <w:tcPr>
            <w:tcW w:type="dxa" w:w="3458"/>
            <w:vAlign w:val="center"/>
          </w:tcPr>
          <w:p>
            <w:pPr>
              <w:spacing w:before="0" w:after="0" w:line="276" w:lineRule="auto"/>
              <w:jc w:val="left"/>
            </w:pPr>
            <w:r/>
            <w:r>
              <w:rPr>
                <w:rFonts w:ascii="宋体" w:hAnsi="宋体" w:eastAsia="宋体"/>
                <w:b w:val="0"/>
                <w:sz w:val="20"/>
              </w:rPr>
              <w:t>用于新增、修改、查询条件校验，避免脏数据进入业务层。</w:t>
            </w:r>
          </w:p>
        </w:tc>
      </w:tr>
      <w:tr>
        <w:tc>
          <w:tcPr>
            <w:tcW w:type="dxa" w:w="1247"/>
            <w:vAlign w:val="center"/>
          </w:tcPr>
          <w:p>
            <w:pPr>
              <w:spacing w:before="0" w:after="0" w:line="276" w:lineRule="auto"/>
              <w:jc w:val="left"/>
            </w:pPr>
            <w:r/>
            <w:r>
              <w:rPr>
                <w:rFonts w:ascii="宋体" w:hAnsi="宋体" w:eastAsia="宋体"/>
                <w:b w:val="0"/>
                <w:sz w:val="20"/>
              </w:rPr>
              <w:t>持久层</w:t>
            </w:r>
          </w:p>
        </w:tc>
        <w:tc>
          <w:tcPr>
            <w:tcW w:type="dxa" w:w="2721"/>
            <w:vAlign w:val="center"/>
          </w:tcPr>
          <w:p>
            <w:pPr>
              <w:spacing w:before="0" w:after="0" w:line="276" w:lineRule="auto"/>
              <w:jc w:val="left"/>
            </w:pPr>
            <w:r/>
            <w:r>
              <w:rPr>
                <w:rFonts w:ascii="宋体" w:hAnsi="宋体" w:eastAsia="宋体"/>
                <w:b w:val="0"/>
                <w:sz w:val="20"/>
              </w:rPr>
              <w:t>MyBatis-Plus + MyBatis XML</w:t>
            </w:r>
          </w:p>
        </w:tc>
        <w:tc>
          <w:tcPr>
            <w:tcW w:type="dxa" w:w="1984"/>
            <w:vAlign w:val="center"/>
          </w:tcPr>
          <w:p>
            <w:pPr>
              <w:spacing w:before="0" w:after="0" w:line="276" w:lineRule="auto"/>
              <w:jc w:val="left"/>
            </w:pPr>
            <w:r/>
            <w:r>
              <w:rPr>
                <w:rFonts w:ascii="宋体" w:hAnsi="宋体" w:eastAsia="宋体"/>
                <w:b w:val="0"/>
                <w:sz w:val="20"/>
              </w:rPr>
              <w:t>单表 CRUD、分页、复杂 SQL</w:t>
            </w:r>
          </w:p>
        </w:tc>
        <w:tc>
          <w:tcPr>
            <w:tcW w:type="dxa" w:w="3458"/>
            <w:vAlign w:val="center"/>
          </w:tcPr>
          <w:p>
            <w:pPr>
              <w:spacing w:before="0" w:after="0" w:line="276" w:lineRule="auto"/>
              <w:jc w:val="left"/>
            </w:pPr>
            <w:r/>
            <w:r>
              <w:rPr>
                <w:rFonts w:ascii="宋体" w:hAnsi="宋体" w:eastAsia="宋体"/>
                <w:b w:val="0"/>
                <w:sz w:val="20"/>
              </w:rPr>
              <w:t>通用增删改查交给 MyBatis-Plus，复杂报表与统计 SQL 继续使用 XML。</w:t>
            </w:r>
          </w:p>
        </w:tc>
      </w:tr>
      <w:tr>
        <w:tc>
          <w:tcPr>
            <w:tcW w:type="dxa" w:w="1247"/>
            <w:vAlign w:val="center"/>
          </w:tcPr>
          <w:p>
            <w:pPr>
              <w:spacing w:before="0" w:after="0" w:line="276" w:lineRule="auto"/>
              <w:jc w:val="left"/>
            </w:pPr>
            <w:r/>
            <w:r>
              <w:rPr>
                <w:rFonts w:ascii="宋体" w:hAnsi="宋体" w:eastAsia="宋体"/>
                <w:b w:val="0"/>
                <w:sz w:val="20"/>
              </w:rPr>
              <w:t>对象转换</w:t>
            </w:r>
          </w:p>
        </w:tc>
        <w:tc>
          <w:tcPr>
            <w:tcW w:type="dxa" w:w="2721"/>
            <w:vAlign w:val="center"/>
          </w:tcPr>
          <w:p>
            <w:pPr>
              <w:spacing w:before="0" w:after="0" w:line="276" w:lineRule="auto"/>
              <w:jc w:val="center"/>
            </w:pPr>
            <w:r/>
            <w:r>
              <w:rPr>
                <w:rFonts w:ascii="宋体" w:hAnsi="宋体" w:eastAsia="宋体"/>
                <w:b w:val="0"/>
                <w:sz w:val="20"/>
              </w:rPr>
              <w:t>MapStruct</w:t>
            </w:r>
          </w:p>
        </w:tc>
        <w:tc>
          <w:tcPr>
            <w:tcW w:type="dxa" w:w="1984"/>
            <w:vAlign w:val="center"/>
          </w:tcPr>
          <w:p>
            <w:pPr>
              <w:spacing w:before="0" w:after="0" w:line="276" w:lineRule="auto"/>
              <w:jc w:val="center"/>
            </w:pPr>
            <w:r/>
            <w:r>
              <w:rPr>
                <w:rFonts w:ascii="宋体" w:hAnsi="宋体" w:eastAsia="宋体"/>
                <w:b w:val="0"/>
                <w:sz w:val="20"/>
              </w:rPr>
              <w:t>DO/DTO/VO 转换</w:t>
            </w:r>
          </w:p>
        </w:tc>
        <w:tc>
          <w:tcPr>
            <w:tcW w:type="dxa" w:w="3458"/>
            <w:vAlign w:val="center"/>
          </w:tcPr>
          <w:p>
            <w:pPr>
              <w:spacing w:before="0" w:after="0" w:line="276" w:lineRule="auto"/>
              <w:jc w:val="left"/>
            </w:pPr>
            <w:r/>
            <w:r>
              <w:rPr>
                <w:rFonts w:ascii="宋体" w:hAnsi="宋体" w:eastAsia="宋体"/>
                <w:b w:val="0"/>
                <w:sz w:val="20"/>
              </w:rPr>
              <w:t>减少手写 set/get 转换代码，保证接口模型清晰。</w:t>
            </w:r>
          </w:p>
        </w:tc>
      </w:tr>
      <w:tr>
        <w:tc>
          <w:tcPr>
            <w:tcW w:type="dxa" w:w="1247"/>
            <w:vAlign w:val="center"/>
          </w:tcPr>
          <w:p>
            <w:pPr>
              <w:spacing w:before="0" w:after="0" w:line="276" w:lineRule="auto"/>
              <w:jc w:val="left"/>
            </w:pPr>
            <w:r/>
            <w:r>
              <w:rPr>
                <w:rFonts w:ascii="宋体" w:hAnsi="宋体" w:eastAsia="宋体"/>
                <w:b w:val="0"/>
                <w:sz w:val="20"/>
              </w:rPr>
              <w:t>缓存</w:t>
            </w:r>
          </w:p>
        </w:tc>
        <w:tc>
          <w:tcPr>
            <w:tcW w:type="dxa" w:w="2721"/>
            <w:vAlign w:val="center"/>
          </w:tcPr>
          <w:p>
            <w:pPr>
              <w:spacing w:before="0" w:after="0" w:line="276" w:lineRule="auto"/>
              <w:jc w:val="left"/>
            </w:pPr>
            <w:r/>
            <w:r>
              <w:rPr>
                <w:rFonts w:ascii="宋体" w:hAnsi="宋体" w:eastAsia="宋体"/>
                <w:b w:val="0"/>
                <w:sz w:val="20"/>
              </w:rPr>
              <w:t>Redis + Spring Cache</w:t>
            </w:r>
          </w:p>
        </w:tc>
        <w:tc>
          <w:tcPr>
            <w:tcW w:type="dxa" w:w="1984"/>
            <w:vAlign w:val="center"/>
          </w:tcPr>
          <w:p>
            <w:pPr>
              <w:spacing w:before="0" w:after="0" w:line="276" w:lineRule="auto"/>
              <w:jc w:val="left"/>
            </w:pPr>
            <w:r/>
            <w:r>
              <w:rPr>
                <w:rFonts w:ascii="宋体" w:hAnsi="宋体" w:eastAsia="宋体"/>
                <w:b w:val="0"/>
                <w:sz w:val="20"/>
              </w:rPr>
              <w:t>字典缓存、Token 黑名单、热点数据缓存</w:t>
            </w:r>
          </w:p>
        </w:tc>
        <w:tc>
          <w:tcPr>
            <w:tcW w:type="dxa" w:w="3458"/>
            <w:vAlign w:val="center"/>
          </w:tcPr>
          <w:p>
            <w:pPr>
              <w:spacing w:before="0" w:after="0" w:line="276" w:lineRule="auto"/>
              <w:jc w:val="left"/>
            </w:pPr>
            <w:r/>
            <w:r>
              <w:rPr>
                <w:rFonts w:ascii="宋体" w:hAnsi="宋体" w:eastAsia="宋体"/>
                <w:b w:val="0"/>
                <w:sz w:val="20"/>
              </w:rPr>
              <w:t>对区域字典、菜单树、专题配置等读多写少数据优先缓存。</w:t>
            </w:r>
          </w:p>
        </w:tc>
      </w:tr>
      <w:tr>
        <w:tc>
          <w:tcPr>
            <w:tcW w:type="dxa" w:w="1247"/>
            <w:vAlign w:val="center"/>
          </w:tcPr>
          <w:p>
            <w:pPr>
              <w:spacing w:before="0" w:after="0" w:line="276" w:lineRule="auto"/>
              <w:jc w:val="left"/>
            </w:pPr>
            <w:r/>
            <w:r>
              <w:rPr>
                <w:rFonts w:ascii="宋体" w:hAnsi="宋体" w:eastAsia="宋体"/>
                <w:b w:val="0"/>
                <w:sz w:val="20"/>
              </w:rPr>
              <w:t>分布式控制</w:t>
            </w:r>
          </w:p>
        </w:tc>
        <w:tc>
          <w:tcPr>
            <w:tcW w:type="dxa" w:w="2721"/>
            <w:vAlign w:val="center"/>
          </w:tcPr>
          <w:p>
            <w:pPr>
              <w:spacing w:before="0" w:after="0" w:line="276" w:lineRule="auto"/>
              <w:jc w:val="center"/>
            </w:pPr>
            <w:r/>
            <w:r>
              <w:rPr>
                <w:rFonts w:ascii="宋体" w:hAnsi="宋体" w:eastAsia="宋体"/>
                <w:b w:val="0"/>
                <w:sz w:val="20"/>
              </w:rPr>
              <w:t>Redisson</w:t>
            </w:r>
          </w:p>
        </w:tc>
        <w:tc>
          <w:tcPr>
            <w:tcW w:type="dxa" w:w="1984"/>
            <w:vAlign w:val="center"/>
          </w:tcPr>
          <w:p>
            <w:pPr>
              <w:spacing w:before="0" w:after="0" w:line="276" w:lineRule="auto"/>
              <w:jc w:val="left"/>
            </w:pPr>
            <w:r/>
            <w:r>
              <w:rPr>
                <w:rFonts w:ascii="宋体" w:hAnsi="宋体" w:eastAsia="宋体"/>
                <w:b w:val="0"/>
                <w:sz w:val="20"/>
              </w:rPr>
              <w:t>分布式锁、延迟队列、并发控制</w:t>
            </w:r>
          </w:p>
        </w:tc>
        <w:tc>
          <w:tcPr>
            <w:tcW w:type="dxa" w:w="3458"/>
            <w:vAlign w:val="center"/>
          </w:tcPr>
          <w:p>
            <w:pPr>
              <w:spacing w:before="0" w:after="0" w:line="276" w:lineRule="auto"/>
              <w:jc w:val="left"/>
            </w:pPr>
            <w:r/>
            <w:r>
              <w:rPr>
                <w:rFonts w:ascii="宋体" w:hAnsi="宋体" w:eastAsia="宋体"/>
                <w:b w:val="0"/>
                <w:sz w:val="20"/>
              </w:rPr>
              <w:t>适合告警去重、任务互斥、工单重复派发防护。</w:t>
            </w:r>
          </w:p>
        </w:tc>
      </w:tr>
      <w:tr>
        <w:tc>
          <w:tcPr>
            <w:tcW w:type="dxa" w:w="1247"/>
            <w:vAlign w:val="center"/>
          </w:tcPr>
          <w:p>
            <w:pPr>
              <w:spacing w:before="0" w:after="0" w:line="276" w:lineRule="auto"/>
              <w:jc w:val="left"/>
            </w:pPr>
            <w:r/>
            <w:r>
              <w:rPr>
                <w:rFonts w:ascii="宋体" w:hAnsi="宋体" w:eastAsia="宋体"/>
                <w:b w:val="0"/>
                <w:sz w:val="20"/>
              </w:rPr>
              <w:t>业务数据库</w:t>
            </w:r>
          </w:p>
        </w:tc>
        <w:tc>
          <w:tcPr>
            <w:tcW w:type="dxa" w:w="2721"/>
            <w:vAlign w:val="center"/>
          </w:tcPr>
          <w:p>
            <w:pPr>
              <w:spacing w:before="0" w:after="0" w:line="276" w:lineRule="auto"/>
              <w:jc w:val="center"/>
            </w:pPr>
            <w:r/>
            <w:r>
              <w:rPr>
                <w:rFonts w:ascii="宋体" w:hAnsi="宋体" w:eastAsia="宋体"/>
                <w:b w:val="0"/>
                <w:sz w:val="20"/>
              </w:rPr>
              <w:t>MySQL 8</w:t>
            </w:r>
          </w:p>
        </w:tc>
        <w:tc>
          <w:tcPr>
            <w:tcW w:type="dxa" w:w="1984"/>
            <w:vAlign w:val="center"/>
          </w:tcPr>
          <w:p>
            <w:pPr>
              <w:spacing w:before="0" w:after="0" w:line="276" w:lineRule="auto"/>
              <w:jc w:val="left"/>
            </w:pPr>
            <w:r/>
            <w:r>
              <w:rPr>
                <w:rFonts w:ascii="宋体" w:hAnsi="宋体" w:eastAsia="宋体"/>
                <w:b w:val="0"/>
                <w:sz w:val="20"/>
              </w:rPr>
              <w:t>用户、权限、档案、工单、规则、日志</w:t>
            </w:r>
          </w:p>
        </w:tc>
        <w:tc>
          <w:tcPr>
            <w:tcW w:type="dxa" w:w="3458"/>
            <w:vAlign w:val="center"/>
          </w:tcPr>
          <w:p>
            <w:pPr>
              <w:spacing w:before="0" w:after="0" w:line="276" w:lineRule="auto"/>
              <w:jc w:val="left"/>
            </w:pPr>
            <w:r/>
            <w:r>
              <w:rPr>
                <w:rFonts w:ascii="宋体" w:hAnsi="宋体" w:eastAsia="宋体"/>
                <w:b w:val="0"/>
                <w:sz w:val="20"/>
              </w:rPr>
              <w:t>用于存储事务型业务数据，便于常规后台业务开发。</w:t>
            </w:r>
          </w:p>
        </w:tc>
      </w:tr>
      <w:tr>
        <w:tc>
          <w:tcPr>
            <w:tcW w:type="dxa" w:w="1247"/>
            <w:vAlign w:val="center"/>
          </w:tcPr>
          <w:p>
            <w:pPr>
              <w:spacing w:before="0" w:after="0" w:line="276" w:lineRule="auto"/>
              <w:jc w:val="left"/>
            </w:pPr>
            <w:r/>
            <w:r>
              <w:rPr>
                <w:rFonts w:ascii="宋体" w:hAnsi="宋体" w:eastAsia="宋体"/>
                <w:b w:val="0"/>
                <w:sz w:val="20"/>
              </w:rPr>
              <w:t>空间数据库</w:t>
            </w:r>
          </w:p>
        </w:tc>
        <w:tc>
          <w:tcPr>
            <w:tcW w:type="dxa" w:w="2721"/>
            <w:vAlign w:val="center"/>
          </w:tcPr>
          <w:p>
            <w:pPr>
              <w:spacing w:before="0" w:after="0" w:line="276" w:lineRule="auto"/>
              <w:jc w:val="left"/>
            </w:pPr>
            <w:r/>
            <w:r>
              <w:rPr>
                <w:rFonts w:ascii="宋体" w:hAnsi="宋体" w:eastAsia="宋体"/>
                <w:b w:val="0"/>
                <w:sz w:val="20"/>
              </w:rPr>
              <w:t>PostgreSQL + PostGIS</w:t>
            </w:r>
          </w:p>
        </w:tc>
        <w:tc>
          <w:tcPr>
            <w:tcW w:type="dxa" w:w="1984"/>
            <w:vAlign w:val="center"/>
          </w:tcPr>
          <w:p>
            <w:pPr>
              <w:spacing w:before="0" w:after="0" w:line="276" w:lineRule="auto"/>
              <w:jc w:val="left"/>
            </w:pPr>
            <w:r/>
            <w:r>
              <w:rPr>
                <w:rFonts w:ascii="宋体" w:hAnsi="宋体" w:eastAsia="宋体"/>
                <w:b w:val="0"/>
                <w:sz w:val="20"/>
              </w:rPr>
              <w:t>管线几何、节点空间对象、空间索引与分析</w:t>
            </w:r>
          </w:p>
        </w:tc>
        <w:tc>
          <w:tcPr>
            <w:tcW w:type="dxa" w:w="3458"/>
            <w:vAlign w:val="center"/>
          </w:tcPr>
          <w:p>
            <w:pPr>
              <w:spacing w:before="0" w:after="0" w:line="276" w:lineRule="auto"/>
              <w:jc w:val="left"/>
            </w:pPr>
            <w:r/>
            <w:r>
              <w:rPr>
                <w:rFonts w:ascii="宋体" w:hAnsi="宋体" w:eastAsia="宋体"/>
                <w:b w:val="0"/>
                <w:sz w:val="20"/>
              </w:rPr>
              <w:t>空间对象不要简单塞到 MySQL 文本字段中，应使用空间数据库保存。</w:t>
            </w:r>
          </w:p>
        </w:tc>
      </w:tr>
      <w:tr>
        <w:tc>
          <w:tcPr>
            <w:tcW w:type="dxa" w:w="1247"/>
            <w:vAlign w:val="center"/>
          </w:tcPr>
          <w:p>
            <w:pPr>
              <w:spacing w:before="0" w:after="0" w:line="276" w:lineRule="auto"/>
              <w:jc w:val="left"/>
            </w:pPr>
            <w:r/>
            <w:r>
              <w:rPr>
                <w:rFonts w:ascii="宋体" w:hAnsi="宋体" w:eastAsia="宋体"/>
                <w:b w:val="0"/>
                <w:sz w:val="20"/>
              </w:rPr>
              <w:t>时序数据库</w:t>
            </w:r>
          </w:p>
        </w:tc>
        <w:tc>
          <w:tcPr>
            <w:tcW w:type="dxa" w:w="2721"/>
            <w:vAlign w:val="center"/>
          </w:tcPr>
          <w:p>
            <w:pPr>
              <w:spacing w:before="0" w:after="0" w:line="276" w:lineRule="auto"/>
              <w:jc w:val="center"/>
            </w:pPr>
            <w:r/>
            <w:r>
              <w:rPr>
                <w:rFonts w:ascii="宋体" w:hAnsi="宋体" w:eastAsia="宋体"/>
                <w:b w:val="0"/>
                <w:sz w:val="20"/>
              </w:rPr>
              <w:t>TimescaleDB</w:t>
            </w:r>
          </w:p>
        </w:tc>
        <w:tc>
          <w:tcPr>
            <w:tcW w:type="dxa" w:w="1984"/>
            <w:vAlign w:val="center"/>
          </w:tcPr>
          <w:p>
            <w:pPr>
              <w:spacing w:before="0" w:after="0" w:line="276" w:lineRule="auto"/>
              <w:jc w:val="left"/>
            </w:pPr>
            <w:r/>
            <w:r>
              <w:rPr>
                <w:rFonts w:ascii="宋体" w:hAnsi="宋体" w:eastAsia="宋体"/>
                <w:b w:val="0"/>
                <w:sz w:val="20"/>
              </w:rPr>
              <w:t>高频监测数据、历史曲线、聚合统计</w:t>
            </w:r>
          </w:p>
        </w:tc>
        <w:tc>
          <w:tcPr>
            <w:tcW w:type="dxa" w:w="3458"/>
            <w:vAlign w:val="center"/>
          </w:tcPr>
          <w:p>
            <w:pPr>
              <w:spacing w:before="0" w:after="0" w:line="276" w:lineRule="auto"/>
              <w:jc w:val="left"/>
            </w:pPr>
            <w:r/>
            <w:r>
              <w:rPr>
                <w:rFonts w:ascii="宋体" w:hAnsi="宋体" w:eastAsia="宋体"/>
                <w:b w:val="0"/>
                <w:sz w:val="20"/>
              </w:rPr>
              <w:t>适合压力、流量、浓度、温度等监测数据长期积累。</w:t>
            </w:r>
          </w:p>
        </w:tc>
      </w:tr>
      <w:tr>
        <w:tc>
          <w:tcPr>
            <w:tcW w:type="dxa" w:w="1247"/>
            <w:vAlign w:val="center"/>
          </w:tcPr>
          <w:p>
            <w:pPr>
              <w:spacing w:before="0" w:after="0" w:line="276" w:lineRule="auto"/>
              <w:jc w:val="left"/>
            </w:pPr>
            <w:r/>
            <w:r>
              <w:rPr>
                <w:rFonts w:ascii="宋体" w:hAnsi="宋体" w:eastAsia="宋体"/>
                <w:b w:val="0"/>
                <w:sz w:val="20"/>
              </w:rPr>
              <w:t>地图服务</w:t>
            </w:r>
          </w:p>
        </w:tc>
        <w:tc>
          <w:tcPr>
            <w:tcW w:type="dxa" w:w="2721"/>
            <w:vAlign w:val="center"/>
          </w:tcPr>
          <w:p>
            <w:pPr>
              <w:spacing w:before="0" w:after="0" w:line="276" w:lineRule="auto"/>
              <w:jc w:val="center"/>
            </w:pPr>
            <w:r/>
            <w:r>
              <w:rPr>
                <w:rFonts w:ascii="宋体" w:hAnsi="宋体" w:eastAsia="宋体"/>
                <w:b w:val="0"/>
                <w:sz w:val="20"/>
              </w:rPr>
              <w:t>GeoServer</w:t>
            </w:r>
          </w:p>
        </w:tc>
        <w:tc>
          <w:tcPr>
            <w:tcW w:type="dxa" w:w="1984"/>
            <w:vAlign w:val="center"/>
          </w:tcPr>
          <w:p>
            <w:pPr>
              <w:spacing w:before="0" w:after="0" w:line="276" w:lineRule="auto"/>
              <w:jc w:val="left"/>
            </w:pPr>
            <w:r/>
            <w:r>
              <w:rPr>
                <w:rFonts w:ascii="宋体" w:hAnsi="宋体" w:eastAsia="宋体"/>
                <w:b w:val="0"/>
                <w:sz w:val="20"/>
              </w:rPr>
              <w:t>WMS/WFS 服务、图层发布、空间服务接口</w:t>
            </w:r>
          </w:p>
        </w:tc>
        <w:tc>
          <w:tcPr>
            <w:tcW w:type="dxa" w:w="3458"/>
            <w:vAlign w:val="center"/>
          </w:tcPr>
          <w:p>
            <w:pPr>
              <w:spacing w:before="0" w:after="0" w:line="276" w:lineRule="auto"/>
              <w:jc w:val="left"/>
            </w:pPr>
            <w:r/>
            <w:r>
              <w:rPr>
                <w:rFonts w:ascii="宋体" w:hAnsi="宋体" w:eastAsia="宋体"/>
                <w:b w:val="0"/>
                <w:sz w:val="20"/>
              </w:rPr>
              <w:t>用于向前端二维/三维场景发布底图、要素图层与专题图层。</w:t>
            </w:r>
          </w:p>
        </w:tc>
      </w:tr>
      <w:tr>
        <w:tc>
          <w:tcPr>
            <w:tcW w:type="dxa" w:w="1247"/>
            <w:vAlign w:val="center"/>
          </w:tcPr>
          <w:p>
            <w:pPr>
              <w:spacing w:before="0" w:after="0" w:line="276" w:lineRule="auto"/>
              <w:jc w:val="left"/>
            </w:pPr>
            <w:r/>
            <w:r>
              <w:rPr>
                <w:rFonts w:ascii="宋体" w:hAnsi="宋体" w:eastAsia="宋体"/>
                <w:b w:val="0"/>
                <w:sz w:val="20"/>
              </w:rPr>
              <w:t>文件存储</w:t>
            </w:r>
          </w:p>
        </w:tc>
        <w:tc>
          <w:tcPr>
            <w:tcW w:type="dxa" w:w="2721"/>
            <w:vAlign w:val="center"/>
          </w:tcPr>
          <w:p>
            <w:pPr>
              <w:spacing w:before="0" w:after="0" w:line="276" w:lineRule="auto"/>
              <w:jc w:val="center"/>
            </w:pPr>
            <w:r/>
            <w:r>
              <w:rPr>
                <w:rFonts w:ascii="宋体" w:hAnsi="宋体" w:eastAsia="宋体"/>
                <w:b w:val="0"/>
                <w:sz w:val="20"/>
              </w:rPr>
              <w:t>MinIO</w:t>
            </w:r>
          </w:p>
        </w:tc>
        <w:tc>
          <w:tcPr>
            <w:tcW w:type="dxa" w:w="1984"/>
            <w:vAlign w:val="center"/>
          </w:tcPr>
          <w:p>
            <w:pPr>
              <w:spacing w:before="0" w:after="0" w:line="276" w:lineRule="auto"/>
              <w:jc w:val="left"/>
            </w:pPr>
            <w:r/>
            <w:r>
              <w:rPr>
                <w:rFonts w:ascii="宋体" w:hAnsi="宋体" w:eastAsia="宋体"/>
                <w:b w:val="0"/>
                <w:sz w:val="20"/>
              </w:rPr>
              <w:t>照片、附件、报表文件、工单图片</w:t>
            </w:r>
          </w:p>
        </w:tc>
        <w:tc>
          <w:tcPr>
            <w:tcW w:type="dxa" w:w="3458"/>
            <w:vAlign w:val="center"/>
          </w:tcPr>
          <w:p>
            <w:pPr>
              <w:spacing w:before="0" w:after="0" w:line="276" w:lineRule="auto"/>
              <w:jc w:val="left"/>
            </w:pPr>
            <w:r/>
            <w:r>
              <w:rPr>
                <w:rFonts w:ascii="宋体" w:hAnsi="宋体" w:eastAsia="宋体"/>
                <w:b w:val="0"/>
                <w:sz w:val="20"/>
              </w:rPr>
              <w:t>实现对象存储，避免把附件写入数据库大字段。</w:t>
            </w:r>
          </w:p>
        </w:tc>
      </w:tr>
      <w:tr>
        <w:tc>
          <w:tcPr>
            <w:tcW w:type="dxa" w:w="1247"/>
            <w:vAlign w:val="center"/>
          </w:tcPr>
          <w:p>
            <w:pPr>
              <w:spacing w:before="0" w:after="0" w:line="276" w:lineRule="auto"/>
              <w:jc w:val="left"/>
            </w:pPr>
            <w:r/>
            <w:r>
              <w:rPr>
                <w:rFonts w:ascii="宋体" w:hAnsi="宋体" w:eastAsia="宋体"/>
                <w:b w:val="0"/>
                <w:sz w:val="20"/>
              </w:rPr>
              <w:t>实时推送</w:t>
            </w:r>
          </w:p>
        </w:tc>
        <w:tc>
          <w:tcPr>
            <w:tcW w:type="dxa" w:w="2721"/>
            <w:vAlign w:val="center"/>
          </w:tcPr>
          <w:p>
            <w:pPr>
              <w:spacing w:before="0" w:after="0" w:line="276" w:lineRule="auto"/>
              <w:jc w:val="left"/>
            </w:pPr>
            <w:r/>
            <w:r>
              <w:rPr>
                <w:rFonts w:ascii="宋体" w:hAnsi="宋体" w:eastAsia="宋体"/>
                <w:b w:val="0"/>
                <w:sz w:val="20"/>
              </w:rPr>
              <w:t>Spring WebSocket + STOMP</w:t>
            </w:r>
          </w:p>
        </w:tc>
        <w:tc>
          <w:tcPr>
            <w:tcW w:type="dxa" w:w="1984"/>
            <w:vAlign w:val="center"/>
          </w:tcPr>
          <w:p>
            <w:pPr>
              <w:spacing w:before="0" w:after="0" w:line="276" w:lineRule="auto"/>
              <w:jc w:val="left"/>
            </w:pPr>
            <w:r/>
            <w:r>
              <w:rPr>
                <w:rFonts w:ascii="宋体" w:hAnsi="宋体" w:eastAsia="宋体"/>
                <w:b w:val="0"/>
                <w:sz w:val="20"/>
              </w:rPr>
              <w:t>实时告警、在线状态、消息通知</w:t>
            </w:r>
          </w:p>
        </w:tc>
        <w:tc>
          <w:tcPr>
            <w:tcW w:type="dxa" w:w="3458"/>
            <w:vAlign w:val="center"/>
          </w:tcPr>
          <w:p>
            <w:pPr>
              <w:spacing w:before="0" w:after="0" w:line="276" w:lineRule="auto"/>
              <w:jc w:val="left"/>
            </w:pPr>
            <w:r/>
            <w:r>
              <w:rPr>
                <w:rFonts w:ascii="宋体" w:hAnsi="宋体" w:eastAsia="宋体"/>
                <w:b w:val="0"/>
                <w:sz w:val="20"/>
              </w:rPr>
              <w:t>用于浏览器端实时消息推送，适合告警弹窗、数字更新和状态广播。</w:t>
            </w:r>
          </w:p>
        </w:tc>
      </w:tr>
      <w:tr>
        <w:tc>
          <w:tcPr>
            <w:tcW w:type="dxa" w:w="1247"/>
            <w:vAlign w:val="center"/>
          </w:tcPr>
          <w:p>
            <w:pPr>
              <w:spacing w:before="0" w:after="0" w:line="276" w:lineRule="auto"/>
              <w:jc w:val="left"/>
            </w:pPr>
            <w:r/>
            <w:r>
              <w:rPr>
                <w:rFonts w:ascii="宋体" w:hAnsi="宋体" w:eastAsia="宋体"/>
                <w:b w:val="0"/>
                <w:sz w:val="20"/>
              </w:rPr>
              <w:t>任务调度</w:t>
            </w:r>
          </w:p>
        </w:tc>
        <w:tc>
          <w:tcPr>
            <w:tcW w:type="dxa" w:w="2721"/>
            <w:vAlign w:val="center"/>
          </w:tcPr>
          <w:p>
            <w:pPr>
              <w:spacing w:before="0" w:after="0" w:line="276" w:lineRule="auto"/>
              <w:jc w:val="left"/>
            </w:pPr>
            <w:r/>
            <w:r>
              <w:rPr>
                <w:rFonts w:ascii="宋体" w:hAnsi="宋体" w:eastAsia="宋体"/>
                <w:b w:val="0"/>
                <w:sz w:val="20"/>
              </w:rPr>
              <w:t>Spring Scheduled / Quartz</w:t>
            </w:r>
          </w:p>
        </w:tc>
        <w:tc>
          <w:tcPr>
            <w:tcW w:type="dxa" w:w="1984"/>
            <w:vAlign w:val="center"/>
          </w:tcPr>
          <w:p>
            <w:pPr>
              <w:spacing w:before="0" w:after="0" w:line="276" w:lineRule="auto"/>
              <w:jc w:val="left"/>
            </w:pPr>
            <w:r/>
            <w:r>
              <w:rPr>
                <w:rFonts w:ascii="宋体" w:hAnsi="宋体" w:eastAsia="宋体"/>
                <w:b w:val="0"/>
                <w:sz w:val="20"/>
              </w:rPr>
              <w:t>定时报表、定时统计、历史归档</w:t>
            </w:r>
          </w:p>
        </w:tc>
        <w:tc>
          <w:tcPr>
            <w:tcW w:type="dxa" w:w="3458"/>
            <w:vAlign w:val="center"/>
          </w:tcPr>
          <w:p>
            <w:pPr>
              <w:spacing w:before="0" w:after="0" w:line="276" w:lineRule="auto"/>
              <w:jc w:val="left"/>
            </w:pPr>
            <w:r/>
            <w:r>
              <w:rPr>
                <w:rFonts w:ascii="宋体" w:hAnsi="宋体" w:eastAsia="宋体"/>
                <w:b w:val="0"/>
                <w:sz w:val="20"/>
              </w:rPr>
              <w:t>轻量任务可用 Scheduled，复杂任务编排再考虑 Quartz。</w:t>
            </w:r>
          </w:p>
        </w:tc>
      </w:tr>
      <w:tr>
        <w:tc>
          <w:tcPr>
            <w:tcW w:type="dxa" w:w="1247"/>
            <w:vAlign w:val="center"/>
          </w:tcPr>
          <w:p>
            <w:pPr>
              <w:spacing w:before="0" w:after="0" w:line="276" w:lineRule="auto"/>
              <w:jc w:val="left"/>
            </w:pPr>
            <w:r/>
            <w:r>
              <w:rPr>
                <w:rFonts w:ascii="宋体" w:hAnsi="宋体" w:eastAsia="宋体"/>
                <w:b w:val="0"/>
                <w:sz w:val="20"/>
              </w:rPr>
              <w:t>接口文档</w:t>
            </w:r>
          </w:p>
        </w:tc>
        <w:tc>
          <w:tcPr>
            <w:tcW w:type="dxa" w:w="2721"/>
            <w:vAlign w:val="center"/>
          </w:tcPr>
          <w:p>
            <w:pPr>
              <w:spacing w:before="0" w:after="0" w:line="276" w:lineRule="auto"/>
              <w:jc w:val="left"/>
            </w:pPr>
            <w:r/>
            <w:r>
              <w:rPr>
                <w:rFonts w:ascii="宋体" w:hAnsi="宋体" w:eastAsia="宋体"/>
                <w:b w:val="0"/>
                <w:sz w:val="20"/>
              </w:rPr>
              <w:t>OpenAPI/Knife4j</w:t>
            </w:r>
          </w:p>
        </w:tc>
        <w:tc>
          <w:tcPr>
            <w:tcW w:type="dxa" w:w="1984"/>
            <w:vAlign w:val="center"/>
          </w:tcPr>
          <w:p>
            <w:pPr>
              <w:spacing w:before="0" w:after="0" w:line="276" w:lineRule="auto"/>
              <w:jc w:val="center"/>
            </w:pPr>
            <w:r/>
            <w:r>
              <w:rPr>
                <w:rFonts w:ascii="宋体" w:hAnsi="宋体" w:eastAsia="宋体"/>
                <w:b w:val="0"/>
                <w:sz w:val="20"/>
              </w:rPr>
              <w:t>接口文档与联调</w:t>
            </w:r>
          </w:p>
        </w:tc>
        <w:tc>
          <w:tcPr>
            <w:tcW w:type="dxa" w:w="3458"/>
            <w:vAlign w:val="center"/>
          </w:tcPr>
          <w:p>
            <w:pPr>
              <w:spacing w:before="0" w:after="0" w:line="276" w:lineRule="auto"/>
              <w:jc w:val="left"/>
            </w:pPr>
            <w:r/>
            <w:r>
              <w:rPr>
                <w:rFonts w:ascii="宋体" w:hAnsi="宋体" w:eastAsia="宋体"/>
                <w:b w:val="0"/>
                <w:sz w:val="20"/>
              </w:rPr>
              <w:t>统一输出接口说明，便于前后端并行开发。</w:t>
            </w:r>
          </w:p>
        </w:tc>
      </w:tr>
      <w:tr>
        <w:tc>
          <w:tcPr>
            <w:tcW w:type="dxa" w:w="1247"/>
            <w:vAlign w:val="center"/>
          </w:tcPr>
          <w:p>
            <w:pPr>
              <w:spacing w:before="0" w:after="0" w:line="276" w:lineRule="auto"/>
              <w:jc w:val="left"/>
            </w:pPr>
            <w:r/>
            <w:r>
              <w:rPr>
                <w:rFonts w:ascii="宋体" w:hAnsi="宋体" w:eastAsia="宋体"/>
                <w:b w:val="0"/>
                <w:sz w:val="20"/>
              </w:rPr>
              <w:t>开发便捷</w:t>
            </w:r>
          </w:p>
        </w:tc>
        <w:tc>
          <w:tcPr>
            <w:tcW w:type="dxa" w:w="2721"/>
            <w:vAlign w:val="center"/>
          </w:tcPr>
          <w:p>
            <w:pPr>
              <w:spacing w:before="0" w:after="0" w:line="276" w:lineRule="auto"/>
              <w:jc w:val="center"/>
            </w:pPr>
            <w:r/>
            <w:r>
              <w:rPr>
                <w:rFonts w:ascii="宋体" w:hAnsi="宋体" w:eastAsia="宋体"/>
                <w:b w:val="0"/>
                <w:sz w:val="20"/>
              </w:rPr>
              <w:t>Lombok</w:t>
            </w:r>
          </w:p>
        </w:tc>
        <w:tc>
          <w:tcPr>
            <w:tcW w:type="dxa" w:w="1984"/>
            <w:vAlign w:val="center"/>
          </w:tcPr>
          <w:p>
            <w:pPr>
              <w:spacing w:before="0" w:after="0" w:line="276" w:lineRule="auto"/>
              <w:jc w:val="center"/>
            </w:pPr>
            <w:r/>
            <w:r>
              <w:rPr>
                <w:rFonts w:ascii="宋体" w:hAnsi="宋体" w:eastAsia="宋体"/>
                <w:b w:val="0"/>
                <w:sz w:val="20"/>
              </w:rPr>
              <w:t>减少样板代码</w:t>
            </w:r>
          </w:p>
        </w:tc>
        <w:tc>
          <w:tcPr>
            <w:tcW w:type="dxa" w:w="3458"/>
            <w:vAlign w:val="center"/>
          </w:tcPr>
          <w:p>
            <w:pPr>
              <w:spacing w:before="0" w:after="0" w:line="276" w:lineRule="auto"/>
              <w:jc w:val="left"/>
            </w:pPr>
            <w:r/>
            <w:r>
              <w:rPr>
                <w:rFonts w:ascii="宋体" w:hAnsi="宋体" w:eastAsia="宋体"/>
                <w:b w:val="0"/>
                <w:sz w:val="20"/>
              </w:rPr>
              <w:t>仅用于实体、DTO、VO 等数据结构类，服务逻辑不依赖 Lombok 魔法行为。</w:t>
            </w:r>
          </w:p>
        </w:tc>
      </w:tr>
      <w:tr>
        <w:tc>
          <w:tcPr>
            <w:tcW w:type="dxa" w:w="1247"/>
            <w:vAlign w:val="center"/>
          </w:tcPr>
          <w:p>
            <w:pPr>
              <w:spacing w:before="0" w:after="0" w:line="276" w:lineRule="auto"/>
              <w:jc w:val="left"/>
            </w:pPr>
            <w:r/>
            <w:r>
              <w:rPr>
                <w:rFonts w:ascii="宋体" w:hAnsi="宋体" w:eastAsia="宋体"/>
                <w:b w:val="0"/>
                <w:sz w:val="20"/>
              </w:rPr>
              <w:t>日志体系</w:t>
            </w:r>
          </w:p>
        </w:tc>
        <w:tc>
          <w:tcPr>
            <w:tcW w:type="dxa" w:w="2721"/>
            <w:vAlign w:val="center"/>
          </w:tcPr>
          <w:p>
            <w:pPr>
              <w:spacing w:before="0" w:after="0" w:line="276" w:lineRule="auto"/>
              <w:jc w:val="left"/>
            </w:pPr>
            <w:r/>
            <w:r>
              <w:rPr>
                <w:rFonts w:ascii="宋体" w:hAnsi="宋体" w:eastAsia="宋体"/>
                <w:b w:val="0"/>
                <w:sz w:val="20"/>
              </w:rPr>
              <w:t>Logback + 操作审计表</w:t>
            </w:r>
          </w:p>
        </w:tc>
        <w:tc>
          <w:tcPr>
            <w:tcW w:type="dxa" w:w="1984"/>
            <w:vAlign w:val="center"/>
          </w:tcPr>
          <w:p>
            <w:pPr>
              <w:spacing w:before="0" w:after="0" w:line="276" w:lineRule="auto"/>
              <w:jc w:val="center"/>
            </w:pPr>
            <w:r/>
            <w:r>
              <w:rPr>
                <w:rFonts w:ascii="宋体" w:hAnsi="宋体" w:eastAsia="宋体"/>
                <w:b w:val="0"/>
                <w:sz w:val="20"/>
              </w:rPr>
              <w:t>运行日志与业务审计</w:t>
            </w:r>
          </w:p>
        </w:tc>
        <w:tc>
          <w:tcPr>
            <w:tcW w:type="dxa" w:w="3458"/>
            <w:vAlign w:val="center"/>
          </w:tcPr>
          <w:p>
            <w:pPr>
              <w:spacing w:before="0" w:after="0" w:line="276" w:lineRule="auto"/>
              <w:jc w:val="left"/>
            </w:pPr>
            <w:r/>
            <w:r>
              <w:rPr>
                <w:rFonts w:ascii="宋体" w:hAnsi="宋体" w:eastAsia="宋体"/>
                <w:b w:val="0"/>
                <w:sz w:val="20"/>
              </w:rPr>
              <w:t>系统日志写文件，关键业务操作写审计表，便于追踪。</w:t>
            </w:r>
          </w:p>
        </w:tc>
      </w:tr>
    </w:tbl>
    <w:p>
      <w:pPr>
        <w:spacing w:after="80"/>
      </w:pPr>
    </w:p>
    <w:p>
      <w:pPr>
        <w:pStyle w:val="Heading3"/>
        <w:spacing w:before="100" w:after="80"/>
      </w:pPr>
      <w:r>
        <w:rPr>
          <w:rFonts w:ascii="宋体" w:hAnsi="宋体" w:eastAsia="宋体"/>
          <w:b/>
          <w:color w:val="373737"/>
          <w:sz w:val="26"/>
        </w:rPr>
        <w:t>B.2.1 后端主键 ID 与业务编码生成方案</w:t>
      </w:r>
    </w:p>
    <w:p>
      <w:pPr>
        <w:spacing w:before="0" w:after="80" w:line="348" w:lineRule="auto"/>
        <w:ind w:firstLine="420"/>
      </w:pPr>
      <w:r>
        <w:rPr>
          <w:rFonts w:ascii="宋体" w:hAnsi="宋体" w:eastAsia="宋体"/>
          <w:b w:val="0"/>
          <w:sz w:val="22"/>
        </w:rPr>
        <w:t>对于“数据库的 ID 使用什么组件库生成”这个问题，建议将“数据库主键 ID”和“业务编码”分开设计。主键 ID 解决唯一性和关联性，业务编码解决人可读与业务追踪，二者不要混用。</w:t>
      </w:r>
    </w:p>
    <w:p>
      <w:pPr>
        <w:spacing w:before="80" w:after="40" w:line="348" w:lineRule="auto"/>
      </w:pPr>
      <w:r>
        <w:rPr>
          <w:rFonts w:ascii="宋体" w:hAnsi="宋体" w:eastAsia="宋体"/>
          <w:b w:val="0"/>
          <w:sz w:val="22"/>
        </w:rPr>
        <w:t>表B-4 主键 ID 与业务编码建议</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701"/>
            <w:vAlign w:val="center"/>
            <w:shd w:fill="D9EAF7"/>
          </w:tcPr>
          <w:p>
            <w:pPr>
              <w:spacing w:before="0" w:after="0" w:line="276" w:lineRule="auto"/>
              <w:jc w:val="center"/>
            </w:pPr>
            <w:r/>
            <w:r>
              <w:rPr>
                <w:rFonts w:ascii="宋体" w:hAnsi="宋体" w:eastAsia="宋体"/>
                <w:b/>
                <w:sz w:val="20"/>
              </w:rPr>
              <w:t>对象类型</w:t>
            </w:r>
          </w:p>
        </w:tc>
        <w:tc>
          <w:tcPr>
            <w:tcW w:type="dxa" w:w="1984"/>
            <w:vAlign w:val="center"/>
            <w:shd w:fill="D9EAF7"/>
          </w:tcPr>
          <w:p>
            <w:pPr>
              <w:spacing w:before="0" w:after="0" w:line="276" w:lineRule="auto"/>
              <w:jc w:val="center"/>
            </w:pPr>
            <w:r/>
            <w:r>
              <w:rPr>
                <w:rFonts w:ascii="宋体" w:hAnsi="宋体" w:eastAsia="宋体"/>
                <w:b/>
                <w:sz w:val="20"/>
              </w:rPr>
              <w:t>推荐生成方式</w:t>
            </w:r>
          </w:p>
        </w:tc>
        <w:tc>
          <w:tcPr>
            <w:tcW w:type="dxa" w:w="2721"/>
            <w:vAlign w:val="center"/>
            <w:shd w:fill="D9EAF7"/>
          </w:tcPr>
          <w:p>
            <w:pPr>
              <w:spacing w:before="0" w:after="0" w:line="276" w:lineRule="auto"/>
              <w:jc w:val="center"/>
            </w:pPr>
            <w:r/>
            <w:r>
              <w:rPr>
                <w:rFonts w:ascii="宋体" w:hAnsi="宋体" w:eastAsia="宋体"/>
                <w:b/>
                <w:sz w:val="20"/>
              </w:rPr>
              <w:t>推荐组件/机制</w:t>
            </w:r>
          </w:p>
        </w:tc>
        <w:tc>
          <w:tcPr>
            <w:tcW w:type="dxa" w:w="3231"/>
            <w:vAlign w:val="center"/>
            <w:shd w:fill="D9EAF7"/>
          </w:tcPr>
          <w:p>
            <w:pPr>
              <w:spacing w:before="0" w:after="0" w:line="276" w:lineRule="auto"/>
              <w:jc w:val="center"/>
            </w:pPr>
            <w:r/>
            <w:r>
              <w:rPr>
                <w:rFonts w:ascii="宋体" w:hAnsi="宋体" w:eastAsia="宋体"/>
                <w:b/>
                <w:sz w:val="20"/>
              </w:rPr>
              <w:t>说明</w:t>
            </w:r>
          </w:p>
        </w:tc>
      </w:tr>
      <w:tr>
        <w:tc>
          <w:tcPr>
            <w:tcW w:type="dxa" w:w="1701"/>
            <w:vAlign w:val="center"/>
          </w:tcPr>
          <w:p>
            <w:pPr>
              <w:spacing w:before="0" w:after="0" w:line="276" w:lineRule="auto"/>
              <w:jc w:val="left"/>
            </w:pPr>
            <w:r/>
            <w:r>
              <w:rPr>
                <w:rFonts w:ascii="宋体" w:hAnsi="宋体" w:eastAsia="宋体"/>
                <w:b w:val="0"/>
                <w:sz w:val="20"/>
              </w:rPr>
              <w:t>数据库主键 ID</w:t>
            </w:r>
          </w:p>
        </w:tc>
        <w:tc>
          <w:tcPr>
            <w:tcW w:type="dxa" w:w="1984"/>
            <w:vAlign w:val="center"/>
          </w:tcPr>
          <w:p>
            <w:pPr>
              <w:spacing w:before="0" w:after="0" w:line="276" w:lineRule="auto"/>
              <w:jc w:val="center"/>
            </w:pPr>
            <w:r/>
            <w:r>
              <w:rPr>
                <w:rFonts w:ascii="宋体" w:hAnsi="宋体" w:eastAsia="宋体"/>
                <w:b w:val="0"/>
                <w:sz w:val="20"/>
              </w:rPr>
              <w:t>Long 型雪花主键</w:t>
            </w:r>
          </w:p>
        </w:tc>
        <w:tc>
          <w:tcPr>
            <w:tcW w:type="dxa" w:w="2721"/>
            <w:vAlign w:val="center"/>
          </w:tcPr>
          <w:p>
            <w:pPr>
              <w:spacing w:before="0" w:after="0" w:line="276" w:lineRule="auto"/>
              <w:jc w:val="left"/>
            </w:pPr>
            <w:r/>
            <w:r>
              <w:rPr>
                <w:rFonts w:ascii="宋体" w:hAnsi="宋体" w:eastAsia="宋体"/>
                <w:b w:val="0"/>
                <w:sz w:val="20"/>
              </w:rPr>
              <w:t>MyBatis-Plus @TableId(type = IdType.ASSIGN_ID)</w:t>
            </w:r>
          </w:p>
        </w:tc>
        <w:tc>
          <w:tcPr>
            <w:tcW w:type="dxa" w:w="3231"/>
            <w:vAlign w:val="center"/>
          </w:tcPr>
          <w:p>
            <w:pPr>
              <w:spacing w:before="0" w:after="0" w:line="276" w:lineRule="auto"/>
              <w:jc w:val="left"/>
            </w:pPr>
            <w:r/>
            <w:r>
              <w:rPr>
                <w:rFonts w:ascii="宋体" w:hAnsi="宋体" w:eastAsia="宋体"/>
                <w:b w:val="0"/>
                <w:sz w:val="20"/>
              </w:rPr>
              <w:t>适合大多数业务表，默认即可满足分布式唯一 ID 需求，避免数据库自增 ID 在分库分表或离线导入时冲突。</w:t>
            </w:r>
          </w:p>
        </w:tc>
      </w:tr>
      <w:tr>
        <w:tc>
          <w:tcPr>
            <w:tcW w:type="dxa" w:w="1701"/>
            <w:vAlign w:val="center"/>
          </w:tcPr>
          <w:p>
            <w:pPr>
              <w:spacing w:before="0" w:after="0" w:line="276" w:lineRule="auto"/>
              <w:jc w:val="left"/>
            </w:pPr>
            <w:r/>
            <w:r>
              <w:rPr>
                <w:rFonts w:ascii="宋体" w:hAnsi="宋体" w:eastAsia="宋体"/>
                <w:b w:val="0"/>
                <w:sz w:val="20"/>
              </w:rPr>
              <w:t>字符串主键</w:t>
            </w:r>
          </w:p>
        </w:tc>
        <w:tc>
          <w:tcPr>
            <w:tcW w:type="dxa" w:w="1984"/>
            <w:vAlign w:val="center"/>
          </w:tcPr>
          <w:p>
            <w:pPr>
              <w:spacing w:before="0" w:after="0" w:line="276" w:lineRule="auto"/>
              <w:jc w:val="center"/>
            </w:pPr>
            <w:r/>
            <w:r>
              <w:rPr>
                <w:rFonts w:ascii="宋体" w:hAnsi="宋体" w:eastAsia="宋体"/>
                <w:b w:val="0"/>
                <w:sz w:val="20"/>
              </w:rPr>
              <w:t>UUID</w:t>
            </w:r>
          </w:p>
        </w:tc>
        <w:tc>
          <w:tcPr>
            <w:tcW w:type="dxa" w:w="2721"/>
            <w:vAlign w:val="center"/>
          </w:tcPr>
          <w:p>
            <w:pPr>
              <w:spacing w:before="0" w:after="0" w:line="276" w:lineRule="auto"/>
              <w:jc w:val="left"/>
            </w:pPr>
            <w:r/>
            <w:r>
              <w:rPr>
                <w:rFonts w:ascii="宋体" w:hAnsi="宋体" w:eastAsia="宋体"/>
                <w:b w:val="0"/>
                <w:sz w:val="20"/>
              </w:rPr>
              <w:t>MyBatis-Plus ASSIGN_UUID 或 Java UUID</w:t>
            </w:r>
          </w:p>
        </w:tc>
        <w:tc>
          <w:tcPr>
            <w:tcW w:type="dxa" w:w="3231"/>
            <w:vAlign w:val="center"/>
          </w:tcPr>
          <w:p>
            <w:pPr>
              <w:spacing w:before="0" w:after="0" w:line="276" w:lineRule="auto"/>
              <w:jc w:val="left"/>
            </w:pPr>
            <w:r/>
            <w:r>
              <w:rPr>
                <w:rFonts w:ascii="宋体" w:hAnsi="宋体" w:eastAsia="宋体"/>
                <w:b w:val="0"/>
                <w:sz w:val="20"/>
              </w:rPr>
              <w:t>适合附件、临时令牌、导入批次号等无需排序且人可读性要求低的对象。</w:t>
            </w:r>
          </w:p>
        </w:tc>
      </w:tr>
      <w:tr>
        <w:tc>
          <w:tcPr>
            <w:tcW w:type="dxa" w:w="1701"/>
            <w:vAlign w:val="center"/>
          </w:tcPr>
          <w:p>
            <w:pPr>
              <w:spacing w:before="0" w:after="0" w:line="276" w:lineRule="auto"/>
              <w:jc w:val="left"/>
            </w:pPr>
            <w:r/>
            <w:r>
              <w:rPr>
                <w:rFonts w:ascii="宋体" w:hAnsi="宋体" w:eastAsia="宋体"/>
                <w:b w:val="0"/>
                <w:sz w:val="20"/>
              </w:rPr>
              <w:t>工单编号</w:t>
            </w:r>
          </w:p>
        </w:tc>
        <w:tc>
          <w:tcPr>
            <w:tcW w:type="dxa" w:w="1984"/>
            <w:vAlign w:val="center"/>
          </w:tcPr>
          <w:p>
            <w:pPr>
              <w:spacing w:before="0" w:after="0" w:line="276" w:lineRule="auto"/>
              <w:jc w:val="center"/>
            </w:pPr>
            <w:r/>
            <w:r>
              <w:rPr>
                <w:rFonts w:ascii="宋体" w:hAnsi="宋体" w:eastAsia="宋体"/>
                <w:b w:val="0"/>
                <w:sz w:val="20"/>
              </w:rPr>
              <w:t>业务编码规则</w:t>
            </w:r>
          </w:p>
        </w:tc>
        <w:tc>
          <w:tcPr>
            <w:tcW w:type="dxa" w:w="2721"/>
            <w:vAlign w:val="center"/>
          </w:tcPr>
          <w:p>
            <w:pPr>
              <w:spacing w:before="0" w:after="0" w:line="276" w:lineRule="auto"/>
              <w:jc w:val="center"/>
            </w:pPr>
            <w:r/>
            <w:r>
              <w:rPr>
                <w:rFonts w:ascii="宋体" w:hAnsi="宋体" w:eastAsia="宋体"/>
                <w:b w:val="0"/>
                <w:sz w:val="20"/>
              </w:rPr>
              <w:t>自定义编码服务</w:t>
            </w:r>
          </w:p>
        </w:tc>
        <w:tc>
          <w:tcPr>
            <w:tcW w:type="dxa" w:w="3231"/>
            <w:vAlign w:val="center"/>
          </w:tcPr>
          <w:p>
            <w:pPr>
              <w:spacing w:before="0" w:after="0" w:line="276" w:lineRule="auto"/>
              <w:jc w:val="left"/>
            </w:pPr>
            <w:r/>
            <w:r>
              <w:rPr>
                <w:rFonts w:ascii="宋体" w:hAnsi="宋体" w:eastAsia="宋体"/>
                <w:b w:val="0"/>
                <w:sz w:val="20"/>
              </w:rPr>
              <w:t>例如 GDXT-20260327-0001，便于人工沟通和现场追踪，不能直接拿主键 ID 替代。</w:t>
            </w:r>
          </w:p>
        </w:tc>
      </w:tr>
      <w:tr>
        <w:tc>
          <w:tcPr>
            <w:tcW w:type="dxa" w:w="1701"/>
            <w:vAlign w:val="center"/>
          </w:tcPr>
          <w:p>
            <w:pPr>
              <w:spacing w:before="0" w:after="0" w:line="276" w:lineRule="auto"/>
              <w:jc w:val="left"/>
            </w:pPr>
            <w:r/>
            <w:r>
              <w:rPr>
                <w:rFonts w:ascii="宋体" w:hAnsi="宋体" w:eastAsia="宋体"/>
                <w:b w:val="0"/>
                <w:sz w:val="20"/>
              </w:rPr>
              <w:t>告警编号</w:t>
            </w:r>
          </w:p>
        </w:tc>
        <w:tc>
          <w:tcPr>
            <w:tcW w:type="dxa" w:w="1984"/>
            <w:vAlign w:val="center"/>
          </w:tcPr>
          <w:p>
            <w:pPr>
              <w:spacing w:before="0" w:after="0" w:line="276" w:lineRule="auto"/>
              <w:jc w:val="center"/>
            </w:pPr>
            <w:r/>
            <w:r>
              <w:rPr>
                <w:rFonts w:ascii="宋体" w:hAnsi="宋体" w:eastAsia="宋体"/>
                <w:b w:val="0"/>
                <w:sz w:val="20"/>
              </w:rPr>
              <w:t>业务编码规则</w:t>
            </w:r>
          </w:p>
        </w:tc>
        <w:tc>
          <w:tcPr>
            <w:tcW w:type="dxa" w:w="2721"/>
            <w:vAlign w:val="center"/>
          </w:tcPr>
          <w:p>
            <w:pPr>
              <w:spacing w:before="0" w:after="0" w:line="276" w:lineRule="auto"/>
              <w:jc w:val="center"/>
            </w:pPr>
            <w:r/>
            <w:r>
              <w:rPr>
                <w:rFonts w:ascii="宋体" w:hAnsi="宋体" w:eastAsia="宋体"/>
                <w:b w:val="0"/>
                <w:sz w:val="20"/>
              </w:rPr>
              <w:t>自定义编码服务</w:t>
            </w:r>
          </w:p>
        </w:tc>
        <w:tc>
          <w:tcPr>
            <w:tcW w:type="dxa" w:w="3231"/>
            <w:vAlign w:val="center"/>
          </w:tcPr>
          <w:p>
            <w:pPr>
              <w:spacing w:before="0" w:after="0" w:line="276" w:lineRule="auto"/>
              <w:jc w:val="left"/>
            </w:pPr>
            <w:r/>
            <w:r>
              <w:rPr>
                <w:rFonts w:ascii="宋体" w:hAnsi="宋体" w:eastAsia="宋体"/>
                <w:b w:val="0"/>
                <w:sz w:val="20"/>
              </w:rPr>
              <w:t>建议带日期、区域、等级等片段，方便运营人员检索。</w:t>
            </w:r>
          </w:p>
        </w:tc>
      </w:tr>
      <w:tr>
        <w:tc>
          <w:tcPr>
            <w:tcW w:type="dxa" w:w="1701"/>
            <w:vAlign w:val="center"/>
          </w:tcPr>
          <w:p>
            <w:pPr>
              <w:spacing w:before="0" w:after="0" w:line="276" w:lineRule="auto"/>
              <w:jc w:val="left"/>
            </w:pPr>
            <w:r/>
            <w:r>
              <w:rPr>
                <w:rFonts w:ascii="宋体" w:hAnsi="宋体" w:eastAsia="宋体"/>
                <w:b w:val="0"/>
                <w:sz w:val="20"/>
              </w:rPr>
              <w:t>资产统一编码</w:t>
            </w:r>
          </w:p>
        </w:tc>
        <w:tc>
          <w:tcPr>
            <w:tcW w:type="dxa" w:w="1984"/>
            <w:vAlign w:val="center"/>
          </w:tcPr>
          <w:p>
            <w:pPr>
              <w:spacing w:before="0" w:after="0" w:line="276" w:lineRule="auto"/>
              <w:jc w:val="center"/>
            </w:pPr>
            <w:r/>
            <w:r>
              <w:rPr>
                <w:rFonts w:ascii="宋体" w:hAnsi="宋体" w:eastAsia="宋体"/>
                <w:b w:val="0"/>
                <w:sz w:val="20"/>
              </w:rPr>
              <w:t>主数据编码规则</w:t>
            </w:r>
          </w:p>
        </w:tc>
        <w:tc>
          <w:tcPr>
            <w:tcW w:type="dxa" w:w="2721"/>
            <w:vAlign w:val="center"/>
          </w:tcPr>
          <w:p>
            <w:pPr>
              <w:spacing w:before="0" w:after="0" w:line="276" w:lineRule="auto"/>
              <w:jc w:val="center"/>
            </w:pPr>
            <w:r/>
            <w:r>
              <w:rPr>
                <w:rFonts w:ascii="宋体" w:hAnsi="宋体" w:eastAsia="宋体"/>
                <w:b w:val="0"/>
                <w:sz w:val="20"/>
              </w:rPr>
              <w:t>编码规则表 + 生成器</w:t>
            </w:r>
          </w:p>
        </w:tc>
        <w:tc>
          <w:tcPr>
            <w:tcW w:type="dxa" w:w="3231"/>
            <w:vAlign w:val="center"/>
          </w:tcPr>
          <w:p>
            <w:pPr>
              <w:spacing w:before="0" w:after="0" w:line="276" w:lineRule="auto"/>
              <w:jc w:val="left"/>
            </w:pPr>
            <w:r/>
            <w:r>
              <w:rPr>
                <w:rFonts w:ascii="宋体" w:hAnsi="宋体" w:eastAsia="宋体"/>
                <w:b w:val="0"/>
                <w:sz w:val="20"/>
              </w:rPr>
              <w:t>按“区域-类别-层级-流水号”生成，用于管段、节点、井室等对象。</w:t>
            </w:r>
          </w:p>
        </w:tc>
      </w:tr>
    </w:tbl>
    <w:p>
      <w:pPr>
        <w:spacing w:after="80"/>
      </w:pPr>
    </w:p>
    <w:p>
      <w:pPr>
        <w:spacing w:before="0" w:after="80" w:line="348" w:lineRule="auto"/>
        <w:ind w:firstLine="420"/>
      </w:pPr>
      <w:r>
        <w:rPr>
          <w:rFonts w:ascii="宋体" w:hAnsi="宋体" w:eastAsia="宋体"/>
          <w:b w:val="0"/>
          <w:sz w:val="22"/>
        </w:rPr>
        <w:t>落地上建议在业务实体类中统一使用 Long 主键，并在关键表中直接采用 MyBatis-Plus 的 ASSIGN_ID。对于工单号、告警号、资产编码，则通过独立的编码生成服务统一生成，这样既保证数据库关联高效，也保证现场使用时编码可读。</w:t>
      </w:r>
    </w:p>
    <w:p>
      <w:pPr>
        <w:pStyle w:val="Heading3"/>
        <w:spacing w:before="100" w:after="80"/>
      </w:pPr>
      <w:r>
        <w:rPr>
          <w:rFonts w:ascii="宋体" w:hAnsi="宋体" w:eastAsia="宋体"/>
          <w:b/>
          <w:color w:val="373737"/>
          <w:sz w:val="26"/>
        </w:rPr>
        <w:t>B.2.2 后端模块实现建议</w:t>
      </w:r>
    </w:p>
    <w:p>
      <w:pPr>
        <w:spacing w:before="80" w:after="40" w:line="348" w:lineRule="auto"/>
      </w:pPr>
      <w:r>
        <w:rPr>
          <w:rFonts w:ascii="宋体" w:hAnsi="宋体" w:eastAsia="宋体"/>
          <w:b w:val="0"/>
          <w:sz w:val="22"/>
        </w:rPr>
        <w:t>表B-5 后端模块与职责建议</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304"/>
            <w:vAlign w:val="center"/>
            <w:shd w:fill="D9EAF7"/>
          </w:tcPr>
          <w:p>
            <w:pPr>
              <w:spacing w:before="0" w:after="0" w:line="276" w:lineRule="auto"/>
              <w:jc w:val="center"/>
            </w:pPr>
            <w:r/>
            <w:r>
              <w:rPr>
                <w:rFonts w:ascii="宋体" w:hAnsi="宋体" w:eastAsia="宋体"/>
                <w:b/>
                <w:sz w:val="20"/>
              </w:rPr>
              <w:t>模块名</w:t>
            </w:r>
          </w:p>
        </w:tc>
        <w:tc>
          <w:tcPr>
            <w:tcW w:type="dxa" w:w="3402"/>
            <w:vAlign w:val="center"/>
            <w:shd w:fill="D9EAF7"/>
          </w:tcPr>
          <w:p>
            <w:pPr>
              <w:spacing w:before="0" w:after="0" w:line="276" w:lineRule="auto"/>
              <w:jc w:val="center"/>
            </w:pPr>
            <w:r/>
            <w:r>
              <w:rPr>
                <w:rFonts w:ascii="宋体" w:hAnsi="宋体" w:eastAsia="宋体"/>
                <w:b/>
                <w:sz w:val="20"/>
              </w:rPr>
              <w:t>主要职责</w:t>
            </w:r>
          </w:p>
        </w:tc>
        <w:tc>
          <w:tcPr>
            <w:tcW w:type="dxa" w:w="3231"/>
            <w:vAlign w:val="center"/>
            <w:shd w:fill="D9EAF7"/>
          </w:tcPr>
          <w:p>
            <w:pPr>
              <w:spacing w:before="0" w:after="0" w:line="276" w:lineRule="auto"/>
              <w:jc w:val="center"/>
            </w:pPr>
            <w:r/>
            <w:r>
              <w:rPr>
                <w:rFonts w:ascii="宋体" w:hAnsi="宋体" w:eastAsia="宋体"/>
                <w:b/>
                <w:sz w:val="20"/>
              </w:rPr>
              <w:t>典型接口/能力</w:t>
            </w:r>
          </w:p>
        </w:tc>
      </w:tr>
      <w:tr>
        <w:tc>
          <w:tcPr>
            <w:tcW w:type="dxa" w:w="1304"/>
            <w:vAlign w:val="center"/>
          </w:tcPr>
          <w:p>
            <w:pPr>
              <w:spacing w:before="0" w:after="0" w:line="276" w:lineRule="auto"/>
              <w:jc w:val="left"/>
            </w:pPr>
            <w:r/>
            <w:r>
              <w:rPr>
                <w:rFonts w:ascii="宋体" w:hAnsi="宋体" w:eastAsia="宋体"/>
                <w:b w:val="0"/>
                <w:sz w:val="20"/>
              </w:rPr>
              <w:t>auth</w:t>
            </w:r>
          </w:p>
        </w:tc>
        <w:tc>
          <w:tcPr>
            <w:tcW w:type="dxa" w:w="3402"/>
            <w:vAlign w:val="center"/>
          </w:tcPr>
          <w:p>
            <w:pPr>
              <w:spacing w:before="0" w:after="0" w:line="276" w:lineRule="auto"/>
              <w:jc w:val="left"/>
            </w:pPr>
            <w:r/>
            <w:r>
              <w:rPr>
                <w:rFonts w:ascii="宋体" w:hAnsi="宋体" w:eastAsia="宋体"/>
                <w:b w:val="0"/>
                <w:sz w:val="20"/>
              </w:rPr>
              <w:t>登录、登出、Token 签发、角色鉴权</w:t>
            </w:r>
          </w:p>
        </w:tc>
        <w:tc>
          <w:tcPr>
            <w:tcW w:type="dxa" w:w="3231"/>
            <w:vAlign w:val="center"/>
          </w:tcPr>
          <w:p>
            <w:pPr>
              <w:spacing w:before="0" w:after="0" w:line="276" w:lineRule="auto"/>
              <w:jc w:val="left"/>
            </w:pPr>
            <w:r/>
            <w:r>
              <w:rPr>
                <w:rFonts w:ascii="宋体" w:hAnsi="宋体" w:eastAsia="宋体"/>
                <w:b w:val="0"/>
                <w:sz w:val="20"/>
              </w:rPr>
              <w:t>登录接口、刷新 Token、当前用户信息、菜单权限加载</w:t>
            </w:r>
          </w:p>
        </w:tc>
      </w:tr>
      <w:tr>
        <w:tc>
          <w:tcPr>
            <w:tcW w:type="dxa" w:w="1304"/>
            <w:vAlign w:val="center"/>
          </w:tcPr>
          <w:p>
            <w:pPr>
              <w:spacing w:before="0" w:after="0" w:line="276" w:lineRule="auto"/>
              <w:jc w:val="left"/>
            </w:pPr>
            <w:r/>
            <w:r>
              <w:rPr>
                <w:rFonts w:ascii="宋体" w:hAnsi="宋体" w:eastAsia="宋体"/>
                <w:b w:val="0"/>
                <w:sz w:val="20"/>
              </w:rPr>
              <w:t>system</w:t>
            </w:r>
          </w:p>
        </w:tc>
        <w:tc>
          <w:tcPr>
            <w:tcW w:type="dxa" w:w="3402"/>
            <w:vAlign w:val="center"/>
          </w:tcPr>
          <w:p>
            <w:pPr>
              <w:spacing w:before="0" w:after="0" w:line="276" w:lineRule="auto"/>
              <w:jc w:val="left"/>
            </w:pPr>
            <w:r/>
            <w:r>
              <w:rPr>
                <w:rFonts w:ascii="宋体" w:hAnsi="宋体" w:eastAsia="宋体"/>
                <w:b w:val="0"/>
                <w:sz w:val="20"/>
              </w:rPr>
              <w:t>用户、角色、菜单、字典、参数、日志管理</w:t>
            </w:r>
          </w:p>
        </w:tc>
        <w:tc>
          <w:tcPr>
            <w:tcW w:type="dxa" w:w="3231"/>
            <w:vAlign w:val="center"/>
          </w:tcPr>
          <w:p>
            <w:pPr>
              <w:spacing w:before="0" w:after="0" w:line="276" w:lineRule="auto"/>
              <w:jc w:val="left"/>
            </w:pPr>
            <w:r/>
            <w:r>
              <w:rPr>
                <w:rFonts w:ascii="宋体" w:hAnsi="宋体" w:eastAsia="宋体"/>
                <w:b w:val="0"/>
                <w:sz w:val="20"/>
              </w:rPr>
              <w:t>用户管理、角色授权、字典查询、参数配置、操作审计</w:t>
            </w:r>
          </w:p>
        </w:tc>
      </w:tr>
      <w:tr>
        <w:tc>
          <w:tcPr>
            <w:tcW w:type="dxa" w:w="1304"/>
            <w:vAlign w:val="center"/>
          </w:tcPr>
          <w:p>
            <w:pPr>
              <w:spacing w:before="0" w:after="0" w:line="276" w:lineRule="auto"/>
              <w:jc w:val="left"/>
            </w:pPr>
            <w:r/>
            <w:r>
              <w:rPr>
                <w:rFonts w:ascii="宋体" w:hAnsi="宋体" w:eastAsia="宋体"/>
                <w:b w:val="0"/>
                <w:sz w:val="20"/>
              </w:rPr>
              <w:t>asset</w:t>
            </w:r>
          </w:p>
        </w:tc>
        <w:tc>
          <w:tcPr>
            <w:tcW w:type="dxa" w:w="3402"/>
            <w:vAlign w:val="center"/>
          </w:tcPr>
          <w:p>
            <w:pPr>
              <w:spacing w:before="0" w:after="0" w:line="276" w:lineRule="auto"/>
              <w:jc w:val="left"/>
            </w:pPr>
            <w:r/>
            <w:r>
              <w:rPr>
                <w:rFonts w:ascii="宋体" w:hAnsi="宋体" w:eastAsia="宋体"/>
                <w:b w:val="0"/>
                <w:sz w:val="20"/>
              </w:rPr>
              <w:t>管网、管线、管段、节点、井室、附属设施档案</w:t>
            </w:r>
          </w:p>
        </w:tc>
        <w:tc>
          <w:tcPr>
            <w:tcW w:type="dxa" w:w="3231"/>
            <w:vAlign w:val="center"/>
          </w:tcPr>
          <w:p>
            <w:pPr>
              <w:spacing w:before="0" w:after="0" w:line="276" w:lineRule="auto"/>
              <w:jc w:val="left"/>
            </w:pPr>
            <w:r/>
            <w:r>
              <w:rPr>
                <w:rFonts w:ascii="宋体" w:hAnsi="宋体" w:eastAsia="宋体"/>
                <w:b w:val="0"/>
                <w:sz w:val="20"/>
              </w:rPr>
              <w:t>资产增删改查、编码生成、对象详情、历史变更记录</w:t>
            </w:r>
          </w:p>
        </w:tc>
      </w:tr>
      <w:tr>
        <w:tc>
          <w:tcPr>
            <w:tcW w:type="dxa" w:w="1304"/>
            <w:vAlign w:val="center"/>
          </w:tcPr>
          <w:p>
            <w:pPr>
              <w:spacing w:before="0" w:after="0" w:line="276" w:lineRule="auto"/>
              <w:jc w:val="left"/>
            </w:pPr>
            <w:r/>
            <w:r>
              <w:rPr>
                <w:rFonts w:ascii="宋体" w:hAnsi="宋体" w:eastAsia="宋体"/>
                <w:b w:val="0"/>
                <w:sz w:val="20"/>
              </w:rPr>
              <w:t>gis</w:t>
            </w:r>
          </w:p>
        </w:tc>
        <w:tc>
          <w:tcPr>
            <w:tcW w:type="dxa" w:w="3402"/>
            <w:vAlign w:val="center"/>
          </w:tcPr>
          <w:p>
            <w:pPr>
              <w:spacing w:before="0" w:after="0" w:line="276" w:lineRule="auto"/>
              <w:jc w:val="left"/>
            </w:pPr>
            <w:r/>
            <w:r>
              <w:rPr>
                <w:rFonts w:ascii="宋体" w:hAnsi="宋体" w:eastAsia="宋体"/>
                <w:b w:val="0"/>
                <w:sz w:val="20"/>
              </w:rPr>
              <w:t>空间对象绑定、空间查询、图层组织</w:t>
            </w:r>
          </w:p>
        </w:tc>
        <w:tc>
          <w:tcPr>
            <w:tcW w:type="dxa" w:w="3231"/>
            <w:vAlign w:val="center"/>
          </w:tcPr>
          <w:p>
            <w:pPr>
              <w:spacing w:before="0" w:after="0" w:line="276" w:lineRule="auto"/>
              <w:jc w:val="left"/>
            </w:pPr>
            <w:r/>
            <w:r>
              <w:rPr>
                <w:rFonts w:ascii="宋体" w:hAnsi="宋体" w:eastAsia="宋体"/>
                <w:b w:val="0"/>
                <w:sz w:val="20"/>
              </w:rPr>
              <w:t>对象上图、图层管理、空间范围查询、对象高亮</w:t>
            </w:r>
          </w:p>
        </w:tc>
      </w:tr>
      <w:tr>
        <w:tc>
          <w:tcPr>
            <w:tcW w:type="dxa" w:w="1304"/>
            <w:vAlign w:val="center"/>
          </w:tcPr>
          <w:p>
            <w:pPr>
              <w:spacing w:before="0" w:after="0" w:line="276" w:lineRule="auto"/>
              <w:jc w:val="left"/>
            </w:pPr>
            <w:r/>
            <w:r>
              <w:rPr>
                <w:rFonts w:ascii="宋体" w:hAnsi="宋体" w:eastAsia="宋体"/>
                <w:b w:val="0"/>
                <w:sz w:val="20"/>
              </w:rPr>
              <w:t>device</w:t>
            </w:r>
          </w:p>
        </w:tc>
        <w:tc>
          <w:tcPr>
            <w:tcW w:type="dxa" w:w="3402"/>
            <w:vAlign w:val="center"/>
          </w:tcPr>
          <w:p>
            <w:pPr>
              <w:spacing w:before="0" w:after="0" w:line="276" w:lineRule="auto"/>
              <w:jc w:val="left"/>
            </w:pPr>
            <w:r/>
            <w:r>
              <w:rPr>
                <w:rFonts w:ascii="宋体" w:hAnsi="宋体" w:eastAsia="宋体"/>
                <w:b w:val="0"/>
                <w:sz w:val="20"/>
              </w:rPr>
              <w:t>设备档案、测点绑定、采集配置、在线状态</w:t>
            </w:r>
          </w:p>
        </w:tc>
        <w:tc>
          <w:tcPr>
            <w:tcW w:type="dxa" w:w="3231"/>
            <w:vAlign w:val="center"/>
          </w:tcPr>
          <w:p>
            <w:pPr>
              <w:spacing w:before="0" w:after="0" w:line="276" w:lineRule="auto"/>
              <w:jc w:val="left"/>
            </w:pPr>
            <w:r/>
            <w:r>
              <w:rPr>
                <w:rFonts w:ascii="宋体" w:hAnsi="宋体" w:eastAsia="宋体"/>
                <w:b w:val="0"/>
                <w:sz w:val="20"/>
              </w:rPr>
              <w:t>设备接入配置、测点绑定、状态同步、离线判定</w:t>
            </w:r>
          </w:p>
        </w:tc>
      </w:tr>
      <w:tr>
        <w:tc>
          <w:tcPr>
            <w:tcW w:type="dxa" w:w="1304"/>
            <w:vAlign w:val="center"/>
          </w:tcPr>
          <w:p>
            <w:pPr>
              <w:spacing w:before="0" w:after="0" w:line="276" w:lineRule="auto"/>
              <w:jc w:val="left"/>
            </w:pPr>
            <w:r/>
            <w:r>
              <w:rPr>
                <w:rFonts w:ascii="宋体" w:hAnsi="宋体" w:eastAsia="宋体"/>
                <w:b w:val="0"/>
                <w:sz w:val="20"/>
              </w:rPr>
              <w:t>monitor</w:t>
            </w:r>
          </w:p>
        </w:tc>
        <w:tc>
          <w:tcPr>
            <w:tcW w:type="dxa" w:w="3402"/>
            <w:vAlign w:val="center"/>
          </w:tcPr>
          <w:p>
            <w:pPr>
              <w:spacing w:before="0" w:after="0" w:line="276" w:lineRule="auto"/>
              <w:jc w:val="left"/>
            </w:pPr>
            <w:r/>
            <w:r>
              <w:rPr>
                <w:rFonts w:ascii="宋体" w:hAnsi="宋体" w:eastAsia="宋体"/>
                <w:b w:val="0"/>
                <w:sz w:val="20"/>
              </w:rPr>
              <w:t>实时数据、历史数据、指标聚合、趋势分析</w:t>
            </w:r>
          </w:p>
        </w:tc>
        <w:tc>
          <w:tcPr>
            <w:tcW w:type="dxa" w:w="3231"/>
            <w:vAlign w:val="center"/>
          </w:tcPr>
          <w:p>
            <w:pPr>
              <w:spacing w:before="0" w:after="0" w:line="276" w:lineRule="auto"/>
              <w:jc w:val="left"/>
            </w:pPr>
            <w:r/>
            <w:r>
              <w:rPr>
                <w:rFonts w:ascii="宋体" w:hAnsi="宋体" w:eastAsia="宋体"/>
                <w:b w:val="0"/>
                <w:sz w:val="20"/>
              </w:rPr>
              <w:t>实时监测接口、历史曲线接口、区域统计接口</w:t>
            </w:r>
          </w:p>
        </w:tc>
      </w:tr>
      <w:tr>
        <w:tc>
          <w:tcPr>
            <w:tcW w:type="dxa" w:w="1304"/>
            <w:vAlign w:val="center"/>
          </w:tcPr>
          <w:p>
            <w:pPr>
              <w:spacing w:before="0" w:after="0" w:line="276" w:lineRule="auto"/>
              <w:jc w:val="left"/>
            </w:pPr>
            <w:r/>
            <w:r>
              <w:rPr>
                <w:rFonts w:ascii="宋体" w:hAnsi="宋体" w:eastAsia="宋体"/>
                <w:b w:val="0"/>
                <w:sz w:val="20"/>
              </w:rPr>
              <w:t>alert</w:t>
            </w:r>
          </w:p>
        </w:tc>
        <w:tc>
          <w:tcPr>
            <w:tcW w:type="dxa" w:w="3402"/>
            <w:vAlign w:val="center"/>
          </w:tcPr>
          <w:p>
            <w:pPr>
              <w:spacing w:before="0" w:after="0" w:line="276" w:lineRule="auto"/>
              <w:jc w:val="left"/>
            </w:pPr>
            <w:r/>
            <w:r>
              <w:rPr>
                <w:rFonts w:ascii="宋体" w:hAnsi="宋体" w:eastAsia="宋体"/>
                <w:b w:val="0"/>
                <w:sz w:val="20"/>
              </w:rPr>
              <w:t>告警生成、去重、升级、通知、闭环</w:t>
            </w:r>
          </w:p>
        </w:tc>
        <w:tc>
          <w:tcPr>
            <w:tcW w:type="dxa" w:w="3231"/>
            <w:vAlign w:val="center"/>
          </w:tcPr>
          <w:p>
            <w:pPr>
              <w:spacing w:before="0" w:after="0" w:line="276" w:lineRule="auto"/>
              <w:jc w:val="left"/>
            </w:pPr>
            <w:r/>
            <w:r>
              <w:rPr>
                <w:rFonts w:ascii="宋体" w:hAnsi="宋体" w:eastAsia="宋体"/>
                <w:b w:val="0"/>
                <w:sz w:val="20"/>
              </w:rPr>
              <w:t>告警列表、告警确认、告警升级、消息推送</w:t>
            </w:r>
          </w:p>
        </w:tc>
      </w:tr>
      <w:tr>
        <w:tc>
          <w:tcPr>
            <w:tcW w:type="dxa" w:w="1304"/>
            <w:vAlign w:val="center"/>
          </w:tcPr>
          <w:p>
            <w:pPr>
              <w:spacing w:before="0" w:after="0" w:line="276" w:lineRule="auto"/>
              <w:jc w:val="left"/>
            </w:pPr>
            <w:r/>
            <w:r>
              <w:rPr>
                <w:rFonts w:ascii="宋体" w:hAnsi="宋体" w:eastAsia="宋体"/>
                <w:b w:val="0"/>
                <w:sz w:val="20"/>
              </w:rPr>
              <w:t>workorder</w:t>
            </w:r>
          </w:p>
        </w:tc>
        <w:tc>
          <w:tcPr>
            <w:tcW w:type="dxa" w:w="3402"/>
            <w:vAlign w:val="center"/>
          </w:tcPr>
          <w:p>
            <w:pPr>
              <w:spacing w:before="0" w:after="0" w:line="276" w:lineRule="auto"/>
              <w:jc w:val="left"/>
            </w:pPr>
            <w:r/>
            <w:r>
              <w:rPr>
                <w:rFonts w:ascii="宋体" w:hAnsi="宋体" w:eastAsia="宋体"/>
                <w:b w:val="0"/>
                <w:sz w:val="20"/>
              </w:rPr>
              <w:t>工单创建、派发、流转、回执、验收</w:t>
            </w:r>
          </w:p>
        </w:tc>
        <w:tc>
          <w:tcPr>
            <w:tcW w:type="dxa" w:w="3231"/>
            <w:vAlign w:val="center"/>
          </w:tcPr>
          <w:p>
            <w:pPr>
              <w:spacing w:before="0" w:after="0" w:line="276" w:lineRule="auto"/>
              <w:jc w:val="left"/>
            </w:pPr>
            <w:r/>
            <w:r>
              <w:rPr>
                <w:rFonts w:ascii="宋体" w:hAnsi="宋体" w:eastAsia="宋体"/>
                <w:b w:val="0"/>
                <w:sz w:val="20"/>
              </w:rPr>
              <w:t>工单新增、派单、处理反馈、关闭归档</w:t>
            </w:r>
          </w:p>
        </w:tc>
      </w:tr>
      <w:tr>
        <w:tc>
          <w:tcPr>
            <w:tcW w:type="dxa" w:w="1304"/>
            <w:vAlign w:val="center"/>
          </w:tcPr>
          <w:p>
            <w:pPr>
              <w:spacing w:before="0" w:after="0" w:line="276" w:lineRule="auto"/>
              <w:jc w:val="left"/>
            </w:pPr>
            <w:r/>
            <w:r>
              <w:rPr>
                <w:rFonts w:ascii="宋体" w:hAnsi="宋体" w:eastAsia="宋体"/>
                <w:b w:val="0"/>
                <w:sz w:val="20"/>
              </w:rPr>
              <w:t>report</w:t>
            </w:r>
          </w:p>
        </w:tc>
        <w:tc>
          <w:tcPr>
            <w:tcW w:type="dxa" w:w="3402"/>
            <w:vAlign w:val="center"/>
          </w:tcPr>
          <w:p>
            <w:pPr>
              <w:spacing w:before="0" w:after="0" w:line="276" w:lineRule="auto"/>
              <w:jc w:val="left"/>
            </w:pPr>
            <w:r/>
            <w:r>
              <w:rPr>
                <w:rFonts w:ascii="宋体" w:hAnsi="宋体" w:eastAsia="宋体"/>
                <w:b w:val="0"/>
                <w:sz w:val="20"/>
              </w:rPr>
              <w:t>统计报表、导出、打印、日报周报月报</w:t>
            </w:r>
          </w:p>
        </w:tc>
        <w:tc>
          <w:tcPr>
            <w:tcW w:type="dxa" w:w="3231"/>
            <w:vAlign w:val="center"/>
          </w:tcPr>
          <w:p>
            <w:pPr>
              <w:spacing w:before="0" w:after="0" w:line="276" w:lineRule="auto"/>
              <w:jc w:val="left"/>
            </w:pPr>
            <w:r/>
            <w:r>
              <w:rPr>
                <w:rFonts w:ascii="宋体" w:hAnsi="宋体" w:eastAsia="宋体"/>
                <w:b w:val="0"/>
                <w:sz w:val="20"/>
              </w:rPr>
              <w:t>报表查询、Excel/PDF 导出、定时报表</w:t>
            </w:r>
          </w:p>
        </w:tc>
      </w:tr>
      <w:tr>
        <w:tc>
          <w:tcPr>
            <w:tcW w:type="dxa" w:w="1304"/>
            <w:vAlign w:val="center"/>
          </w:tcPr>
          <w:p>
            <w:pPr>
              <w:spacing w:before="0" w:after="0" w:line="276" w:lineRule="auto"/>
              <w:jc w:val="left"/>
            </w:pPr>
            <w:r/>
            <w:r>
              <w:rPr>
                <w:rFonts w:ascii="宋体" w:hAnsi="宋体" w:eastAsia="宋体"/>
                <w:b w:val="0"/>
                <w:sz w:val="20"/>
              </w:rPr>
              <w:t>model</w:t>
            </w:r>
          </w:p>
        </w:tc>
        <w:tc>
          <w:tcPr>
            <w:tcW w:type="dxa" w:w="3402"/>
            <w:vAlign w:val="center"/>
          </w:tcPr>
          <w:p>
            <w:pPr>
              <w:spacing w:before="0" w:after="0" w:line="276" w:lineRule="auto"/>
              <w:jc w:val="left"/>
            </w:pPr>
            <w:r/>
            <w:r>
              <w:rPr>
                <w:rFonts w:ascii="宋体" w:hAnsi="宋体" w:eastAsia="宋体"/>
                <w:b w:val="0"/>
                <w:sz w:val="20"/>
              </w:rPr>
              <w:t>算法接入、预测结果落库、诊断结果回写</w:t>
            </w:r>
          </w:p>
        </w:tc>
        <w:tc>
          <w:tcPr>
            <w:tcW w:type="dxa" w:w="3231"/>
            <w:vAlign w:val="center"/>
          </w:tcPr>
          <w:p>
            <w:pPr>
              <w:spacing w:before="0" w:after="0" w:line="276" w:lineRule="auto"/>
              <w:jc w:val="left"/>
            </w:pPr>
            <w:r/>
            <w:r>
              <w:rPr>
                <w:rFonts w:ascii="宋体" w:hAnsi="宋体" w:eastAsia="宋体"/>
                <w:b w:val="0"/>
                <w:sz w:val="20"/>
              </w:rPr>
              <w:t>调用 Python 模型服务、保存识别结果、输出定位建议</w:t>
            </w:r>
          </w:p>
        </w:tc>
      </w:tr>
      <w:tr>
        <w:tc>
          <w:tcPr>
            <w:tcW w:type="dxa" w:w="1304"/>
            <w:vAlign w:val="center"/>
          </w:tcPr>
          <w:p>
            <w:pPr>
              <w:spacing w:before="0" w:after="0" w:line="276" w:lineRule="auto"/>
              <w:jc w:val="left"/>
            </w:pPr>
            <w:r/>
            <w:r>
              <w:rPr>
                <w:rFonts w:ascii="宋体" w:hAnsi="宋体" w:eastAsia="宋体"/>
                <w:b w:val="0"/>
                <w:sz w:val="20"/>
              </w:rPr>
              <w:t>common</w:t>
            </w:r>
          </w:p>
        </w:tc>
        <w:tc>
          <w:tcPr>
            <w:tcW w:type="dxa" w:w="3402"/>
            <w:vAlign w:val="center"/>
          </w:tcPr>
          <w:p>
            <w:pPr>
              <w:spacing w:before="0" w:after="0" w:line="276" w:lineRule="auto"/>
              <w:jc w:val="left"/>
            </w:pPr>
            <w:r/>
            <w:r>
              <w:rPr>
                <w:rFonts w:ascii="宋体" w:hAnsi="宋体" w:eastAsia="宋体"/>
                <w:b w:val="0"/>
                <w:sz w:val="20"/>
              </w:rPr>
              <w:t>统一返回、异常处理、工具类、枚举、AOP</w:t>
            </w:r>
          </w:p>
        </w:tc>
        <w:tc>
          <w:tcPr>
            <w:tcW w:type="dxa" w:w="3231"/>
            <w:vAlign w:val="center"/>
          </w:tcPr>
          <w:p>
            <w:pPr>
              <w:spacing w:before="0" w:after="0" w:line="276" w:lineRule="auto"/>
              <w:jc w:val="left"/>
            </w:pPr>
            <w:r/>
            <w:r>
              <w:rPr>
                <w:rFonts w:ascii="宋体" w:hAnsi="宋体" w:eastAsia="宋体"/>
                <w:b w:val="0"/>
                <w:sz w:val="20"/>
              </w:rPr>
              <w:t>统一响应体、全局异常、日志切面、数据权限切面</w:t>
            </w:r>
          </w:p>
        </w:tc>
      </w:tr>
    </w:tbl>
    <w:p>
      <w:pPr>
        <w:spacing w:after="80"/>
      </w:pPr>
    </w:p>
    <w:p>
      <w:pPr>
        <w:spacing w:before="0" w:after="80" w:line="348" w:lineRule="auto"/>
        <w:ind w:firstLine="420"/>
      </w:pPr>
      <w:r>
        <w:rPr>
          <w:rFonts w:ascii="宋体" w:hAnsi="宋体" w:eastAsia="宋体"/>
          <w:b w:val="0"/>
          <w:sz w:val="22"/>
        </w:rPr>
        <w:t>代码分层建议采用 Controller → Service → Domain/Manager → Mapper 的形式。Controller 只负责接收参数与返回结果；Service 负责事务与业务编排；Domain/Manager 负责较复杂的领域规则；Mapper 负责数据库访问。不要把大量业务判断写在 Controller 或 XML 中。</w:t>
      </w:r>
    </w:p>
    <w:p>
      <w:pPr>
        <w:spacing w:before="0" w:after="80" w:line="348" w:lineRule="auto"/>
        <w:ind w:firstLine="420"/>
      </w:pPr>
      <w:r>
        <w:rPr>
          <w:rFonts w:ascii="宋体" w:hAnsi="宋体" w:eastAsia="宋体"/>
          <w:b w:val="0"/>
          <w:sz w:val="22"/>
        </w:rPr>
        <w:t>对于统计类和复杂查询类接口，可在 Mapper XML 中编写 SQL；对于通用单表操作和分页查询，则优先交给 MyBatis-Plus。这样既保留 MyBatis 对复杂 SQL 的灵活性，也能减少基础 CRUD 的重复代码。</w:t>
      </w:r>
    </w:p>
    <w:p>
      <w:pPr>
        <w:pStyle w:val="Heading3"/>
        <w:spacing w:before="100" w:after="80"/>
      </w:pPr>
      <w:r>
        <w:rPr>
          <w:rFonts w:ascii="宋体" w:hAnsi="宋体" w:eastAsia="宋体"/>
          <w:b/>
          <w:color w:val="373737"/>
          <w:sz w:val="26"/>
        </w:rPr>
        <w:t>B.2.3 数据库与中间件落地建议</w:t>
      </w:r>
    </w:p>
    <w:p>
      <w:pPr>
        <w:spacing w:before="0" w:after="80" w:line="348" w:lineRule="auto"/>
        <w:ind w:firstLine="420"/>
      </w:pPr>
      <w:r>
        <w:rPr>
          <w:rFonts w:ascii="宋体" w:hAnsi="宋体" w:eastAsia="宋体"/>
          <w:b w:val="0"/>
          <w:sz w:val="22"/>
        </w:rPr>
        <w:t>业务数据方面，建议 MySQL 主要负责账号权限、档案、工单、规则、日志等事务型表；空间数据落在 PostGIS 中保存几何对象与空间索引；高频监测数据落在 TimescaleDB 中，以时间分区方式存储。这样可以避免 MySQL 同时承担事务、高频写入和空间计算三种压力。</w:t>
      </w:r>
    </w:p>
    <w:p>
      <w:pPr>
        <w:spacing w:before="0" w:after="80" w:line="348" w:lineRule="auto"/>
        <w:ind w:firstLine="420"/>
      </w:pPr>
      <w:r>
        <w:rPr>
          <w:rFonts w:ascii="宋体" w:hAnsi="宋体" w:eastAsia="宋体"/>
          <w:b w:val="0"/>
          <w:sz w:val="22"/>
        </w:rPr>
        <w:t>Redis 主要承担缓存、热点统计、短期状态和分布式协同，不建议把长期业务数据放入 Redis。对告警去重、重复派单控制、批量任务互斥等场景，可通过 Redisson 分布式锁控制并发。</w:t>
      </w:r>
    </w:p>
    <w:p>
      <w:pPr>
        <w:spacing w:before="0" w:after="80" w:line="348" w:lineRule="auto"/>
        <w:ind w:firstLine="420"/>
      </w:pPr>
      <w:r>
        <w:rPr>
          <w:rFonts w:ascii="宋体" w:hAnsi="宋体" w:eastAsia="宋体"/>
          <w:b w:val="0"/>
          <w:sz w:val="22"/>
        </w:rPr>
        <w:t>GeoServer 建议只负责空间数据发布与标准服务接口，不直接承载复杂业务逻辑；业务逻辑仍由 Spring Boot 主工程实现。前端若需要底图、专题图、矢量查询，可通过 WMS/WFS 或封装后的业务接口访问。</w:t>
      </w:r>
    </w:p>
    <w:p>
      <w:pPr>
        <w:pStyle w:val="Heading2"/>
        <w:spacing w:before="100" w:after="80"/>
      </w:pPr>
      <w:r>
        <w:rPr>
          <w:rFonts w:ascii="宋体" w:hAnsi="宋体" w:eastAsia="宋体"/>
          <w:b/>
          <w:color w:val="373737"/>
          <w:sz w:val="26"/>
        </w:rPr>
        <w:t>B.3 前后端协作实现约定</w:t>
      </w:r>
    </w:p>
    <w:p>
      <w:pPr>
        <w:spacing w:before="0" w:after="80" w:line="348" w:lineRule="auto"/>
        <w:ind w:firstLine="420"/>
      </w:pPr>
      <w:r>
        <w:rPr>
          <w:rFonts w:ascii="宋体" w:hAnsi="宋体" w:eastAsia="宋体"/>
          <w:b w:val="0"/>
          <w:sz w:val="22"/>
        </w:rPr>
        <w:t>为了让前后端真正并行开发，建议在项目启动阶段就统一三类规范：接口返回规范、字典与枚举规范、WebSocket 消息规范。接口返回建议统一为 code、message、data、timestamp 结构；分页列表统一为 records、total、pageNo、pageSize；枚举值建议由后端统一下发，前端不写死中文文案。</w:t>
      </w:r>
    </w:p>
    <w:p>
      <w:pPr>
        <w:spacing w:before="0" w:after="80" w:line="348" w:lineRule="auto"/>
        <w:ind w:firstLine="420"/>
      </w:pPr>
      <w:r>
        <w:rPr>
          <w:rFonts w:ascii="宋体" w:hAnsi="宋体" w:eastAsia="宋体"/>
          <w:b w:val="0"/>
          <w:sz w:val="22"/>
        </w:rPr>
        <w:t>WebSocket 推送建议定义统一消息结构，例如消息类型、业务类型、对象 ID、等级、标题、内容、发生时间、是否已读。这样告警推送、工单状态推送、系统公告推送可以复用一套消息通道。</w:t>
      </w:r>
    </w:p>
    <w:p>
      <w:pPr>
        <w:spacing w:before="0" w:after="80" w:line="348" w:lineRule="auto"/>
        <w:ind w:firstLine="420"/>
      </w:pPr>
      <w:r>
        <w:rPr>
          <w:rFonts w:ascii="宋体" w:hAnsi="宋体" w:eastAsia="宋体"/>
          <w:b w:val="0"/>
          <w:sz w:val="22"/>
        </w:rPr>
        <w:t>文件上传下载也要统一策略：上传统一由后端返回 fileId、fileName、url、size、contentType；业务表仅保存 fileId 或附件关联表，不直接存储大文件内容。</w:t>
      </w:r>
    </w:p>
    <w:p>
      <w:pPr>
        <w:pStyle w:val="Heading2"/>
        <w:spacing w:before="100" w:after="80"/>
      </w:pPr>
      <w:r>
        <w:rPr>
          <w:rFonts w:ascii="宋体" w:hAnsi="宋体" w:eastAsia="宋体"/>
          <w:b/>
          <w:color w:val="373737"/>
          <w:sz w:val="26"/>
        </w:rPr>
        <w:t>B.4 可直接采用的工程组合建议</w:t>
      </w:r>
    </w:p>
    <w:p>
      <w:pPr>
        <w:spacing w:before="0" w:after="80" w:line="348" w:lineRule="auto"/>
        <w:ind w:firstLine="420"/>
      </w:pPr>
      <w:r>
        <w:rPr>
          <w:rFonts w:ascii="宋体" w:hAnsi="宋体" w:eastAsia="宋体"/>
          <w:b w:val="0"/>
          <w:sz w:val="22"/>
        </w:rPr>
        <w:t>若你当前准备进入开发阶段，建议采用如下“可直接开工”的组合：前端使用 Vue3 + TypeScript + Vite + Vue Router + Pinia + Element Plus + ECharts + CesiumJS；后端使用 Spring Boot + Spring Security + JWT + MyBatis-Plus + MyBatis XML + Redis + Redisson + MySQL；空间部分使用 GeoServer + PostGIS；高频监测部分使用 TimescaleDB；附件使用 MinIO；实时推送使用 Spring WebSocket + STOMP；算法服务使用 Python FastAPI 单独部署。</w:t>
      </w:r>
    </w:p>
    <w:p>
      <w:r>
        <w:br w:type="page"/>
      </w:r>
    </w:p>
    <w:p>
      <w:pPr>
        <w:pStyle w:val="Heading1"/>
      </w:pPr>
      <w:r>
        <w:t>附录C 数据库详细设计</w:t>
      </w:r>
    </w:p>
    <w:p>
      <w:pPr>
        <w:spacing w:before="0" w:after="120" w:line="312" w:lineRule="auto"/>
      </w:pPr>
      <w:r>
        <w:rPr>
          <w:b w:val="0"/>
          <w:sz w:val="21"/>
        </w:rPr>
        <w:t>本附录在原有“数据架构与数据库设计建议”基础上，进一步细化为可直接指导开发的数据库详细设计方案。设计内容围绕最早提交的系统功能要求展开，重点覆盖基础信息管理、实时监测与数据采集、健康评估与风险分析、预警与运维建议、可视化决策支持五个能力域，并兼顾三维 GIS、云-边-端协同、多源感知和研究型算法接入的扩展需求。</w:t>
      </w:r>
    </w:p>
    <w:p>
      <w:pPr>
        <w:pStyle w:val="Heading2"/>
      </w:pPr>
      <w:r>
        <w:t>C.1 设计目标与总体存储策略</w:t>
      </w:r>
    </w:p>
    <w:p>
      <w:pPr>
        <w:spacing w:before="0" w:after="120" w:line="312" w:lineRule="auto"/>
      </w:pPr>
      <w:r>
        <w:rPr>
          <w:b w:val="0"/>
          <w:sz w:val="21"/>
        </w:rPr>
        <w:t>数据库设计以“业务事务稳定、空间对象可检索、高频时序可扩展、分析结果可追溯”为核心原则，避免把全部数据都堆入单一 MySQL 库，导致事务表、时序表和空间表相互争抢资源。为满足本系统从静态建档到动态监测、从风险分析到工单闭环的完整链路，建议采用“业务库 + 空间库 + 时序库 + 缓存层”的组合式存储方案。</w:t>
      </w:r>
    </w:p>
    <w:p>
      <w:pPr>
        <w:spacing w:before="0" w:after="40" w:line="312" w:lineRule="auto"/>
        <w:jc w:val="left"/>
      </w:pPr>
      <w:r>
        <w:rPr>
          <w:b w:val="0"/>
          <w:sz w:val="20"/>
        </w:rPr>
        <w:t>表C-1 存储组件与职责划分</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474"/>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存储组件</w:t>
            </w:r>
          </w:p>
        </w:tc>
        <w:tc>
          <w:tcPr>
            <w:tcW w:type="dxa" w:w="141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推荐技术</w:t>
            </w:r>
          </w:p>
        </w:tc>
        <w:tc>
          <w:tcPr>
            <w:tcW w:type="dxa" w:w="238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主要承载数据</w:t>
            </w:r>
          </w:p>
        </w:tc>
        <w:tc>
          <w:tcPr>
            <w:tcW w:type="dxa" w:w="3685"/>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设计说明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业务主库</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MySQL 8.x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用户权限、基础档案、告警、工单、规则、报表任务</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承载高一致性的事务型数据，便于与 Spring Boot + MyBatis-Plus 直接集成。</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空间库</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PostGIS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管线几何、节点点位、工井/阀门空间对象、专题图层</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承载精确几何对象与空间索引，支撑一张图、范围查询、碰撞分析和缓冲区分析。</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时序库</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TimescaleDB</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高频监测历史、秒级/分钟级采样、趋势聚合结果</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承载高频写入与按时间范围查询，适合监测曲线、历史回放和统计汇总。</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缓存与短期状态</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Redis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登录会话、热点统计、实时告警去重键、当前状态镜像</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只存短期热点和协同状态，不替代长期业务库。</w:t>
            </w:r>
          </w:p>
        </w:tc>
      </w:tr>
    </w:tbl>
    <w:p>
      <w:pPr>
        <w:spacing w:before="0" w:after="80" w:line="276" w:lineRule="auto"/>
      </w:pPr>
      <w:r>
        <w:rPr>
          <w:b w:val="0"/>
          <w:i/>
          <w:color w:val="666666"/>
          <w:sz w:val="19"/>
        </w:rPr>
        <w:t>说明：若项目一期暂不引入 PostGIS/TimescaleDB，可先用 MySQL 落地，但需预留空间对象表与历史监测分表机制，避免后续迁移成本过高。</w:t>
      </w:r>
    </w:p>
    <w:p>
      <w:pPr>
        <w:pStyle w:val="Heading2"/>
      </w:pPr>
      <w:r>
        <w:t>C.2 主题域划分、表前缀与统一约定</w:t>
      </w:r>
    </w:p>
    <w:p>
      <w:pPr>
        <w:spacing w:before="0" w:after="120" w:line="312" w:lineRule="auto"/>
      </w:pPr>
      <w:r>
        <w:rPr>
          <w:b w:val="0"/>
          <w:sz w:val="21"/>
        </w:rPr>
        <w:t>为保证数据库结构清晰、表职责边界明确，建议按主题域拆分表前缀。这样既利于后期模块化开发，也方便权限隔离、数据同步和接口编排。</w:t>
      </w:r>
    </w:p>
    <w:p>
      <w:pPr>
        <w:spacing w:before="0" w:after="40" w:line="312" w:lineRule="auto"/>
        <w:jc w:val="left"/>
      </w:pPr>
      <w:r>
        <w:rPr>
          <w:b w:val="0"/>
          <w:sz w:val="20"/>
        </w:rPr>
        <w:t>表C-2 主题域与表前缀建议</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24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主题域</w:t>
            </w:r>
          </w:p>
        </w:tc>
        <w:tc>
          <w:tcPr>
            <w:tcW w:type="dxa" w:w="1134"/>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表前缀</w:t>
            </w:r>
          </w:p>
        </w:tc>
        <w:tc>
          <w:tcPr>
            <w:tcW w:type="dxa" w:w="2268"/>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对应能力</w:t>
            </w:r>
          </w:p>
        </w:tc>
        <w:tc>
          <w:tcPr>
            <w:tcW w:type="dxa" w:w="430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代表性表</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系统管理</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sys_</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用户、角色、菜单、字典、参数、审计</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sys_user、sys_role、sys_dict_item</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资产档案</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asset_</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管网、管段、节点、附属设施、改造状态</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asset_network、asset_pipe_section、asset_facility</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空间 GIS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gis_</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图层、要素、几何对象、专题显示</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gis_layer、gis_feature</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设备与监测</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iot_/ts_</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设备、测点、实时值、历史监测</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iot_device、iot_measure_point、ts_measure_history</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分析评估</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ana_</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健康评分、漏损分析、风险识别、模型任务</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ana_health_score、ana_leakage_result</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预警运维</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ops_</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规则、告警、建议、工单、处置日志</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ops_alert_event、ops_work_order</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报表展示</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viz_/rpt_</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大屏快照、报表任务、指标缓存</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viz_dashboard_snapshot、rpt_report_task</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集成同步</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int_</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数据源、同步任务、接口日志、边缘节点</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int_data_source、int_sync_log</w:t>
            </w:r>
          </w:p>
        </w:tc>
      </w:tr>
    </w:tbl>
    <w:p>
      <w:pPr>
        <w:spacing w:before="0" w:after="120" w:line="312" w:lineRule="auto"/>
      </w:pPr>
      <w:r>
        <w:rPr>
          <w:b w:val="0"/>
          <w:sz w:val="21"/>
        </w:rPr>
        <w:t>统一约定如下：第一，主键统一使用 Long 型雪花 ID，落地时采用 MyBatis-Plus 的 ASSIGN_ID；第二，业务编码独立设计，不与主键混用；第三，状态字段尽量使用数值枚举，并由字典表维护中文含义；第四，所有核心业务表统一带审计字段。</w:t>
      </w:r>
    </w:p>
    <w:p>
      <w:pPr>
        <w:spacing w:before="0" w:after="40" w:line="312" w:lineRule="auto"/>
        <w:jc w:val="left"/>
      </w:pPr>
      <w:r>
        <w:rPr>
          <w:b w:val="0"/>
          <w:sz w:val="20"/>
        </w:rPr>
        <w:t>表C-3 公共字段模板</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主键，统一采用雪花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biz_code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UQ/可选</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业务编码，仅对需要人工识别的表启用，如工单号、告警号、资产编码。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通用状态位，如启用、停用、处理中、已关闭。</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created_by</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创建人用户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created_time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创建时间。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updated_by</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最后修改人用户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updated_time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最后修改时间。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deleted_flag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逻辑删除标记，0-未删，1-已删。</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remark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VARCHAR(500)</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备注，用于补充说明。</w:t>
            </w:r>
          </w:p>
        </w:tc>
      </w:tr>
    </w:tbl>
    <w:p>
      <w:pPr>
        <w:spacing w:before="0" w:after="80" w:line="276" w:lineRule="auto"/>
      </w:pPr>
      <w:r>
        <w:rPr>
          <w:b w:val="0"/>
          <w:i/>
          <w:color w:val="666666"/>
          <w:sz w:val="19"/>
        </w:rPr>
        <w:t>缩写说明：PK-主键，UQ-唯一索引，IDX-普通索引，NN-非空。以下详细表设计默认继承公共字段，表中仅重复列出必要的关键字段。</w:t>
      </w:r>
    </w:p>
    <w:p>
      <w:pPr>
        <w:pStyle w:val="Heading2"/>
      </w:pPr>
      <w:r>
        <w:t>C.3 关键关系与落库链路总览</w:t>
      </w:r>
    </w:p>
    <w:p>
      <w:pPr>
        <w:spacing w:before="0" w:after="120" w:line="312" w:lineRule="auto"/>
      </w:pPr>
      <w:r>
        <w:rPr>
          <w:b w:val="0"/>
          <w:sz w:val="21"/>
        </w:rPr>
        <w:t>核心关系建议按“资产对象—监测测点—分析结果—预警事件—工单闭环”的主链设计：asset_network 下辖多个 asset_pipe_section；每个管段可关联多个 asset_node、asset_facility 和 iot_measure_point；监测值首先写入 ts_measure_history，同时刷新 ts_measure_current；分析任务基于测点与管段生成 ana_health_score、ana_leakage_result 和 ana_risk_result；当规则命中后生成 ops_alert_event，并进一步落到 ops_suggestion 和 ops_work_order。这样的关系设计可以保证三维地图点选管段后，直接联动其测点、历史曲线、健康评分、告警与工单。</w:t>
      </w:r>
    </w:p>
    <w:p>
      <w:pPr>
        <w:spacing w:before="0" w:after="40" w:line="312" w:lineRule="auto"/>
        <w:jc w:val="left"/>
      </w:pPr>
      <w:r>
        <w:rPr>
          <w:b w:val="0"/>
          <w:sz w:val="20"/>
        </w:rPr>
        <w:t>表C-4 核心表总览（建议首期落地）</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24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类别</w:t>
            </w:r>
          </w:p>
        </w:tc>
        <w:tc>
          <w:tcPr>
            <w:tcW w:type="dxa" w:w="3402"/>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核心表</w:t>
            </w:r>
          </w:p>
        </w:tc>
        <w:tc>
          <w:tcPr>
            <w:tcW w:type="dxa" w:w="1134"/>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首期优先级</w:t>
            </w:r>
          </w:p>
        </w:tc>
        <w:tc>
          <w:tcPr>
            <w:tcW w:type="dxa" w:w="272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用途说明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系统管理</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sys_user、sys_role、sys_user_role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高</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支撑登录鉴权、角色控制、数据权限。</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资产档案</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asset_network、asset_pipe_section、asset_node、asset_facility</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高</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支撑静态建模、老旧状态、改造状态与资产查询。</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GIS 空间</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gis_feature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高</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支撑一张图展示、空间联动和专题图。</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设备监测</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iot_device、iot_measure_point、ts_measure_current、ts_measure_history</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高</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支撑实时监测、历史曲线和设备在线状态。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分析评估</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ana_health_score、ana_leakage_result、ana_risk_result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高</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支撑健康评分、漏损分析和风险识别。</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预警处置</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ops_alert_rule、ops_alert_event、ops_suggestion、ops_work_order、ops_work_order_log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高</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支撑规则触发、预警分级、建议生成和工单闭环。</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决策报表</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rpt_report_task、viz_dashboard_snapshot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中</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支撑综合报表和态势快照。</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集成同步</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int_data_source、int_sync_log、int_edge_node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中</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支撑第三方对接和云-边-端协同。</w:t>
            </w:r>
          </w:p>
        </w:tc>
      </w:tr>
    </w:tbl>
    <w:p>
      <w:pPr>
        <w:pStyle w:val="Heading2"/>
      </w:pPr>
      <w:r>
        <w:t>C.4 基础信息与权限类表详细设计</w:t>
      </w:r>
    </w:p>
    <w:p>
      <w:pPr>
        <w:pStyle w:val="Heading3"/>
      </w:pPr>
      <w:r>
        <w:t>C.4.1 sys_user（用户表）</w:t>
      </w:r>
    </w:p>
    <w:p>
      <w:pPr>
        <w:spacing w:before="0" w:after="120" w:line="312" w:lineRule="auto"/>
      </w:pPr>
      <w:r>
        <w:rPr>
          <w:b w:val="0"/>
          <w:sz w:val="21"/>
        </w:rPr>
        <w:t>该表承载系统登录用户及其基础身份信息，是权限控制、工单指派、日志审计和消息推送的统一用户源。</w:t>
      </w:r>
    </w:p>
    <w:p>
      <w:pPr>
        <w:spacing w:before="0" w:after="40" w:line="312" w:lineRule="auto"/>
        <w:jc w:val="left"/>
      </w:pPr>
      <w:r>
        <w:rPr>
          <w:b w:val="0"/>
          <w:sz w:val="20"/>
        </w:rPr>
        <w:t>表C-5 sys_user 用户表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用户主键。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username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登录账号。</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password_hash</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VARCHAR(255)</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密码摘要，不保存明文密码。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real_name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用户姓名。</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mobile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联系电话，用于通知与工单联络。</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email</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电子邮箱。</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org_name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所属单位或部门。</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role_scope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角色范围描述，如管理者、维护人员、查看人员。</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region_code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所属行政区或管辖区域编码。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account_status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账号状态：启用、停用、锁定。</w:t>
            </w:r>
          </w:p>
        </w:tc>
      </w:tr>
    </w:tbl>
    <w:p>
      <w:pPr>
        <w:pStyle w:val="Heading3"/>
      </w:pPr>
      <w:r>
        <w:t>C.4.2 sys_role（角色表）与 sys_user_role（用户角色关联表）</w:t>
      </w:r>
    </w:p>
    <w:p>
      <w:pPr>
        <w:spacing w:before="0" w:after="120" w:line="312" w:lineRule="auto"/>
      </w:pPr>
      <w:r>
        <w:rPr>
          <w:b w:val="0"/>
          <w:sz w:val="21"/>
        </w:rPr>
        <w:t>角色表负责菜单、按钮、数据范围和子系统入口控制，用户角色关联表用于多角色分配。建议维护人员默认只授权“监测分析—预警处置中心”和本辖区数据。</w:t>
      </w:r>
    </w:p>
    <w:p>
      <w:pPr>
        <w:spacing w:before="0" w:after="40" w:line="312" w:lineRule="auto"/>
        <w:jc w:val="left"/>
      </w:pPr>
      <w:r>
        <w:rPr>
          <w:b w:val="0"/>
          <w:sz w:val="20"/>
        </w:rPr>
        <w:t>表C-6 sys_role 角色表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角色主键。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role_code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角色编码，如 ADMIN、MAINTAINER。</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role_name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角色名称。</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data_scope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数据范围类型，如全市、辖区、自定义。</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subsystem_scope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VARCHAR(255)</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可访问的子系统集合。</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menu_scope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VARCHAR(1000)</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菜单权限集合，可按 JSON 或关联表维护。</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sort_no</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排序号。</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role_status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角色状态。</w:t>
            </w:r>
          </w:p>
        </w:tc>
      </w:tr>
    </w:tbl>
    <w:p>
      <w:pPr>
        <w:spacing w:before="0" w:after="40" w:line="312" w:lineRule="auto"/>
        <w:jc w:val="left"/>
      </w:pPr>
      <w:r>
        <w:rPr>
          <w:b w:val="0"/>
          <w:sz w:val="20"/>
        </w:rPr>
        <w:t>表C-7 关联表建议</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814"/>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表名</w:t>
            </w:r>
          </w:p>
        </w:tc>
        <w:tc>
          <w:tcPr>
            <w:tcW w:type="dxa" w:w="2268"/>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关键字段</w:t>
            </w:r>
          </w:p>
        </w:tc>
        <w:tc>
          <w:tcPr>
            <w:tcW w:type="dxa" w:w="238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用途</w:t>
            </w:r>
          </w:p>
        </w:tc>
        <w:tc>
          <w:tcPr>
            <w:tcW w:type="dxa" w:w="2494"/>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备注</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sys_user_role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user_id, role_id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用户与角色多对多关系</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建议对 (user_id, role_id) 建唯一索引。</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sys_role_menu</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role_id, menu_id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角色与菜单关系</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菜单权限细分到子系统页面和按钮。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sys_dict_item</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dict_type, item_code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字典项</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统一管理告警等级、设备类型、管材类型等枚举。</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sys_config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config_key, config_value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系统参数</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如告警推送开关、默认地图中心点、上传限制。</w:t>
            </w:r>
          </w:p>
        </w:tc>
      </w:tr>
    </w:tbl>
    <w:p>
      <w:pPr>
        <w:pStyle w:val="Heading2"/>
      </w:pPr>
      <w:r>
        <w:t>C.5 资产档案与空间类表详细设计</w:t>
      </w:r>
    </w:p>
    <w:p>
      <w:pPr>
        <w:pStyle w:val="Heading3"/>
      </w:pPr>
      <w:r>
        <w:t>C.5.1 asset_network（管网主表）</w:t>
      </w:r>
    </w:p>
    <w:p>
      <w:pPr>
        <w:spacing w:before="0" w:after="120" w:line="312" w:lineRule="auto"/>
      </w:pPr>
      <w:r>
        <w:rPr>
          <w:b w:val="0"/>
          <w:sz w:val="21"/>
        </w:rPr>
        <w:t>用于描述管网级对象，如供水网、燃气网、排水网或综合管廊分区，是一张图和统计报表的最上层聚合对象。</w:t>
      </w:r>
    </w:p>
    <w:p>
      <w:pPr>
        <w:spacing w:before="0" w:after="40" w:line="312" w:lineRule="auto"/>
        <w:jc w:val="left"/>
      </w:pPr>
      <w:r>
        <w:rPr>
          <w:b w:val="0"/>
          <w:sz w:val="20"/>
        </w:rPr>
        <w:t>表C-8 asset_network 管网主表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管网主键。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network_code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管网编码。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network_name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管网名称。</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network_type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管网类型，如给水、燃气、雨污。</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region_code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所属行政区编码。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owner_unit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权属单位。</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operation_unit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运营维护单位。</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service_status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运行状态。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health_level</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汇总后的健康等级。</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risk_level</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汇总后的风险等级。</w:t>
            </w:r>
          </w:p>
        </w:tc>
      </w:tr>
    </w:tbl>
    <w:p>
      <w:pPr>
        <w:pStyle w:val="Heading3"/>
      </w:pPr>
      <w:r>
        <w:t>C.5.2 asset_pipe_section（管段表）</w:t>
      </w:r>
    </w:p>
    <w:p>
      <w:pPr>
        <w:spacing w:before="0" w:after="120" w:line="312" w:lineRule="auto"/>
      </w:pPr>
      <w:r>
        <w:rPr>
          <w:b w:val="0"/>
          <w:sz w:val="21"/>
        </w:rPr>
        <w:t>管段表是资产建模、健康评分、风险分析和地图点选联动的核心对象。健康评估、漏损分析、工单管理均建议以管段为主对象。</w:t>
      </w:r>
    </w:p>
    <w:p>
      <w:pPr>
        <w:spacing w:before="0" w:after="40" w:line="312" w:lineRule="auto"/>
        <w:jc w:val="left"/>
      </w:pPr>
      <w:r>
        <w:rPr>
          <w:b w:val="0"/>
          <w:sz w:val="20"/>
        </w:rPr>
        <w:t>表C-9 asset_pipe_section 管段表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管段主键。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section_code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管段编码。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network_id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所属管网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section_name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管段名称。</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pipe_material</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管材，如球墨铸铁、PE、钢管。</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diameter_mm</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DECIMAL(10,2)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管径，单位 mm。</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bury_depth_m</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DECIMAL(10,2)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埋深，单位 m。</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pipe_age_year</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管龄。</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old_flag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是否老旧管段。</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renovation_status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改造状态。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start_node_id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起点节点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end_node_id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终点节点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latest_health_score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DECIMAL(8,2)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最新健康评分。</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latest_risk_level</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最新风险等级。</w:t>
            </w:r>
          </w:p>
        </w:tc>
      </w:tr>
    </w:tbl>
    <w:p>
      <w:pPr>
        <w:pStyle w:val="Heading3"/>
      </w:pPr>
      <w:r>
        <w:t>C.5.3 asset_node（节点表）</w:t>
      </w:r>
    </w:p>
    <w:p>
      <w:pPr>
        <w:spacing w:before="0" w:after="120" w:line="312" w:lineRule="auto"/>
      </w:pPr>
      <w:r>
        <w:rPr>
          <w:b w:val="0"/>
          <w:sz w:val="21"/>
        </w:rPr>
        <w:t>节点表承接井室、连接点、转折点、监测点锚点等拓扑节点信息，既用于管网拓扑关系，也用于三维 GIS 场景的对象挂接。</w:t>
      </w:r>
    </w:p>
    <w:p>
      <w:pPr>
        <w:spacing w:before="0" w:after="40" w:line="312" w:lineRule="auto"/>
        <w:jc w:val="left"/>
      </w:pPr>
      <w:r>
        <w:rPr>
          <w:b w:val="0"/>
          <w:sz w:val="20"/>
        </w:rPr>
        <w:t>表C-10 asset_node 节点表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节点主键。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node_code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节点编码。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network_id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所属管网。</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node_type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节点类型，如井室、阀门井、监测井。</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node_name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节点名称。</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longitude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DECIMAL(12,7)</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经度。</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latitude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DECIMAL(12,7)</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纬度。</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elevation_m</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DECIMAL(10,2)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高程。</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access_status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可达状态。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online_flag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节点关联设备是否在线。</w:t>
            </w:r>
          </w:p>
        </w:tc>
      </w:tr>
    </w:tbl>
    <w:p>
      <w:pPr>
        <w:pStyle w:val="Heading3"/>
      </w:pPr>
      <w:r>
        <w:t>C.5.4 asset_facility（附属设施表）</w:t>
      </w:r>
    </w:p>
    <w:p>
      <w:pPr>
        <w:spacing w:before="0" w:after="120" w:line="312" w:lineRule="auto"/>
      </w:pPr>
      <w:r>
        <w:rPr>
          <w:b w:val="0"/>
          <w:sz w:val="21"/>
        </w:rPr>
        <w:t>附属设施包括阀门、泵站、调压站、流量计井、传感器箱体等，是一张图和运维工单的重要对象。</w:t>
      </w:r>
    </w:p>
    <w:p>
      <w:pPr>
        <w:spacing w:before="0" w:after="40" w:line="312" w:lineRule="auto"/>
        <w:jc w:val="left"/>
      </w:pPr>
      <w:r>
        <w:rPr>
          <w:b w:val="0"/>
          <w:sz w:val="20"/>
        </w:rPr>
        <w:t>表C-11 asset_facility 附属设施表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设施主键。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facility_code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设施编码。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section_id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所属管段。</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node_id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关联节点。</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facility_type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设施类型。</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facility_name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设施名称。</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manufacturer</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厂家信息。</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install_date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安装日期。</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maintain_cycle_day</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维护周期，单位天。</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facility_status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运行状态。</w:t>
            </w:r>
          </w:p>
        </w:tc>
      </w:tr>
    </w:tbl>
    <w:p>
      <w:pPr>
        <w:pStyle w:val="Heading3"/>
      </w:pPr>
      <w:r>
        <w:t>C.5.5 gis_feature（空间要素表）</w:t>
      </w:r>
    </w:p>
    <w:p>
      <w:pPr>
        <w:spacing w:before="0" w:after="120" w:line="312" w:lineRule="auto"/>
      </w:pPr>
      <w:r>
        <w:rPr>
          <w:b w:val="0"/>
          <w:sz w:val="21"/>
        </w:rPr>
        <w:t>为避免业务表与精确几何列耦合过深，建议单独维护 GIS 要素表，通过 object_type + object_id 关联资产对象。该表建议落在 PostGIS。</w:t>
      </w:r>
    </w:p>
    <w:p>
      <w:pPr>
        <w:spacing w:before="0" w:after="40" w:line="312" w:lineRule="auto"/>
        <w:jc w:val="left"/>
      </w:pPr>
      <w:r>
        <w:rPr>
          <w:b w:val="0"/>
          <w:sz w:val="20"/>
        </w:rPr>
        <w:t>表C-12 gis_feature 空间要素表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空间要素主键。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layer_code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所属图层编码。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object_type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对象类型，如 SECTION、NODE、FACILITY。</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object_id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关联业务对象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geom</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GEOMETRY</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GIST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几何对象，点/线/面。</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bbox_text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VARCHAR(255)</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包络框缓存值，便于快速联动。</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srid_code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坐标系 SRID。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z_value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DECIMAL(10,2)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三维场景高度/埋深辅助值。</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theme_style_json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JSON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专题渲染样式配置。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visible_flag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是否在一张图中显示。</w:t>
            </w:r>
          </w:p>
        </w:tc>
      </w:tr>
    </w:tbl>
    <w:p>
      <w:pPr>
        <w:pStyle w:val="Heading2"/>
      </w:pPr>
      <w:r>
        <w:t>C.6 设备接入与监测类表详细设计</w:t>
      </w:r>
    </w:p>
    <w:p>
      <w:pPr>
        <w:pStyle w:val="Heading3"/>
      </w:pPr>
      <w:r>
        <w:t>C.6.1 iot_device（监测设备表）</w:t>
      </w:r>
    </w:p>
    <w:p>
      <w:pPr>
        <w:spacing w:before="0" w:after="120" w:line="312" w:lineRule="auto"/>
      </w:pPr>
      <w:r>
        <w:rPr>
          <w:b w:val="0"/>
          <w:sz w:val="21"/>
        </w:rPr>
        <w:t>设备表用于登记采集网关、压力传感器、流量传感器、燃气浓度传感器等物联网设备。设备与测点建议分开建模，便于一台设备挂多个测点或一个测点切换设备。</w:t>
      </w:r>
    </w:p>
    <w:p>
      <w:pPr>
        <w:spacing w:before="0" w:after="40" w:line="312" w:lineRule="auto"/>
        <w:jc w:val="left"/>
      </w:pPr>
      <w:r>
        <w:rPr>
          <w:b w:val="0"/>
          <w:sz w:val="20"/>
        </w:rPr>
        <w:t>表C-13 iot_device 监测设备表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设备主键。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device_code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设备编码。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device_name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设备名称。</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device_type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设备类型。</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protocol_type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接入协议，如 MQTT、HTTP、Modbus。</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gateway_code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所属网关编码。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facility_id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安装设施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region_code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设备所在区域。</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online_status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在线状态。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last_online_time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最近在线时间。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firmware_version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固件版本。</w:t>
            </w:r>
          </w:p>
        </w:tc>
      </w:tr>
    </w:tbl>
    <w:p>
      <w:pPr>
        <w:pStyle w:val="Heading3"/>
      </w:pPr>
      <w:r>
        <w:t>C.6.2 iot_measure_point（监测测点表）</w:t>
      </w:r>
    </w:p>
    <w:p>
      <w:pPr>
        <w:spacing w:before="0" w:after="120" w:line="312" w:lineRule="auto"/>
      </w:pPr>
      <w:r>
        <w:rPr>
          <w:b w:val="0"/>
          <w:sz w:val="21"/>
        </w:rPr>
        <w:t>测点表是动态监测的最小业务单元，实时值、历史曲线、告警规则和分析任务均建议直接面向测点。</w:t>
      </w:r>
    </w:p>
    <w:p>
      <w:pPr>
        <w:spacing w:before="0" w:after="40" w:line="312" w:lineRule="auto"/>
        <w:jc w:val="left"/>
      </w:pPr>
      <w:r>
        <w:rPr>
          <w:b w:val="0"/>
          <w:sz w:val="20"/>
        </w:rPr>
        <w:t>表C-14 iot_measure_point 测点表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测点主键。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point_code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测点编码。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point_name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测点名称。</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device_id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所属设备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section_id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所属管段。</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node_id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所属节点。</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metric_type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指标类型，如 pressure、flow、gas。</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unit_name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VARCHAR(16)</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计量单位。</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sample_cycle_sec</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采样周期，单位秒。</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threshold_min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DECIMAL(16,4)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最小阈值。</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threshold_max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DECIMAL(16,4)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最大阈值。</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point_status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测点状态。</w:t>
            </w:r>
          </w:p>
        </w:tc>
      </w:tr>
    </w:tbl>
    <w:p>
      <w:pPr>
        <w:pStyle w:val="Heading3"/>
      </w:pPr>
      <w:r>
        <w:t>C.6.3 ts_measure_current（当前实时值表）</w:t>
      </w:r>
    </w:p>
    <w:p>
      <w:pPr>
        <w:spacing w:before="0" w:after="120" w:line="312" w:lineRule="auto"/>
      </w:pPr>
      <w:r>
        <w:rPr>
          <w:b w:val="0"/>
          <w:sz w:val="21"/>
        </w:rPr>
        <w:t>当前实时值表保存每个测点的最新状态，供首页卡片、详情页、地图弹窗和实时推送快速读取。该表可落在 MySQL，也可由 Redis 镜像加速访问。</w:t>
      </w:r>
    </w:p>
    <w:p>
      <w:pPr>
        <w:spacing w:before="0" w:after="40" w:line="312" w:lineRule="auto"/>
        <w:jc w:val="left"/>
      </w:pPr>
      <w:r>
        <w:rPr>
          <w:b w:val="0"/>
          <w:sz w:val="20"/>
        </w:rPr>
        <w:t>表C-15 ts_measure_current 当前实时值表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实时值主键。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point_id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测点 ID，一点仅保留一条最新记录。</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metric_type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指标类型。</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current_value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DECIMAL(18,6)</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当前值。</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quality_flag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质量标记，如正常、缺失、异常。</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alarm_flag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当前是否处于告警态。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collect_time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采集时间。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receive_time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平台接收时间。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edge_node_code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来源边缘节点。</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raw_payload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JSON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原始报文摘要。</w:t>
            </w:r>
          </w:p>
        </w:tc>
      </w:tr>
    </w:tbl>
    <w:p>
      <w:pPr>
        <w:pStyle w:val="Heading3"/>
      </w:pPr>
      <w:r>
        <w:t>C.6.4 ts_measure_history（监测历史表）</w:t>
      </w:r>
    </w:p>
    <w:p>
      <w:pPr>
        <w:spacing w:before="0" w:after="120" w:line="312" w:lineRule="auto"/>
      </w:pPr>
      <w:r>
        <w:rPr>
          <w:b w:val="0"/>
          <w:sz w:val="21"/>
        </w:rPr>
        <w:t>监测历史表承载高频时序数据，建议落在 TimescaleDB 并按时间分区；若一期先用 MySQL，可按月分表并保留聚合表。</w:t>
      </w:r>
    </w:p>
    <w:p>
      <w:pPr>
        <w:spacing w:before="0" w:after="40" w:line="312" w:lineRule="auto"/>
        <w:jc w:val="left"/>
      </w:pPr>
      <w:r>
        <w:rPr>
          <w:b w:val="0"/>
          <w:sz w:val="20"/>
        </w:rPr>
        <w:t>表C-16 ts_measure_history 监测历史表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历史记录主键。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point_id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测点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section_id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所属管段，便于区域统计。</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metric_type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指标类型。</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metric_value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DECIMAL(18,6)</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采样值。</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quality_flag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数据质量标记。</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collect_time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TIMESTAMP</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采集时间。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receive_time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TIMESTAMP</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平台入库时间。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calc_tag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是否为边缘清洗值、补偿值或原始值。</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trace_id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链路追踪号，便于排查。</w:t>
            </w:r>
          </w:p>
        </w:tc>
      </w:tr>
    </w:tbl>
    <w:p>
      <w:pPr>
        <w:spacing w:before="0" w:after="80" w:line="276" w:lineRule="auto"/>
      </w:pPr>
      <w:r>
        <w:rPr>
          <w:b w:val="0"/>
          <w:i/>
          <w:color w:val="666666"/>
          <w:sz w:val="19"/>
        </w:rPr>
        <w:t>索引建议：对 ts_measure_history 至少建立 (point_id, collect_time DESC) 和 (section_id, collect_time DESC) 组合索引；若使用 TimescaleDB，应对 collect_time 建 hypertable，并按 7 天或 30 天切块。</w:t>
      </w:r>
    </w:p>
    <w:p>
      <w:pPr>
        <w:pStyle w:val="Heading2"/>
      </w:pPr>
      <w:r>
        <w:t>C.7 健康评估与分析类表详细设计</w:t>
      </w:r>
    </w:p>
    <w:p>
      <w:pPr>
        <w:pStyle w:val="Heading3"/>
      </w:pPr>
      <w:r>
        <w:t>C.7.1 ana_health_score（健康评分结果表）</w:t>
      </w:r>
    </w:p>
    <w:p>
      <w:pPr>
        <w:spacing w:before="0" w:after="120" w:line="312" w:lineRule="auto"/>
      </w:pPr>
      <w:r>
        <w:rPr>
          <w:b w:val="0"/>
          <w:sz w:val="21"/>
        </w:rPr>
        <w:t>健康评分表用于存储按管段、区域或管网对象生成的健康评分结果，支撑总览大屏、风险分布和改造优先级排序。</w:t>
      </w:r>
    </w:p>
    <w:p>
      <w:pPr>
        <w:spacing w:before="0" w:after="40" w:line="312" w:lineRule="auto"/>
        <w:jc w:val="left"/>
      </w:pPr>
      <w:r>
        <w:rPr>
          <w:b w:val="0"/>
          <w:sz w:val="20"/>
        </w:rPr>
        <w:t>表C-17 ana_health_score 健康评分结果表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评分结果主键。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target_type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评分对象类型，如 NETWORK、SECTION、REGION。</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target_id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评分对象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score_date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评分日期。</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base_score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DECIMAL(8,2)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基础属性得分。</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runtime_score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DECIMAL(8,2)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运行状态得分。</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event_score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DECIMAL(8,2)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事件历史得分。</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env_score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DECIMAL(8,2)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环境影响得分。</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total_score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DECIMAL(8,2)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综合得分。</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health_level</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健康等级。</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rule_version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评分规则版本。</w:t>
            </w:r>
          </w:p>
        </w:tc>
      </w:tr>
    </w:tbl>
    <w:p>
      <w:pPr>
        <w:pStyle w:val="Heading3"/>
      </w:pPr>
      <w:r>
        <w:t>C.7.2 ana_leakage_result（漏损分析结果表）</w:t>
      </w:r>
    </w:p>
    <w:p>
      <w:pPr>
        <w:spacing w:before="0" w:after="120" w:line="312" w:lineRule="auto"/>
      </w:pPr>
      <w:r>
        <w:rPr>
          <w:b w:val="0"/>
          <w:sz w:val="21"/>
        </w:rPr>
        <w:t>该表承接漏损率计算、异常区段识别、疑似泄漏点定位和分析置信度输出，可同时满足工程化规则分析和后续研究型算法接入。</w:t>
      </w:r>
    </w:p>
    <w:p>
      <w:pPr>
        <w:spacing w:before="0" w:after="40" w:line="312" w:lineRule="auto"/>
        <w:jc w:val="left"/>
      </w:pPr>
      <w:r>
        <w:rPr>
          <w:b w:val="0"/>
          <w:sz w:val="20"/>
        </w:rPr>
        <w:t>表C-18 ana_leakage_result 漏损分析结果表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分析结果主键。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section_id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关联管段。</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task_id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分析任务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analysis_time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分析时间。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leakage_rate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DECIMAL(10,4)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漏损率。</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suspect_flag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是否疑似泄漏。</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suspect_location_text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VARCHAR(255)</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疑似位置描述。</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location_confidence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DECIMAL(8,4)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定位置信度。</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result_level</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结果等级。</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model_version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模型/规则版本。</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analysis_basis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VARCHAR(255)</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分析依据，如夜间最小流量、压力波动等。</w:t>
            </w:r>
          </w:p>
        </w:tc>
      </w:tr>
    </w:tbl>
    <w:p>
      <w:pPr>
        <w:pStyle w:val="Heading3"/>
      </w:pPr>
      <w:r>
        <w:t>C.7.3 ana_risk_result（风险评估结果表）</w:t>
      </w:r>
    </w:p>
    <w:p>
      <w:pPr>
        <w:spacing w:before="0" w:after="120" w:line="312" w:lineRule="auto"/>
      </w:pPr>
      <w:r>
        <w:rPr>
          <w:b w:val="0"/>
          <w:sz w:val="21"/>
        </w:rPr>
        <w:t>风险评估表用于落地老旧识别、风险等级识别、异常趋势分析等结果，是预警分级和改造决策的关键中间表。</w:t>
      </w:r>
    </w:p>
    <w:p>
      <w:pPr>
        <w:spacing w:before="0" w:after="40" w:line="312" w:lineRule="auto"/>
        <w:jc w:val="left"/>
      </w:pPr>
      <w:r>
        <w:rPr>
          <w:b w:val="0"/>
          <w:sz w:val="20"/>
        </w:rPr>
        <w:t>表C-19 ana_risk_result 风险评估结果表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风险结果主键。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target_type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评估对象类型。</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target_id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评估对象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eval_time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评估时间。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risk_score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DECIMAL(8,2)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风险分值。</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risk_level</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风险等级。</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old_pipe_flag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是否老旧高风险对象。</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trend_type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趋势类型，如上升、波动、稳定。</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main_factor_json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JSON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主要风险因子说明。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dispose_priority</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建议处置优先级。</w:t>
            </w:r>
          </w:p>
        </w:tc>
      </w:tr>
    </w:tbl>
    <w:p>
      <w:pPr>
        <w:pStyle w:val="Heading3"/>
      </w:pPr>
      <w:r>
        <w:t>C.7.4 ana_model_task（分析任务表）</w:t>
      </w:r>
    </w:p>
    <w:p>
      <w:pPr>
        <w:spacing w:before="0" w:after="120" w:line="312" w:lineRule="auto"/>
      </w:pPr>
      <w:r>
        <w:rPr>
          <w:b w:val="0"/>
          <w:sz w:val="21"/>
        </w:rPr>
        <w:t>为兼顾第二个文件中的研究型需求，建议保留分析任务表，用于记录规则分析、模型推理、边缘回传任务的输入输出与版本信息。</w:t>
      </w:r>
    </w:p>
    <w:p>
      <w:pPr>
        <w:spacing w:before="0" w:after="40" w:line="312" w:lineRule="auto"/>
        <w:jc w:val="left"/>
      </w:pPr>
      <w:r>
        <w:rPr>
          <w:b w:val="0"/>
          <w:sz w:val="20"/>
        </w:rPr>
        <w:t>表C-20 ana_model_task 分析任务表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任务主键。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task_code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任务编码。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task_type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任务类型，如 HEALTH、LEAK、RISK。</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target_scope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VARCHAR(255)</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执行范围，如某区域、某管网。</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trigger_type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触发方式：定时、事件、手工。</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model_version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模型版本。</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task_status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任务状态。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start_time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开始时间。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finish_time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结束时间。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result_summary</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VARCHAR(500)</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结果摘要。</w:t>
            </w:r>
          </w:p>
        </w:tc>
      </w:tr>
    </w:tbl>
    <w:p>
      <w:pPr>
        <w:pStyle w:val="Heading2"/>
      </w:pPr>
      <w:r>
        <w:t>C.8 预警处置与运维闭环类表详细设计</w:t>
      </w:r>
    </w:p>
    <w:p>
      <w:pPr>
        <w:pStyle w:val="Heading3"/>
      </w:pPr>
      <w:r>
        <w:t>C.8.1 ops_alert_rule（告警规则表）</w:t>
      </w:r>
    </w:p>
    <w:p>
      <w:pPr>
        <w:spacing w:before="0" w:after="120" w:line="312" w:lineRule="auto"/>
      </w:pPr>
      <w:r>
        <w:rPr>
          <w:b w:val="0"/>
          <w:sz w:val="21"/>
        </w:rPr>
        <w:t>告警规则表支撑阈值告警、波动告警、离线告警、复合规则告警，是实时推送和运维闭环的入口。</w:t>
      </w:r>
    </w:p>
    <w:p>
      <w:pPr>
        <w:spacing w:before="0" w:after="40" w:line="312" w:lineRule="auto"/>
        <w:jc w:val="left"/>
      </w:pPr>
      <w:r>
        <w:rPr>
          <w:b w:val="0"/>
          <w:sz w:val="20"/>
        </w:rPr>
        <w:t>表C-21 ops_alert_rule 告警规则表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规则主键。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rule_code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规则编码。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rule_name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VARCHAR(128)</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规则名称。</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metric_type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适用指标类型。</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target_scope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VARCHAR(255)</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作用范围，如区域、管网、测点集合。</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rule_expr</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VARCHAR(1000)</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判定表达式或 JSON 规则。</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alert_level</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命中后的默认告警等级。</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merge_window_min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合并窗口，单位分钟。</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notify_channel</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VARCHAR(255)</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通知渠道，如站内、短信、企业微信。</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rule_status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规则状态。</w:t>
            </w:r>
          </w:p>
        </w:tc>
      </w:tr>
    </w:tbl>
    <w:p>
      <w:pPr>
        <w:pStyle w:val="Heading3"/>
      </w:pPr>
      <w:r>
        <w:t>C.8.2 ops_alert_event（告警事件表）</w:t>
      </w:r>
    </w:p>
    <w:p>
      <w:pPr>
        <w:spacing w:before="0" w:after="120" w:line="312" w:lineRule="auto"/>
      </w:pPr>
      <w:r>
        <w:rPr>
          <w:b w:val="0"/>
          <w:sz w:val="21"/>
        </w:rPr>
        <w:t>告警事件表是告警中心的主表，用于记录一次完整的异常发现、确认、升级、关闭过程，并与工单和建议联动。</w:t>
      </w:r>
    </w:p>
    <w:p>
      <w:pPr>
        <w:spacing w:before="0" w:after="40" w:line="312" w:lineRule="auto"/>
        <w:jc w:val="left"/>
      </w:pPr>
      <w:r>
        <w:rPr>
          <w:b w:val="0"/>
          <w:sz w:val="20"/>
        </w:rPr>
        <w:t>表C-22 ops_alert_event 告警事件表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告警事件主键。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alert_code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告警编号。</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rule_id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命中的规则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target_type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告警对象类型。</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target_id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告警对象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point_id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触发测点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alert_title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VARCHAR(255)</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告警标题。</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alert_level</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告警等级。</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alert_status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告警状态：待确认、处理中、已关闭。</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occur_time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发生时间。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confirm_time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确认时间。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close_time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关闭时间。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work_order_id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关联工单 ID。</w:t>
            </w:r>
          </w:p>
        </w:tc>
      </w:tr>
    </w:tbl>
    <w:p>
      <w:pPr>
        <w:pStyle w:val="Heading3"/>
      </w:pPr>
      <w:r>
        <w:t>C.8.3 ops_suggestion（运维建议表）</w:t>
      </w:r>
    </w:p>
    <w:p>
      <w:pPr>
        <w:spacing w:before="0" w:after="120" w:line="312" w:lineRule="auto"/>
      </w:pPr>
      <w:r>
        <w:rPr>
          <w:b w:val="0"/>
          <w:sz w:val="21"/>
        </w:rPr>
        <w:t>建议表承接“发现问题”到“给出处置方向”的业务要求，可面向维护人员输出建议措施、优先级和处理状态。</w:t>
      </w:r>
    </w:p>
    <w:p>
      <w:pPr>
        <w:spacing w:before="0" w:after="40" w:line="312" w:lineRule="auto"/>
        <w:jc w:val="left"/>
      </w:pPr>
      <w:r>
        <w:rPr>
          <w:b w:val="0"/>
          <w:sz w:val="20"/>
        </w:rPr>
        <w:t>表C-23 ops_suggestion 运维建议表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建议主键。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suggest_code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建议编号。</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alert_id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关联告警事件。</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target_type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建议对象类型。</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target_id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建议对象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suggest_type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建议类型，如巡检、复测、开挖、改造。</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suggest_content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VARCHAR(1000)</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建议内容。</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priority_level</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优先级。</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deal_status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处理状态。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due_time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建议完成时限。</w:t>
            </w:r>
          </w:p>
        </w:tc>
      </w:tr>
    </w:tbl>
    <w:p>
      <w:pPr>
        <w:pStyle w:val="Heading3"/>
      </w:pPr>
      <w:r>
        <w:t>C.8.4 ops_work_order（工单表）</w:t>
      </w:r>
    </w:p>
    <w:p>
      <w:pPr>
        <w:spacing w:before="0" w:after="120" w:line="312" w:lineRule="auto"/>
      </w:pPr>
      <w:r>
        <w:rPr>
          <w:b w:val="0"/>
          <w:sz w:val="21"/>
        </w:rPr>
        <w:t>工单表是运维闭环的主事务表，建议同一工单既可由告警触发，也可由人工巡检、计划性维护直接创建。</w:t>
      </w:r>
    </w:p>
    <w:p>
      <w:pPr>
        <w:spacing w:before="0" w:after="40" w:line="312" w:lineRule="auto"/>
        <w:jc w:val="left"/>
      </w:pPr>
      <w:r>
        <w:rPr>
          <w:b w:val="0"/>
          <w:sz w:val="20"/>
        </w:rPr>
        <w:t>表C-24 ops_work_order 工单表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工单主键。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work_order_code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工单编号。</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source_type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来源类型，如 ALERT、PATROL、MANUAL。</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source_id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来源对象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title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VARCHAR(255)</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工单标题。</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target_type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处置对象类型。</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target_id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处置对象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region_code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所属区域。</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assignee_user_id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指派人员。</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work_status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工单状态。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expect_finish_time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期望完成时间。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actual_finish_time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实际完成时间。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result_summary</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VARCHAR(500)</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处理结果摘要。</w:t>
            </w:r>
          </w:p>
        </w:tc>
      </w:tr>
    </w:tbl>
    <w:p>
      <w:pPr>
        <w:pStyle w:val="Heading3"/>
      </w:pPr>
      <w:r>
        <w:t>C.8.5 ops_work_order_log（工单处理日志表）</w:t>
      </w:r>
    </w:p>
    <w:p>
      <w:pPr>
        <w:spacing w:before="0" w:after="120" w:line="312" w:lineRule="auto"/>
      </w:pPr>
      <w:r>
        <w:rPr>
          <w:b w:val="0"/>
          <w:sz w:val="21"/>
        </w:rPr>
        <w:t>工单日志表用于记录派发、接单、到场、处理、复核、关闭等完整流程，是审计、追责和复盘分析的关键依据。</w:t>
      </w:r>
    </w:p>
    <w:p>
      <w:pPr>
        <w:spacing w:before="0" w:after="40" w:line="312" w:lineRule="auto"/>
        <w:jc w:val="left"/>
      </w:pPr>
      <w:r>
        <w:rPr>
          <w:b w:val="0"/>
          <w:sz w:val="20"/>
        </w:rPr>
        <w:t>表C-25 ops_work_order_log 工单处理日志表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日志主键。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work_order_id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所属工单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action_type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动作类型。</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operator_user_id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操作人。</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action_time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操作时间。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before_status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动作前状态。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after_status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动作后状态。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action_desc</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VARCHAR(500)</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操作说明。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attachment_group_id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现场图片、附件分组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location_text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VARCHAR(255)</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现场位置描述。</w:t>
            </w:r>
          </w:p>
        </w:tc>
      </w:tr>
    </w:tbl>
    <w:p>
      <w:pPr>
        <w:pStyle w:val="Heading2"/>
      </w:pPr>
      <w:r>
        <w:t>C.9 决策展示与集成同步类表详细设计</w:t>
      </w:r>
    </w:p>
    <w:p>
      <w:pPr>
        <w:pStyle w:val="Heading3"/>
      </w:pPr>
      <w:r>
        <w:t>C.9.1 rpt_report_task（报表任务表）</w:t>
      </w:r>
    </w:p>
    <w:p>
      <w:pPr>
        <w:spacing w:before="0" w:after="120" w:line="312" w:lineRule="auto"/>
      </w:pPr>
      <w:r>
        <w:rPr>
          <w:b w:val="0"/>
          <w:sz w:val="21"/>
        </w:rPr>
        <w:t>报表任务表用于支撑日报、周报、月报和专题分析报表的异步生成，避免前端下载时直接扫描大表。</w:t>
      </w:r>
    </w:p>
    <w:p>
      <w:pPr>
        <w:spacing w:before="0" w:after="40" w:line="312" w:lineRule="auto"/>
        <w:jc w:val="left"/>
      </w:pPr>
      <w:r>
        <w:rPr>
          <w:b w:val="0"/>
          <w:sz w:val="20"/>
        </w:rPr>
        <w:t>表C-26 rpt_report_task 报表任务表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任务主键。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task_code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UQ/NN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报表任务编号。</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report_type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报表类型。</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stat_scope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VARCHAR(255)</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统计范围。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stat_period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统计周期。</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task_status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任务状态。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file_id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生成文件 ID。</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submit_user_id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提交人。</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submit_time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提交时间。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finish_time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完成时间。</w:t>
            </w:r>
          </w:p>
        </w:tc>
      </w:tr>
    </w:tbl>
    <w:p>
      <w:pPr>
        <w:pStyle w:val="Heading3"/>
      </w:pPr>
      <w:r>
        <w:t>C.9.2 viz_dashboard_snapshot（大屏快照表）</w:t>
      </w:r>
    </w:p>
    <w:p>
      <w:pPr>
        <w:spacing w:before="0" w:after="120" w:line="312" w:lineRule="auto"/>
      </w:pPr>
      <w:r>
        <w:rPr>
          <w:b w:val="0"/>
          <w:sz w:val="21"/>
        </w:rPr>
        <w:t>大屏快照表用于固化某一时刻的全市健康态势、风险分布、在线设备率等指标，便于快速加载首页和追溯历史态势。</w:t>
      </w:r>
    </w:p>
    <w:p>
      <w:pPr>
        <w:spacing w:before="0" w:after="40" w:line="312" w:lineRule="auto"/>
        <w:jc w:val="left"/>
      </w:pPr>
      <w:r>
        <w:rPr>
          <w:b w:val="0"/>
          <w:sz w:val="20"/>
        </w:rPr>
        <w:t>表C-27 viz_dashboard_snapshot 大屏快照表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快照主键。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snapshot_time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快照生成时间。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region_code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区域编码。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network_id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管网范围。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health_index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DECIMAL(8,2)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健康指数。</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risk_count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风险点数量。</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alert_count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告警数量。</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online_rate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DECIMAL(8,2)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设备在线率。</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dashboard_json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JSON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大屏聚合指标明细。</w:t>
            </w:r>
          </w:p>
        </w:tc>
      </w:tr>
    </w:tbl>
    <w:p>
      <w:pPr>
        <w:pStyle w:val="Heading3"/>
      </w:pPr>
      <w:r>
        <w:t>C.9.3 int_sync_log（同步日志表）</w:t>
      </w:r>
    </w:p>
    <w:p>
      <w:pPr>
        <w:spacing w:before="0" w:after="120" w:line="312" w:lineRule="auto"/>
      </w:pPr>
      <w:r>
        <w:rPr>
          <w:b w:val="0"/>
          <w:sz w:val="21"/>
        </w:rPr>
        <w:t>同步日志表用于记录第三方接口、边缘节点回传、离线文件导入等数据交换过程，便于问题定位和责任追踪。</w:t>
      </w:r>
    </w:p>
    <w:p>
      <w:pPr>
        <w:spacing w:before="0" w:after="40" w:line="312" w:lineRule="auto"/>
        <w:jc w:val="left"/>
      </w:pPr>
      <w:r>
        <w:rPr>
          <w:b w:val="0"/>
          <w:sz w:val="20"/>
        </w:rPr>
        <w:t>表C-28 int_sync_log 同步日志表</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字段名</w:t>
            </w:r>
          </w:p>
        </w:tc>
        <w:tc>
          <w:tcPr>
            <w:tcW w:type="dxa" w:w="158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类型</w:t>
            </w:r>
          </w:p>
        </w:tc>
        <w:tc>
          <w:tcPr>
            <w:tcW w:type="dxa" w:w="1701"/>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约束/索引</w:t>
            </w:r>
          </w:p>
        </w:tc>
        <w:tc>
          <w:tcPr>
            <w:tcW w:type="dxa" w:w="3969"/>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BIGINT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PK</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同步日志主键。</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source_code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数据源编码。</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sync_type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同步类型，如 API、MQTT、FILE。</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biz_domain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VARCHAR(32)</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业务域，如 ASSET、MONITOR、ALERT。</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trace_id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VARCHAR(64)</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链路追踪号。</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request_time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IDX/NN</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请求时间。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finish_time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DATETIME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完成时间。</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success_flag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TINYINT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IDX</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是否成功。</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record_count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INT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处理记录条数。</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error_message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VARCHAR(1000)</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错误摘要。</w:t>
            </w:r>
          </w:p>
        </w:tc>
      </w:tr>
    </w:tbl>
    <w:p>
      <w:pPr>
        <w:spacing w:before="0" w:after="40" w:line="312" w:lineRule="auto"/>
        <w:jc w:val="left"/>
      </w:pPr>
      <w:r>
        <w:rPr>
          <w:b w:val="0"/>
          <w:sz w:val="20"/>
        </w:rPr>
        <w:t>表C-29 可选扩展表建议</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814"/>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表名</w:t>
            </w:r>
          </w:p>
        </w:tc>
        <w:tc>
          <w:tcPr>
            <w:tcW w:type="dxa" w:w="1417"/>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适用阶段</w:t>
            </w:r>
          </w:p>
        </w:tc>
        <w:tc>
          <w:tcPr>
            <w:tcW w:type="dxa" w:w="2948"/>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主要作用</w:t>
            </w:r>
          </w:p>
        </w:tc>
        <w:tc>
          <w:tcPr>
            <w:tcW w:type="dxa" w:w="2438"/>
            <w:shd w:fill="1F4E78"/>
            <w:tcBorders>
              <w:top w:val="single" w:sz="6" w:space="0" w:color="8EA9C1"/>
              <w:left w:val="single" w:sz="6" w:space="0" w:color="8EA9C1"/>
              <w:bottom w:val="single" w:sz="6" w:space="0" w:color="8EA9C1"/>
              <w:right w:val="single" w:sz="6" w:space="0" w:color="8EA9C1"/>
            </w:tcBorders>
            <w:vAlign w:val="center"/>
            <w:tcMar>
              <w:top w:w="80" w:type="dxa"/>
              <w:start w:w="90" w:type="dxa"/>
              <w:bottom w:w="80" w:type="dxa"/>
              <w:end w:w="90" w:type="dxa"/>
            </w:tcMar>
          </w:tcPr>
          <w:p>
            <w:pPr>
              <w:jc w:val="center"/>
            </w:pPr>
            <w:r>
              <w:rPr>
                <w:b/>
                <w:color w:val="FFFFFF"/>
                <w:sz w:val="18"/>
              </w:rPr>
              <w:t>说明</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int_data_source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一期/二期</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登记第三方系统或边缘节点的数据源参数</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便于对接 GIS、SCADA、IoT 平台或外部档案系统。</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int_edge_node</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二期</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登记边缘节点信息与在线状态</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支撑云-边-端协同监测与回传。</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ops_alert_notify_log</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一期</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记录站内消息、短信、企业微信推送结果</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便于统计告警触达率。</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asset_maintenance_record</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二期</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记录非工单方式的例行维护历史</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便于提升健康评分解释性。</w:t>
            </w:r>
          </w:p>
        </w:tc>
      </w:tr>
      <w:tr>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ts_measure_hourly_stats</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二期</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center"/>
            </w:pPr>
            <w:r>
              <w:rPr>
                <w:sz w:val="17"/>
              </w:rPr>
              <w:t>保存小时级聚合结果</w:t>
            </w:r>
          </w:p>
        </w:tc>
        <w:tc>
          <w:tcPr>
            <w:tcW w:type="dxa" w:w="2353"/>
            <w:vAlign w:val="center"/>
            <w:tcMar>
              <w:top w:w="70" w:type="dxa"/>
              <w:start w:w="90" w:type="dxa"/>
              <w:bottom w:w="70" w:type="dxa"/>
              <w:end w:w="90" w:type="dxa"/>
            </w:tcMar>
            <w:tcBorders>
              <w:top w:val="single" w:sz="4" w:space="0" w:color="B7C6D9"/>
              <w:left w:val="single" w:sz="4" w:space="0" w:color="B7C6D9"/>
              <w:bottom w:val="single" w:sz="4" w:space="0" w:color="B7C6D9"/>
              <w:right w:val="single" w:sz="4" w:space="0" w:color="B7C6D9"/>
            </w:tcBorders>
          </w:tcPr>
          <w:p>
            <w:pPr>
              <w:jc w:val="left"/>
            </w:pPr>
            <w:r>
              <w:rPr>
                <w:sz w:val="17"/>
              </w:rPr>
              <w:t>降低大屏与报表对历史明细表的压力。</w:t>
            </w:r>
          </w:p>
        </w:tc>
      </w:tr>
    </w:tbl>
    <w:p>
      <w:pPr>
        <w:pStyle w:val="Heading2"/>
      </w:pPr>
      <w:r>
        <w:t>C.10 索引、分区与数据保留策略</w:t>
      </w:r>
    </w:p>
    <w:p>
      <w:pPr>
        <w:spacing w:before="0" w:after="120" w:line="312" w:lineRule="auto"/>
      </w:pPr>
      <w:r>
        <w:rPr>
          <w:b w:val="0"/>
          <w:sz w:val="21"/>
        </w:rPr>
        <w:t>数据库详细设计不能只停留在字段层，还需要为高频写入、地图查询、报表统计和工单检索提前布置索引与分区策略。建议如下：</w:t>
      </w:r>
    </w:p>
    <w:p>
      <w:pPr>
        <w:pStyle w:val="ListBullet"/>
        <w:spacing w:before="0" w:after="40" w:line="288" w:lineRule="auto"/>
      </w:pPr>
      <w:r>
        <w:rPr>
          <w:b w:val="0"/>
          <w:sz w:val="21"/>
        </w:rPr>
        <w:t>资产档案类表重点建立编码唯一索引、所属管网索引、区域索引和状态索引，例如 asset_pipe_section(section_code)、asset_pipe_section(network_id, renovation_status)。</w:t>
      </w:r>
    </w:p>
    <w:p>
      <w:pPr>
        <w:pStyle w:val="ListBullet"/>
        <w:spacing w:before="0" w:after="40" w:line="288" w:lineRule="auto"/>
      </w:pPr>
      <w:r>
        <w:rPr>
          <w:b w:val="0"/>
          <w:sz w:val="21"/>
        </w:rPr>
        <w:t>空间要素表 gis_feature 必须对 geom 建 GIST 空间索引；若常做对象联动，还应建立 (object_type, object_id) 组合索引。</w:t>
      </w:r>
    </w:p>
    <w:p>
      <w:pPr>
        <w:pStyle w:val="ListBullet"/>
        <w:spacing w:before="0" w:after="40" w:line="288" w:lineRule="auto"/>
      </w:pPr>
      <w:r>
        <w:rPr>
          <w:b w:val="0"/>
          <w:sz w:val="21"/>
        </w:rPr>
        <w:t>时序历史表 ts_measure_history 建议按时间分块，并对 point_id + collect_time、section_id + collect_time 建组合索引，避免趋势页和区域统计全表扫描。</w:t>
      </w:r>
    </w:p>
    <w:p>
      <w:pPr>
        <w:pStyle w:val="ListBullet"/>
        <w:spacing w:before="0" w:after="40" w:line="288" w:lineRule="auto"/>
      </w:pPr>
      <w:r>
        <w:rPr>
          <w:b w:val="0"/>
          <w:sz w:val="21"/>
        </w:rPr>
        <w:t>告警表 ops_alert_event 需重点优化 alert_status、alert_level、occur_time、target_id 等索引；工单表需优化 assignee_user_id、work_status、expect_finish_time。</w:t>
      </w:r>
    </w:p>
    <w:p>
      <w:pPr>
        <w:pStyle w:val="ListBullet"/>
        <w:spacing w:before="0" w:after="40" w:line="288" w:lineRule="auto"/>
      </w:pPr>
      <w:r>
        <w:rPr>
          <w:b w:val="0"/>
          <w:sz w:val="21"/>
        </w:rPr>
        <w:t>报表与大屏读取尽量走快照表和聚合表，不建议直接扫描原始时序明细表。</w:t>
      </w:r>
    </w:p>
    <w:p>
      <w:pPr>
        <w:spacing w:before="0" w:after="120" w:line="312" w:lineRule="auto"/>
      </w:pPr>
      <w:r>
        <w:rPr>
          <w:b w:val="0"/>
          <w:sz w:val="21"/>
        </w:rPr>
        <w:t>数据保留方面，建议原始高频监测明细保留 6~12 个月，之后可按小时或天级聚合留存；健康评分、风险分析、告警和工单日志原则上长期保存，以满足追溯、考核与审计需要。</w:t>
      </w:r>
    </w:p>
    <w:p>
      <w:pPr>
        <w:pStyle w:val="Heading2"/>
      </w:pPr>
      <w:r>
        <w:t>C.11 落库流程与开发实施建议</w:t>
      </w:r>
    </w:p>
    <w:p>
      <w:pPr>
        <w:spacing w:before="0" w:after="120" w:line="312" w:lineRule="auto"/>
      </w:pPr>
      <w:r>
        <w:rPr>
          <w:b w:val="0"/>
          <w:sz w:val="21"/>
        </w:rPr>
        <w:t>从开发落地角度，建议先建“高优先级首期表”，再逐步扩展到研究型与分析型表。首期优先上线 sys_user、sys_role、asset_network、asset_pipe_section、asset_node、asset_facility、gis_feature、iot_device、iot_measure_point、ts_measure_current、ts_measure_history、ana_health_score、ana_risk_result、ops_alert_rule、ops_alert_event、ops_suggestion、ops_work_order、ops_work_order_log。</w:t>
      </w:r>
    </w:p>
    <w:p>
      <w:pPr>
        <w:spacing w:before="0" w:after="120" w:line="312" w:lineRule="auto"/>
      </w:pPr>
      <w:r>
        <w:rPr>
          <w:b w:val="0"/>
          <w:sz w:val="21"/>
        </w:rPr>
        <w:t>实现顺序建议为：第一步完成基础档案与权限模型；第二步完成设备、测点与实时/历史监测表；第三步完成健康评分、漏损分析与风险结果表；第四步完成告警、建议、工单及日志表；第五步接入报表快照和同步日志；第六步再扩展分析任务表、边缘节点表和聚合统计表。这样可以确保系统先跑通“资产—监测—评估—预警—处置”的主链，再逐步接入更复杂的数字孪生和研究型模型。</w:t>
      </w:r>
    </w:p>
    <w:p>
      <w:pPr>
        <w:spacing w:before="0" w:after="80" w:line="276" w:lineRule="auto"/>
      </w:pPr>
      <w:r>
        <w:rPr>
          <w:b w:val="0"/>
          <w:i/>
          <w:color w:val="666666"/>
          <w:sz w:val="19"/>
        </w:rPr>
        <w:t>本附录已经将“前端与后端技术栈方案”中的存储建议细化为数据库级落地方案，后续若你继续推进，我最建议下一步直接补“数据库物理建表 SQL + 接口字段字典 + ER 图”。</w:t>
      </w:r>
    </w:p>
    <w:sectPr w:rsidR="00FC693F" w:rsidRPr="0006063C" w:rsidSect="00034616">
      <w:headerReference w:type="default" r:id="rId9"/>
      <w:footerReference w:type="default" r:id="rId10"/>
      <w:pgSz w:w="11906" w:h="16838"/>
      <w:pgMar w:top="1247" w:right="1191"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微软雅黑"/>
        <w:color w:val="808080"/>
        <w:sz w:val="17"/>
      </w:rPr>
      <w:t>— 方案文档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rial" w:hAnsi="Arial" w:eastAsia="微软雅黑"/>
        <w:color w:val="808080"/>
        <w:sz w:val="17"/>
      </w:rPr>
      <w:t>地下管网数字化健康监测系统详细设计方案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微软雅黑"/>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微软雅黑"/>
      <w:b/>
      <w:bCs/>
      <w:color w:val="24406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微软雅黑"/>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N">
    <w:name w:val="TitleCN"/>
  </w:style>
  <w:style w:type="paragraph" w:customStyle="1" w:styleId="SubtitleCN">
    <w:name w:val="SubtitleCN"/>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