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E09B7">
      <w:pPr>
        <w:spacing w:before="110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44"/>
        </w:rPr>
        <w:t>地下管网一体化监测运维与应急指挥平台</w:t>
      </w:r>
      <w:r>
        <w:rPr>
          <w:rFonts w:hint="eastAsia" w:ascii="楷体" w:hAnsi="楷体" w:eastAsia="楷体" w:cs="楷体"/>
          <w:b/>
          <w:i w:val="0"/>
          <w:color w:val="1F4E79"/>
          <w:sz w:val="44"/>
        </w:rPr>
        <w:br w:type="textWrapping"/>
      </w:r>
      <w:r>
        <w:rPr>
          <w:rFonts w:hint="eastAsia" w:ascii="楷体" w:hAnsi="楷体" w:eastAsia="楷体" w:cs="楷体"/>
          <w:b/>
          <w:i w:val="0"/>
          <w:color w:val="1F4E79"/>
          <w:sz w:val="44"/>
        </w:rPr>
        <w:t>工程级设计方案（审查修订版）</w:t>
      </w:r>
    </w:p>
    <w:p w14:paraId="2FE76112">
      <w:pPr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color w:val="44546A"/>
          <w:sz w:val="25"/>
        </w:rPr>
        <w:t>依据《审查报告》对原方案进行结构化修订、补缺与可交付化整理</w:t>
      </w:r>
    </w:p>
    <w:p w14:paraId="61F48AD6">
      <w:pPr>
        <w:rPr>
          <w:rFonts w:hint="eastAsia" w:ascii="楷体" w:hAnsi="楷体" w:eastAsia="楷体" w:cs="楷体"/>
        </w:rPr>
      </w:pP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520"/>
      </w:tblGrid>
      <w:tr w14:paraId="14FB099F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5BDEE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文档版本</w:t>
            </w:r>
          </w:p>
        </w:tc>
        <w:tc>
          <w:tcPr>
            <w:tcW w:w="6520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2698D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V3.0（审查修订版）</w:t>
            </w:r>
          </w:p>
        </w:tc>
      </w:tr>
      <w:tr w14:paraId="41884602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3003D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修订日期</w:t>
            </w:r>
          </w:p>
        </w:tc>
        <w:tc>
          <w:tcPr>
            <w:tcW w:w="65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D40AD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2026-04-10</w:t>
            </w:r>
          </w:p>
        </w:tc>
      </w:tr>
      <w:tr w14:paraId="54522BA8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618BF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修订依据</w:t>
            </w:r>
          </w:p>
        </w:tc>
        <w:tc>
          <w:tcPr>
            <w:tcW w:w="65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BF4CD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原设计方案 + 审查报告</w:t>
            </w:r>
          </w:p>
        </w:tc>
      </w:tr>
      <w:tr w14:paraId="361948D7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BEDE1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适用阶段</w:t>
            </w:r>
          </w:p>
        </w:tc>
        <w:tc>
          <w:tcPr>
            <w:tcW w:w="65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7E670F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一期立项、详细设计、前后端拆分、验收条款编制</w:t>
            </w:r>
          </w:p>
        </w:tc>
      </w:tr>
    </w:tbl>
    <w:p w14:paraId="29030463">
      <w:pPr>
        <w:spacing w:before="200" w:after="0" w:line="324" w:lineRule="auto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本版定位为“可直接用于工程实施与评审”的修订稿：在保留原方案业务目标、统一口径、两期交付、告警闭环、模型治理等核心设定的前提下，针对审查报告提出的高优先级隐患逐项补齐、细化和工程化。</w:t>
      </w:r>
    </w:p>
    <w:p w14:paraId="5F40510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修订原则声明：本次修订属于“在原方案基础上的增强与纠偏”，不是对原业务目标和实施路线的推翻重写。原方案中已经成立且仍然适用的业务目标、系统边界、一期建设范围、二期增强策略继续有效，本版仅对缺失的安全、可靠性、数据治理、运维和算法工程条款进行补充，并将其整理为可实施、可验收的工程设计要求。</w:t>
      </w:r>
    </w:p>
    <w:p w14:paraId="4207B01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为避免评审误解，本文后续凡写“补齐”“增强”“新增约束”，均表示在原方案目标不变的前提下追加工程要求，而非将原方案目标“合并吸收后不再单独成立”。</w:t>
      </w:r>
    </w:p>
    <w:p w14:paraId="12D5318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01437F2">
      <w:pPr>
        <w:pStyle w:val="4"/>
        <w:bidi w:val="0"/>
        <w:rPr>
          <w:rFonts w:hint="eastAsia"/>
        </w:rPr>
      </w:pPr>
      <w:r>
        <w:rPr>
          <w:rFonts w:hint="eastAsia"/>
        </w:rPr>
        <w:t>1. 执行摘要</w:t>
      </w:r>
    </w:p>
    <w:p w14:paraId="681BE60D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本次修订不改变原方案的总入口口径，即“SSO → Portal → 综合管理平台 / 应急指挥平台 / 智能诊断中枢”。同时明确保留原方案已提出且继续有效的业务目标：完成地下管网资产/GIS、设备接入、时序存储、实时监测、基础告警与工单闭环、算法接口预留，以及“一期全模块展示、二期算法与三维增强”的总体实施策略。本次工作的重点，是把原文中对工程落地影响最大的缺口写成可以直接执行、直接验收的设计条款。</w:t>
      </w:r>
    </w:p>
    <w:p w14:paraId="1176F7E9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补齐安全基线：增加 Token 生命周期、吊销与旋转策略，明确 WebSocket 安全、TLS 传输加密、静态加密、API Gateway 防护与算法工程师数据访问约束。</w:t>
      </w:r>
    </w:p>
    <w:p w14:paraId="18D1E58C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补齐可靠性与韧性：增加 SSO 高可用与应急旁路、Gateway/关键依赖熔断与隔仓、边缘断网补偿、跨服务最终一致性、WebSocket 水平扩展与断连补偿。</w:t>
      </w:r>
    </w:p>
    <w:p w14:paraId="6FE704CB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补齐数据治理：增加数据质量评分、传感器标定与漂移管理、主数据并发变更冲突控制、坐标系与 Z 轴深度标准。</w:t>
      </w:r>
    </w:p>
    <w:p w14:paraId="41DFF411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补齐运维工程化：明确 RPO/RTO 建议值、可观测性自身高可用、Runbook、配置与密钥管理、CI/CD、容器化与 IaC 要求。</w:t>
      </w:r>
    </w:p>
    <w:p w14:paraId="193D8DDF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补齐算法工程：增加 Training-Serving 一致性、特征视图/Feature Store、ST-GNN 拓扑变更与冷启动策略、漂移检测指标。</w:t>
      </w:r>
    </w:p>
    <w:p w14:paraId="61023551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补齐文档交付质量：删除无法在 Word 中直接渲染的 Mermaid 原始文本，改为内嵌图片；正文不再使用冲突编号引用，参考资料统一放入附录。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CC0136C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39461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20"/>
              </w:rPr>
              <w:t>本版的使用建议</w:t>
            </w:r>
          </w:p>
        </w:tc>
      </w:tr>
      <w:tr w14:paraId="5A82F017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7FB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463D3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  <w:lang w:eastAsia="zh-CN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20"/>
              </w:rPr>
              <w:t>若后续需要继续做前后端分离和开发任务拆分，优先以本版中的“平台职责边界、接口契约、RPO/RTO、SLO、数据治理规则、部署与运维条款、验收检查表”为准</w:t>
            </w:r>
            <w:r>
              <w:rPr>
                <w:rFonts w:hint="eastAsia" w:ascii="楷体" w:hAnsi="楷体" w:eastAsia="楷体" w:cs="楷体"/>
                <w:b w:val="0"/>
                <w:i w:val="0"/>
                <w:sz w:val="20"/>
                <w:lang w:eastAsia="zh-CN"/>
              </w:rPr>
              <w:t>。</w:t>
            </w:r>
          </w:p>
        </w:tc>
      </w:tr>
    </w:tbl>
    <w:p w14:paraId="5A5093CB">
      <w:pPr>
        <w:rPr>
          <w:rFonts w:hint="eastAsia" w:ascii="楷体" w:hAnsi="楷体" w:eastAsia="楷体" w:cs="楷体"/>
        </w:rPr>
      </w:pPr>
    </w:p>
    <w:p w14:paraId="4EFB6DE4">
      <w:pPr>
        <w:pStyle w:val="3"/>
        <w:spacing w:before="20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40"/>
        </w:rPr>
        <w:t>2. 审查意见闭环与修订总表</w:t>
      </w:r>
    </w:p>
    <w:p w14:paraId="70658299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1"/>
        </w:rPr>
        <w:t>下表用于回答“审查报告指出的问题在修订稿里落到了哪里”。后续评审时，可直接按此表核对是否闭环。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082"/>
        <w:gridCol w:w="1587"/>
        <w:gridCol w:w="1020"/>
      </w:tblGrid>
      <w:tr w14:paraId="187563E3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1407D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审查问题</w:t>
            </w:r>
          </w:p>
        </w:tc>
        <w:tc>
          <w:tcPr>
            <w:tcW w:w="4082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8CEAE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本次修订动作</w:t>
            </w:r>
          </w:p>
        </w:tc>
        <w:tc>
          <w:tcPr>
            <w:tcW w:w="158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CE2D1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落点章节</w:t>
            </w:r>
          </w:p>
        </w:tc>
        <w:tc>
          <w:tcPr>
            <w:tcW w:w="1020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DE1CB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优先级</w:t>
            </w:r>
          </w:p>
        </w:tc>
      </w:tr>
      <w:tr w14:paraId="537F2354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43B03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Token 生命周期与吊销缺失</w:t>
            </w:r>
          </w:p>
        </w:tc>
        <w:tc>
          <w:tcPr>
            <w:tcW w:w="408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4FD6D9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新增“认证与令牌安全基线”章节，写死 Access Token、Refresh Token、Rotation、吊销与黑名单方案。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4FD7C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第 4.1 节</w:t>
            </w:r>
          </w:p>
        </w:tc>
        <w:tc>
          <w:tcPr>
            <w:tcW w:w="10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3CDA1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P0</w:t>
            </w:r>
          </w:p>
        </w:tc>
      </w:tr>
      <w:tr w14:paraId="6A2FAD3A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CD53A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SSO 单点故障</w:t>
            </w:r>
          </w:p>
        </w:tc>
        <w:tc>
          <w:tcPr>
            <w:tcW w:w="408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CA9522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新增 SSO 双实例/双可用区、会话缓存、应急旁路账号与离线令牌缓存方案。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D6883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第 4.2 节、8.1 节</w:t>
            </w:r>
          </w:p>
        </w:tc>
        <w:tc>
          <w:tcPr>
            <w:tcW w:w="10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E4C46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P0</w:t>
            </w:r>
          </w:p>
        </w:tc>
      </w:tr>
      <w:tr w14:paraId="78758F0B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33FF83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WebSocket 安全与扩展不足</w:t>
            </w:r>
          </w:p>
        </w:tc>
        <w:tc>
          <w:tcPr>
            <w:tcW w:w="408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619A3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补充连接数限制、心跳、帧大小、CSRF、粘性会话、断连重连与消息补偿。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A258B9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第 4.3 节、8.2 节</w:t>
            </w:r>
          </w:p>
        </w:tc>
        <w:tc>
          <w:tcPr>
            <w:tcW w:w="10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1F6CA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P1</w:t>
            </w:r>
          </w:p>
        </w:tc>
      </w:tr>
      <w:tr w14:paraId="1C00DE5C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80F29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RPO/RTO 未指定</w:t>
            </w:r>
          </w:p>
        </w:tc>
        <w:tc>
          <w:tcPr>
            <w:tcW w:w="408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72087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新增业务域分级 RPO/RTO 建议值与恢复演练要求。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144B7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第 6.3 节</w:t>
            </w:r>
          </w:p>
        </w:tc>
        <w:tc>
          <w:tcPr>
            <w:tcW w:w="10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50123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P0</w:t>
            </w:r>
          </w:p>
        </w:tc>
      </w:tr>
      <w:tr w14:paraId="5B30BBCF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227A8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数据质量与标定流程缺失</w:t>
            </w:r>
          </w:p>
        </w:tc>
        <w:tc>
          <w:tcPr>
            <w:tcW w:w="408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8A975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新增接入层质量评分、标定与漂移管理、异常与传感器故障区分规则。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9F3C5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第 7.2 节、7.3 节</w:t>
            </w:r>
          </w:p>
        </w:tc>
        <w:tc>
          <w:tcPr>
            <w:tcW w:w="10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EA1C2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P1</w:t>
            </w:r>
          </w:p>
        </w:tc>
      </w:tr>
      <w:tr w14:paraId="3B4C4606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4D99C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坐标系/Z 轴未指定</w:t>
            </w:r>
          </w:p>
        </w:tc>
        <w:tc>
          <w:tcPr>
            <w:tcW w:w="408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AE346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统一建议采用“内部权威坐标 + 外部展示坐标”的双坐标体系，并补充埋深/Z 值规则。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B8EA2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第 7.4 节</w:t>
            </w:r>
          </w:p>
        </w:tc>
        <w:tc>
          <w:tcPr>
            <w:tcW w:w="10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05B4B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P1</w:t>
            </w:r>
          </w:p>
        </w:tc>
      </w:tr>
      <w:tr w14:paraId="47A9CA1E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1D42E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CI/CD 与部署空白</w:t>
            </w:r>
          </w:p>
        </w:tc>
        <w:tc>
          <w:tcPr>
            <w:tcW w:w="408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83BDCF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新增容器化、Kubernetes、灰度发布、滚动升级、IaC、配置/密钥管理。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84E38E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第 8.4 节、8.5 节</w:t>
            </w:r>
          </w:p>
        </w:tc>
        <w:tc>
          <w:tcPr>
            <w:tcW w:w="10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115FE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P1</w:t>
            </w:r>
          </w:p>
        </w:tc>
      </w:tr>
      <w:tr w14:paraId="79F40B65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0F077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Training-Serving 一致性不足</w:t>
            </w:r>
          </w:p>
        </w:tc>
        <w:tc>
          <w:tcPr>
            <w:tcW w:w="408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2B886F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新增 Feature View、特征版本、缺失填充版本、回放验证。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E210E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第 7.5 节</w:t>
            </w:r>
          </w:p>
        </w:tc>
        <w:tc>
          <w:tcPr>
            <w:tcW w:w="10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D2581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P2</w:t>
            </w:r>
          </w:p>
        </w:tc>
      </w:tr>
      <w:tr w14:paraId="4572FD25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10815F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Mermaid 纯文本不可交付</w:t>
            </w:r>
          </w:p>
        </w:tc>
        <w:tc>
          <w:tcPr>
            <w:tcW w:w="408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F10CC0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将原架构图、状态流、部署拓扑改为图片嵌入。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CA6DF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图 1、图 2、图 3</w:t>
            </w:r>
          </w:p>
        </w:tc>
        <w:tc>
          <w:tcPr>
            <w:tcW w:w="10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14E10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P2</w:t>
            </w:r>
          </w:p>
        </w:tc>
      </w:tr>
      <w:tr w14:paraId="6AC290C5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C632B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参考文献编号冲突</w:t>
            </w:r>
          </w:p>
        </w:tc>
        <w:tc>
          <w:tcPr>
            <w:tcW w:w="408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654B40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正文不再使用冲突编号；附录改为“参考资料建议清单”。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A3259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附录 A</w:t>
            </w:r>
          </w:p>
        </w:tc>
        <w:tc>
          <w:tcPr>
            <w:tcW w:w="10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A8349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P2</w:t>
            </w:r>
          </w:p>
        </w:tc>
      </w:tr>
    </w:tbl>
    <w:p w14:paraId="53BBD0B4">
      <w:pPr>
        <w:pStyle w:val="3"/>
        <w:spacing w:before="20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40"/>
        </w:rPr>
        <w:t>3. 统一口径与总体架构</w:t>
      </w:r>
    </w:p>
    <w:p w14:paraId="76C16102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1"/>
        </w:rPr>
        <w:t>对外唯一口径继续固定为：SSO（统一登录认证中心） → Portal（平台选择门户） → 进入【综合管理平台 / 应急指挥平台 / 智能诊断中枢】。平台支撑层仅作为工程视角底座，不作为用户可见“第四入口”。</w:t>
      </w:r>
    </w:p>
    <w:p w14:paraId="60D9A280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Portal 只负责登录态建立/刷新、统一入口导航、跨平台跳转、单点退出与统一待办汇总；不承载资产编辑、应急指挥或模型运营页面。</w:t>
      </w:r>
    </w:p>
    <w:p w14:paraId="1ED82CB3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综合管理平台负责建档、配置、治理与日常运维；应急指挥平台负责事件处置、联动调度与态势展示；智能诊断中枢负责模型治理、解释、漂移监控与人工复核。</w:t>
      </w:r>
    </w:p>
    <w:p w14:paraId="0B450930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平台支撑层负责统一认证与权限、主数据、GIS、设备接入、数据接入与特征、告警/事件/工单、模型网关、集成治理、可观测性。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1814"/>
        <w:gridCol w:w="2268"/>
        <w:gridCol w:w="1134"/>
      </w:tblGrid>
      <w:tr w14:paraId="154D14B1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7E7E3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服务簇</w:t>
            </w:r>
          </w:p>
        </w:tc>
        <w:tc>
          <w:tcPr>
            <w:tcW w:w="255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DD462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核心职责（必须做）</w:t>
            </w:r>
          </w:p>
        </w:tc>
        <w:tc>
          <w:tcPr>
            <w:tcW w:w="181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1A973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明确不做</w:t>
            </w:r>
          </w:p>
        </w:tc>
        <w:tc>
          <w:tcPr>
            <w:tcW w:w="2268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C9D27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一期验收标准</w:t>
            </w:r>
          </w:p>
        </w:tc>
        <w:tc>
          <w:tcPr>
            <w:tcW w:w="113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269E9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责任方</w:t>
            </w:r>
          </w:p>
        </w:tc>
      </w:tr>
      <w:tr w14:paraId="58EC886C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5B906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统一身份与权限中心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5BC3A2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统一租户/区域、RBAC、数据范围、订阅鉴权、审计。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1F46D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不承载业务页面。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2E98E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跨平台免重登；权限变更 5 分钟内生效并留审计。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FD5DA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开发+运维+产品</w:t>
            </w:r>
          </w:p>
        </w:tc>
      </w:tr>
      <w:tr w14:paraId="285FCA1C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91206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主数据中心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4D6BF4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对象链、编码、版本、拓扑、空间与业务映射。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1FFB5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不允许临时对象绕开主数据。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2F9D4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任一事件/工单/模型结果均能落到 segment_id 或 node_id。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118FA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开发+产品</w:t>
            </w:r>
          </w:p>
        </w:tc>
      </w:tr>
      <w:tr w14:paraId="3ADCC264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3EC25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GIS/地图服务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3AD65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2D 一张图、空间检索、图层、2D/局部 3D 联动。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8129B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不把全部日常配置绑到 3D。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64809E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2D 主入口可稳定定位、选中、联动。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3B882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</w:t>
            </w:r>
          </w:p>
        </w:tc>
      </w:tr>
      <w:tr w14:paraId="1F6CC5CB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663C8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设备接入与边缘管理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3D48E3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设备台账、协议适配、边缘节点心跳、缓冲与预处理策略。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AE931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不在此层直接闭环工单。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22460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上线/离线/缓冲水位可观测。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CDCD1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</w:t>
            </w:r>
          </w:p>
        </w:tc>
      </w:tr>
      <w:tr w14:paraId="0436C5D6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1EDEF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告警、事件与工单引擎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84D87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去重、抑制、升级、事件化、闭环、通知。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C77B2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不在这里训练模型。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1E0C6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状态机全链路跑通，误报/漏报可回写。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01B7F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开发+产品+运维</w:t>
            </w:r>
          </w:p>
        </w:tc>
      </w:tr>
      <w:tr w14:paraId="2F38E3D6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B4D35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模型网关与治理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2F7B5C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注册、版本、灰度、回退、解释、不确定性展示。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F48D3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不把模型写死在业务代码。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D7047C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任一线上模型都可回滚、审计、复盘。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D90CA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开发+算法+运维</w:t>
            </w:r>
          </w:p>
        </w:tc>
      </w:tr>
    </w:tbl>
    <w:p w14:paraId="61DA9FCA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236335" cy="2988310"/>
            <wp:effectExtent l="0" t="0" r="12065" b="2540"/>
            <wp:docPr id="5" name="图片 5" descr="Gemini_Generated_Image_9xzadc9xzadc9x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emini_Generated_Image_9xzadc9xzadc9xz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633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6129">
      <w:pPr>
        <w:spacing w:after="16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/>
          <w:color w:val="44546A"/>
          <w:sz w:val="19"/>
        </w:rPr>
        <w:t>图 1 统一入口、三平台、支撑层与云边端协同总体架构</w:t>
      </w:r>
    </w:p>
    <w:p w14:paraId="73CD5824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3.1 三维边界控制原则</w:t>
      </w:r>
    </w:p>
    <w:p w14:paraId="5B8784D7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1"/>
        </w:rPr>
        <w:t>一期坚持“2D 一张图为主入口、局部 3D 为增强视图”的原则。3D 用于事件研判、扩散推演、空间态势复盘和重点场景展示，不承担高频建档、规则配置、设备台账维护等操作。</w:t>
      </w:r>
    </w:p>
    <w:p w14:paraId="3602B77C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一期验收口径：2D 一张图完成日常业务主入口，3D 只做局部场景联动与占位接口。</w:t>
      </w:r>
    </w:p>
    <w:p w14:paraId="1EF54480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二期增强口径：在不重构一期底盘的前提下，扩展 3D 动态推演、综合指挥大屏和风险扩散仿真。</w:t>
      </w:r>
    </w:p>
    <w:p w14:paraId="114473F8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前端约束：3D 渲染失败或性能不足时，不影响 2D 主业务链路。</w:t>
      </w:r>
    </w:p>
    <w:p w14:paraId="4B724103">
      <w:pPr>
        <w:pStyle w:val="3"/>
        <w:spacing w:before="20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40"/>
        </w:rPr>
        <w:t>4. 安全与权限基线设计</w:t>
      </w:r>
    </w:p>
    <w:p w14:paraId="05A2FD40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4.1 认证与令牌安全基线</w:t>
      </w:r>
    </w:p>
    <w:p w14:paraId="777D99A8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1"/>
        </w:rPr>
        <w:t>SSO 统一采用 OIDC。浏览器端与公共客户端强制启用 PKCE；Access Token 与 Refresh Token 的发放、续签、撤销与审计必须作为一期能力做完，而不是“后续补”。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438"/>
        <w:gridCol w:w="2154"/>
        <w:gridCol w:w="1984"/>
        <w:gridCol w:w="1134"/>
      </w:tblGrid>
      <w:tr w14:paraId="64C5D9AB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DA910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控制项</w:t>
            </w:r>
          </w:p>
        </w:tc>
        <w:tc>
          <w:tcPr>
            <w:tcW w:w="2438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EB0A9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建议值/规则</w:t>
            </w:r>
          </w:p>
        </w:tc>
        <w:tc>
          <w:tcPr>
            <w:tcW w:w="215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E0500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一期必须实现</w:t>
            </w:r>
          </w:p>
        </w:tc>
        <w:tc>
          <w:tcPr>
            <w:tcW w:w="198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6AB82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验收口径</w:t>
            </w:r>
          </w:p>
        </w:tc>
        <w:tc>
          <w:tcPr>
            <w:tcW w:w="113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721AA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责任方</w:t>
            </w:r>
          </w:p>
        </w:tc>
      </w:tr>
      <w:tr w14:paraId="194DD8D9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8D636D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Access Token</w:t>
            </w:r>
          </w:p>
        </w:tc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CBE716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有效期建议 15~30 分钟；仅承载访问授权。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63111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到期自动失效；短时缓存撤销状态。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08C214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令牌过期后无法继续调用业务接口。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CDFF8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</w:t>
            </w:r>
          </w:p>
        </w:tc>
      </w:tr>
      <w:tr w14:paraId="7C3DEAD2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A67B9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Refresh Token</w:t>
            </w:r>
          </w:p>
        </w:tc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A450B4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有效期建议 7~14 天；启用 Rotation，每次刷新后旧 Token 立即失效。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51E5B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刷新成功写审计，旧 Token 进入撤销列表。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384FD3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旧 Token 重放时被拒绝并告警。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29B2A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</w:t>
            </w:r>
          </w:p>
        </w:tc>
      </w:tr>
      <w:tr w14:paraId="44F92C48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5E240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吊销机制</w:t>
            </w:r>
          </w:p>
        </w:tc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3D72BD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退出登录、账号禁用、权限重大变更、异常行为触发即时吊销。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3B5B6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建设黑名单/撤销列表与缓存同步机制。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BCBE6D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权限变更后 5 分钟内全平台收敛。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1EA5F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</w:t>
            </w:r>
          </w:p>
        </w:tc>
      </w:tr>
      <w:tr w14:paraId="1A3EEC0A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04B85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暴力破解防护</w:t>
            </w:r>
          </w:p>
        </w:tc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B7DA4F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登录接口限速、失败次数阈值、验证码/二次验证、账号锁定与解锁流程。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04B436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管理台可查看锁定原因与日志。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AA54B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暴力尝试被限流并有告警。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C6113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开发+运维+安全</w:t>
            </w:r>
          </w:p>
        </w:tc>
      </w:tr>
      <w:tr w14:paraId="54D258A2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E2CCF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紧急账号</w:t>
            </w:r>
          </w:p>
        </w:tc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B4FA8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仅用于 SSO 故障时的应急旁路，最小权限、双人审批、全程留痕。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A029DC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创建、启用、停用均需审批。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977A3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演练能在限定时间内恢复指挥登录。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110F0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运维+安全+产品</w:t>
            </w:r>
          </w:p>
        </w:tc>
      </w:tr>
    </w:tbl>
    <w:p w14:paraId="570DF18E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4.2 SSO 与统一认证的高可用要求</w:t>
      </w:r>
    </w:p>
    <w:p w14:paraId="10AB3B54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SSO 至少双实例部署，跨可用区或跨主机房；会话状态不得只保存在单机内存。</w:t>
      </w:r>
    </w:p>
    <w:p w14:paraId="150CBEE9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Portal 与三平台对 SSO 的依赖必须有超时控制、重试上限和失败提示，不允许无限等待。</w:t>
      </w:r>
    </w:p>
    <w:p w14:paraId="33013258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应急旁路仅面向值班指挥人员开放，采用离线白名单账号或短期应急令牌；旁路权限默认只开放指挥必需能力，不开放高危配置能力。</w:t>
      </w:r>
    </w:p>
    <w:p w14:paraId="0F2499DC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SSO 恢复后，应急旁路账号必须自动失效或人工回收，旁路期间的全部操作进入单独审计报表。</w:t>
      </w:r>
    </w:p>
    <w:p w14:paraId="13091A3C">
      <w:pPr>
        <w:pStyle w:val="4"/>
        <w:spacing w:before="160" w:after="8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4.2.1 应急旁路安全细化要求</w:t>
      </w:r>
    </w:p>
    <w:p w14:paraId="58D1E7FE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应急旁路是高风险但必要的韧性机制，只能在 SSO 故障、网络隔离、重大灾害或演练授权场景下启用，不得作为日常便捷登录方式使用。</w:t>
      </w:r>
    </w:p>
    <w:p w14:paraId="047F0253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1.</w:t>
      </w:r>
      <w:r>
        <w:rPr>
          <w:rFonts w:hint="eastAsia" w:ascii="楷体" w:hAnsi="楷体" w:eastAsia="楷体" w:cs="楷体"/>
        </w:rPr>
        <w:t>应急令牌有效期</w:t>
      </w:r>
    </w:p>
    <w:p w14:paraId="740254B9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应急旁路账号或应急令牌默认短期有效；</w:t>
      </w:r>
    </w:p>
    <w:p w14:paraId="27240DDB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单次签发有效期建议不超过 15 分钟，最长会话时长建议不超过 8 小时；</w:t>
      </w:r>
    </w:p>
    <w:p w14:paraId="2715E4D0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过期后必须自动失效，不允许静默续期；</w:t>
      </w:r>
    </w:p>
    <w:p w14:paraId="7E515B53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若采用一次性应急码或离线令牌，使用后应立即作废，不得重复使用。</w:t>
      </w:r>
    </w:p>
    <w:p w14:paraId="018C09F6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2.</w:t>
      </w:r>
      <w:r>
        <w:rPr>
          <w:rFonts w:hint="eastAsia" w:ascii="楷体" w:hAnsi="楷体" w:eastAsia="楷体" w:cs="楷体"/>
        </w:rPr>
        <w:t>实物凭证管理</w:t>
      </w:r>
    </w:p>
    <w:p w14:paraId="7F2310C2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如采用应急 UKey、离线口令卡、纸质密封凭证或专用值班终端，必须执行“双人保管、领用登记、启封留痕、归还复核”机制；</w:t>
      </w:r>
    </w:p>
    <w:p w14:paraId="4C491BD7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凭证编号、持有人、启用时间、归还时间、使用原因必须纳入审计台账；</w:t>
      </w:r>
    </w:p>
    <w:p w14:paraId="20F7BC9E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应急凭证不得长期由个人保管，不得拍照、转抄或通过即时通信工具传播。</w:t>
      </w:r>
    </w:p>
    <w:p w14:paraId="56A9BC91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3.</w:t>
      </w:r>
      <w:r>
        <w:rPr>
          <w:rFonts w:hint="eastAsia" w:ascii="楷体" w:hAnsi="楷体" w:eastAsia="楷体" w:cs="楷体"/>
        </w:rPr>
        <w:t>权限最小化</w:t>
      </w:r>
    </w:p>
    <w:p w14:paraId="37EBC4ED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应急旁路默认仅开放应急指挥必需功能，如事件查看、告警确认、派单、值班联络和态势浏览；</w:t>
      </w:r>
    </w:p>
    <w:p w14:paraId="127D3FC4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不开放高危配置能力，如权限管理、系统参数修改、模型发布、批量删除、主数据结构调整。</w:t>
      </w:r>
    </w:p>
    <w:p w14:paraId="47310D17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4.</w:t>
      </w:r>
      <w:r>
        <w:rPr>
          <w:rFonts w:hint="eastAsia" w:ascii="楷体" w:hAnsi="楷体" w:eastAsia="楷体" w:cs="楷体"/>
        </w:rPr>
        <w:t>滥用检测机制</w:t>
      </w:r>
    </w:p>
    <w:p w14:paraId="6EB85CF6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对应急旁路登录建立专项审计规则；</w:t>
      </w:r>
    </w:p>
    <w:p w14:paraId="29099A86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出现异常时间登录、异常地点登录、频繁启用、跨班组复用、短时间高频操作、批量导出等行为时，必须自动告警；</w:t>
      </w:r>
    </w:p>
    <w:p w14:paraId="776D44AF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SSO 恢复后，系统应自动提醒关闭应急旁路，并对旁路期间所有操作生成单独审计报表。</w:t>
      </w:r>
    </w:p>
    <w:p w14:paraId="0E02A7D8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5.</w:t>
      </w:r>
      <w:r>
        <w:rPr>
          <w:rFonts w:hint="eastAsia" w:ascii="楷体" w:hAnsi="楷体" w:eastAsia="楷体" w:cs="楷体"/>
        </w:rPr>
        <w:t>启用审批与演练要求</w:t>
      </w:r>
    </w:p>
    <w:p w14:paraId="6439A4F6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生产启用必须有值班负责人或授权管理人确认；</w:t>
      </w:r>
    </w:p>
    <w:p w14:paraId="3863DE83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演练启用必须区分“演练模式”与“真实故障模式”；</w:t>
      </w:r>
    </w:p>
    <w:p w14:paraId="24E8EDC5">
      <w:pPr>
        <w:pStyle w:val="16"/>
        <w:numPr>
          <w:numId w:val="0"/>
        </w:numPr>
        <w:spacing w:after="40" w:line="300" w:lineRule="auto"/>
        <w:ind w:left="-133"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每次应急旁路启用后必须完成复盘，核查是否存在越权、滥用或凭证管理失控问题。</w:t>
      </w:r>
    </w:p>
    <w:p w14:paraId="5443BF1F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  <w:b/>
          <w:i w:val="0"/>
          <w:color w:val="1F4E79"/>
          <w:sz w:val="29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4.3 WebSocket、API Gateway 与数据加密基线</w:t>
      </w:r>
    </w:p>
    <w:p w14:paraId="2221C4CA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WebSocket 用于承载实时告警、工单状态推送、地图刷新事件和指挥态势更新，但其实时性不能以牺牲安全性和可控性为代价。Gateway、WebSocket 和数据加密要求应在一期即固化为基线。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969"/>
        <w:gridCol w:w="2438"/>
        <w:gridCol w:w="1134"/>
      </w:tblGrid>
      <w:tr w14:paraId="69726B87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ECD22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对象</w:t>
            </w:r>
          </w:p>
        </w:tc>
        <w:tc>
          <w:tcPr>
            <w:tcW w:w="3969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4DBFD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必须写入方案的条款</w:t>
            </w:r>
          </w:p>
        </w:tc>
        <w:tc>
          <w:tcPr>
            <w:tcW w:w="2438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4CB4A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建议阈值/动作</w:t>
            </w:r>
          </w:p>
        </w:tc>
        <w:tc>
          <w:tcPr>
            <w:tcW w:w="113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9D7A9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责任方</w:t>
            </w:r>
          </w:p>
        </w:tc>
      </w:tr>
      <w:tr w14:paraId="0E42CEE9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C36CB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WebSocket 连接安全</w:t>
            </w:r>
          </w:p>
        </w:tc>
        <w:tc>
          <w:tcPr>
            <w:tcW w:w="396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32A52E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握手鉴权 + 消息层鉴权双校验；校验 Origin、CSRF Token、租户/区域订阅范围；限制单用户连接数、帧大小、空闲时长。</w:t>
            </w:r>
          </w:p>
        </w:tc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F89BF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每用户连接数建议 ≤ 3；单帧大小建议 ≤ 256 KB；心跳超时 60~90 秒断开。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61577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</w:t>
            </w:r>
          </w:p>
        </w:tc>
      </w:tr>
      <w:tr w14:paraId="487ABF5B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73783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WebSocket 水平扩展</w:t>
            </w:r>
          </w:p>
        </w:tc>
        <w:tc>
          <w:tcPr>
            <w:tcW w:w="396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8D42D2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通过 Ingress 粘性会话 + Redis Pub/Sub 或消息总线做广播；客户端必须支持自动重连和 last_ack_seq 补偿。</w:t>
            </w:r>
          </w:p>
        </w:tc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3FB366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断连后 30 秒内自动重连；按序补发未确认消息。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4206A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</w:t>
            </w:r>
          </w:p>
        </w:tc>
      </w:tr>
      <w:tr w14:paraId="004CE13B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9CC81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API Gateway 防护</w:t>
            </w:r>
          </w:p>
        </w:tc>
        <w:tc>
          <w:tcPr>
            <w:tcW w:w="396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0F6D12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统一做参数校验、限流、鉴权、黑白名单、审计、WAF/Anti-DDoS 接入。</w:t>
            </w:r>
          </w:p>
        </w:tc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E8C28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关键登录/导出/批处理接口设置独立限额。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D6026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开发+运维+安全</w:t>
            </w:r>
          </w:p>
        </w:tc>
      </w:tr>
      <w:tr w14:paraId="23C5A0FB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8B36C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传输与静态加密</w:t>
            </w:r>
          </w:p>
        </w:tc>
        <w:tc>
          <w:tcPr>
            <w:tcW w:w="396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06B56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浏览器到平台、边缘到云端、服务间敏感通道全部启用 TLS 1.2+；精确坐标、阀门状态、密钥、敏感附件进行静态加密或分级保护。</w:t>
            </w:r>
          </w:p>
        </w:tc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0365B3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边缘设备证书轮换与到期告警纳入运维项。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E9987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</w:t>
            </w:r>
          </w:p>
        </w:tc>
      </w:tr>
    </w:tbl>
    <w:p w14:paraId="5F193130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4.3.1 WebSocket 连接安全要求</w:t>
      </w:r>
    </w:p>
    <w:p w14:paraId="006A1A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生产环境只允许使用 </w:t>
      </w:r>
      <w:r>
        <w:rPr>
          <w:rStyle w:val="134"/>
          <w:rFonts w:hint="eastAsia" w:ascii="楷体" w:hAnsi="楷体" w:eastAsia="楷体" w:cs="楷体"/>
        </w:rPr>
        <w:t>WSS</w:t>
      </w:r>
      <w:r>
        <w:rPr>
          <w:rFonts w:hint="eastAsia" w:ascii="楷体" w:hAnsi="楷体" w:eastAsia="楷体" w:cs="楷体"/>
        </w:rPr>
        <w:t xml:space="preserve">，禁止明文 WS。 </w:t>
      </w:r>
    </w:p>
    <w:p w14:paraId="47AFC4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WebSocket 升级前必须完成身份校验，校验信息可来自 OIDC 会话、短期访问令牌或网关签发的会话凭据。 </w:t>
      </w:r>
    </w:p>
    <w:p w14:paraId="038B4A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升级请求必须执行 </w:t>
      </w:r>
      <w:r>
        <w:rPr>
          <w:rStyle w:val="134"/>
          <w:rFonts w:hint="eastAsia" w:ascii="楷体" w:hAnsi="楷体" w:eastAsia="楷体" w:cs="楷体"/>
        </w:rPr>
        <w:t>Origin 白名单校验</w:t>
      </w:r>
      <w:r>
        <w:rPr>
          <w:rFonts w:hint="eastAsia" w:ascii="楷体" w:hAnsi="楷体" w:eastAsia="楷体" w:cs="楷体"/>
        </w:rPr>
        <w:t xml:space="preserve">；对浏览器场景，需补充 </w:t>
      </w:r>
      <w:r>
        <w:rPr>
          <w:rStyle w:val="134"/>
          <w:rFonts w:hint="eastAsia" w:ascii="楷体" w:hAnsi="楷体" w:eastAsia="楷体" w:cs="楷体"/>
        </w:rPr>
        <w:t>CSRF Token</w:t>
      </w:r>
      <w:r>
        <w:rPr>
          <w:rFonts w:hint="eastAsia" w:ascii="楷体" w:hAnsi="楷体" w:eastAsia="楷体" w:cs="楷体"/>
        </w:rPr>
        <w:t xml:space="preserve"> 或等价防重放校验。 </w:t>
      </w:r>
    </w:p>
    <w:p w14:paraId="02080B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服务端必须设置</w:t>
      </w:r>
      <w:r>
        <w:rPr>
          <w:rStyle w:val="134"/>
          <w:rFonts w:hint="eastAsia" w:ascii="楷体" w:hAnsi="楷体" w:eastAsia="楷体" w:cs="楷体"/>
        </w:rPr>
        <w:t>单用户连接数限制</w:t>
      </w:r>
      <w:r>
        <w:rPr>
          <w:rFonts w:hint="eastAsia" w:ascii="楷体" w:hAnsi="楷体" w:eastAsia="楷体" w:cs="楷体"/>
        </w:rPr>
        <w:t xml:space="preserve">，默认建议每用户不超过 </w:t>
      </w:r>
      <w:r>
        <w:rPr>
          <w:rStyle w:val="134"/>
          <w:rFonts w:hint="eastAsia" w:ascii="楷体" w:hAnsi="楷体" w:eastAsia="楷体" w:cs="楷体"/>
        </w:rPr>
        <w:t>3 条并发连接</w:t>
      </w:r>
      <w:r>
        <w:rPr>
          <w:rFonts w:hint="eastAsia" w:ascii="楷体" w:hAnsi="楷体" w:eastAsia="楷体" w:cs="楷体"/>
        </w:rPr>
        <w:t xml:space="preserve">；超限时拒绝新连接并记录审计。 </w:t>
      </w:r>
    </w:p>
    <w:p w14:paraId="04C963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服务端必须设置</w:t>
      </w:r>
      <w:r>
        <w:rPr>
          <w:rStyle w:val="134"/>
          <w:rFonts w:hint="eastAsia" w:ascii="楷体" w:hAnsi="楷体" w:eastAsia="楷体" w:cs="楷体"/>
        </w:rPr>
        <w:t>消息体大小上限</w:t>
      </w:r>
      <w:r>
        <w:rPr>
          <w:rFonts w:hint="eastAsia" w:ascii="楷体" w:hAnsi="楷体" w:eastAsia="楷体" w:cs="楷体"/>
        </w:rPr>
        <w:t xml:space="preserve">： </w:t>
      </w:r>
    </w:p>
    <w:p w14:paraId="583916E5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客户端上行默认不超过 </w:t>
      </w:r>
      <w:r>
        <w:rPr>
          <w:rStyle w:val="134"/>
          <w:rFonts w:hint="eastAsia" w:ascii="楷体" w:hAnsi="楷体" w:eastAsia="楷体" w:cs="楷体"/>
        </w:rPr>
        <w:t>64 KB/帧</w:t>
      </w:r>
      <w:r>
        <w:rPr>
          <w:rFonts w:hint="eastAsia" w:ascii="楷体" w:hAnsi="楷体" w:eastAsia="楷体" w:cs="楷体"/>
        </w:rPr>
        <w:t xml:space="preserve">； </w:t>
      </w:r>
    </w:p>
    <w:p w14:paraId="702C0ED2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服务端下行默认不超过 </w:t>
      </w:r>
      <w:r>
        <w:rPr>
          <w:rStyle w:val="134"/>
          <w:rFonts w:hint="eastAsia" w:ascii="楷体" w:hAnsi="楷体" w:eastAsia="楷体" w:cs="楷体"/>
        </w:rPr>
        <w:t>256 KB/消息</w:t>
      </w:r>
      <w:r>
        <w:rPr>
          <w:rFonts w:hint="eastAsia" w:ascii="楷体" w:hAnsi="楷体" w:eastAsia="楷体" w:cs="楷体"/>
        </w:rPr>
        <w:t xml:space="preserve">； </w:t>
      </w:r>
    </w:p>
    <w:p w14:paraId="4D46C3EF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超限消息直接拒绝并告警。 </w:t>
      </w:r>
    </w:p>
    <w:p w14:paraId="782CDD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必须启用</w:t>
      </w:r>
      <w:r>
        <w:rPr>
          <w:rStyle w:val="134"/>
          <w:rFonts w:hint="eastAsia" w:ascii="楷体" w:hAnsi="楷体" w:eastAsia="楷体" w:cs="楷体"/>
        </w:rPr>
        <w:t>心跳与僵尸连接清理机制</w:t>
      </w:r>
      <w:r>
        <w:rPr>
          <w:rFonts w:hint="eastAsia" w:ascii="楷体" w:hAnsi="楷体" w:eastAsia="楷体" w:cs="楷体"/>
        </w:rPr>
        <w:t xml:space="preserve">： </w:t>
      </w:r>
    </w:p>
    <w:p w14:paraId="6814C54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心跳间隔建议 </w:t>
      </w:r>
      <w:r>
        <w:rPr>
          <w:rStyle w:val="134"/>
          <w:rFonts w:hint="eastAsia" w:ascii="楷体" w:hAnsi="楷体" w:eastAsia="楷体" w:cs="楷体"/>
        </w:rPr>
        <w:t>30 秒</w:t>
      </w:r>
      <w:r>
        <w:rPr>
          <w:rFonts w:hint="eastAsia" w:ascii="楷体" w:hAnsi="楷体" w:eastAsia="楷体" w:cs="楷体"/>
        </w:rPr>
        <w:t xml:space="preserve">； </w:t>
      </w:r>
    </w:p>
    <w:p w14:paraId="2FA8307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连续 </w:t>
      </w:r>
      <w:r>
        <w:rPr>
          <w:rStyle w:val="134"/>
          <w:rFonts w:hint="eastAsia" w:ascii="楷体" w:hAnsi="楷体" w:eastAsia="楷体" w:cs="楷体"/>
        </w:rPr>
        <w:t>90 秒</w:t>
      </w:r>
      <w:r>
        <w:rPr>
          <w:rFonts w:hint="eastAsia" w:ascii="楷体" w:hAnsi="楷体" w:eastAsia="楷体" w:cs="楷体"/>
        </w:rPr>
        <w:t xml:space="preserve">无心跳或无有效交互则断开连接； </w:t>
      </w:r>
    </w:p>
    <w:p w14:paraId="2E0EA38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断开原因应可追踪。 </w:t>
      </w:r>
    </w:p>
    <w:p w14:paraId="41DD26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上行消息必须有</w:t>
      </w:r>
      <w:r>
        <w:rPr>
          <w:rStyle w:val="134"/>
          <w:rFonts w:hint="eastAsia" w:ascii="楷体" w:hAnsi="楷体" w:eastAsia="楷体" w:cs="楷体"/>
        </w:rPr>
        <w:t>频率限制</w:t>
      </w:r>
      <w:r>
        <w:rPr>
          <w:rFonts w:hint="eastAsia" w:ascii="楷体" w:hAnsi="楷体" w:eastAsia="楷体" w:cs="楷体"/>
        </w:rPr>
        <w:t xml:space="preserve">，防止恶意刷消息、订阅风暴或应用层 DoS。 </w:t>
      </w:r>
    </w:p>
    <w:p w14:paraId="09BA43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所有连接建立、断开、认证失败、超限、重连、补偿和异常关闭事件必须写审计日志。 </w:t>
      </w:r>
    </w:p>
    <w:p w14:paraId="52B0EB35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4.3.2 API Gateway 安全要求</w:t>
      </w:r>
    </w:p>
    <w:p w14:paraId="0E7A028D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API Gateway 作为统一入口，必须承担协议接入、鉴权、限流、审计、输入校验和基础攻击防护职责，不得仅作为简单转发层使用。</w:t>
      </w:r>
    </w:p>
    <w:p w14:paraId="21E107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对外接口必须具备</w:t>
      </w:r>
      <w:r>
        <w:rPr>
          <w:rStyle w:val="134"/>
          <w:rFonts w:hint="eastAsia" w:ascii="楷体" w:hAnsi="楷体" w:eastAsia="楷体" w:cs="楷体"/>
        </w:rPr>
        <w:t>限流/配额控制</w:t>
      </w:r>
      <w:r>
        <w:rPr>
          <w:rFonts w:hint="eastAsia" w:ascii="楷体" w:hAnsi="楷体" w:eastAsia="楷体" w:cs="楷体"/>
        </w:rPr>
        <w:t xml:space="preserve">，按用户、租户、来源 IP、客户端类型等维度限速； </w:t>
      </w:r>
    </w:p>
    <w:p w14:paraId="5FDCB2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必须进行统一的</w:t>
      </w:r>
      <w:r>
        <w:rPr>
          <w:rStyle w:val="134"/>
          <w:rFonts w:hint="eastAsia" w:ascii="楷体" w:hAnsi="楷体" w:eastAsia="楷体" w:cs="楷体"/>
        </w:rPr>
        <w:t>参数校验、长度校验、格式校验和白名单校验</w:t>
      </w:r>
      <w:r>
        <w:rPr>
          <w:rFonts w:hint="eastAsia" w:ascii="楷体" w:hAnsi="楷体" w:eastAsia="楷体" w:cs="楷体"/>
        </w:rPr>
        <w:t xml:space="preserve">； </w:t>
      </w:r>
    </w:p>
    <w:p w14:paraId="0B9C13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必须具备常见攻击防护能力，包括但不限于 SQL 注入、XSS、路径穿越、参数污染和异常大包拦截； </w:t>
      </w:r>
    </w:p>
    <w:p w14:paraId="3C5201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对内高风险管理接口建议叠加 </w:t>
      </w:r>
      <w:r>
        <w:rPr>
          <w:rStyle w:val="134"/>
          <w:rFonts w:hint="eastAsia" w:ascii="楷体" w:hAnsi="楷体" w:eastAsia="楷体" w:cs="楷体"/>
        </w:rPr>
        <w:t>IP 白名单</w:t>
      </w:r>
      <w:r>
        <w:rPr>
          <w:rFonts w:hint="eastAsia" w:ascii="楷体" w:hAnsi="楷体" w:eastAsia="楷体" w:cs="楷体"/>
        </w:rPr>
        <w:t xml:space="preserve">、堡垒机访问或专网访问约束； </w:t>
      </w:r>
    </w:p>
    <w:p w14:paraId="17EDAD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对关键写操作启用审计与风控，如批量导出、批量派单、权限修改、模型发布、主数据生效。 </w:t>
      </w:r>
    </w:p>
    <w:p w14:paraId="53A91B81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4.3.3 数据传输与存储加密要求</w:t>
      </w:r>
    </w:p>
    <w:p w14:paraId="5C4EC1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平台内外通信默认启用 </w:t>
      </w:r>
      <w:r>
        <w:rPr>
          <w:rStyle w:val="134"/>
          <w:rFonts w:hint="eastAsia" w:ascii="楷体" w:hAnsi="楷体" w:eastAsia="楷体" w:cs="楷体"/>
        </w:rPr>
        <w:t>TLS 1.2+</w:t>
      </w:r>
      <w:r>
        <w:rPr>
          <w:rFonts w:hint="eastAsia" w:ascii="楷体" w:hAnsi="楷体" w:eastAsia="楷体" w:cs="楷体"/>
        </w:rPr>
        <w:t xml:space="preserve">，关键链路优先采用更高版本与强加密套件； </w:t>
      </w:r>
    </w:p>
    <w:p w14:paraId="1CCD80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边缘节点到云端的数据上传必须加密传输，不得以“专线”或“内网”替代加密要求； </w:t>
      </w:r>
    </w:p>
    <w:p w14:paraId="14E72EA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对精确管网坐标、关键阀门状态、运维联系人、令牌、密钥材料等敏感字段，应采用静态加密、列级加密或等价防护机制； </w:t>
      </w:r>
    </w:p>
    <w:p w14:paraId="36DDED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密钥、证书和加密材料不得直接写入代码、镜像或普通配置文件，必须纳入统一密钥管理体系； </w:t>
      </w:r>
    </w:p>
    <w:p w14:paraId="6F5E9B9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  <w:b/>
          <w:i w:val="0"/>
          <w:color w:val="1F4E79"/>
          <w:sz w:val="29"/>
          <w:lang w:val="en-US" w:eastAsia="zh-CN"/>
        </w:rPr>
      </w:pPr>
      <w:r>
        <w:rPr>
          <w:rFonts w:hint="eastAsia" w:ascii="楷体" w:hAnsi="楷体" w:eastAsia="楷体" w:cs="楷体"/>
        </w:rPr>
        <w:t>对训练导出数据、离线分析数据和备份文件，必须执行脱敏、加密和权限隔离。</w:t>
      </w:r>
    </w:p>
    <w:p w14:paraId="1293BF9F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4.4 权限矩阵与算法工程师数据访问边界</w:t>
      </w:r>
    </w:p>
    <w:p w14:paraId="64C9E39C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1"/>
        </w:rPr>
        <w:t>算法工程师默认不直接接触生产明细库；若确需排障或构建训练样本，必须走“审批 + 脱敏 + 时间窗授权 + 审计”四步流程。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87"/>
        <w:gridCol w:w="2268"/>
        <w:gridCol w:w="1531"/>
        <w:gridCol w:w="1871"/>
        <w:gridCol w:w="1531"/>
      </w:tblGrid>
      <w:tr w14:paraId="7AAB2684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C9694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角色</w:t>
            </w:r>
          </w:p>
        </w:tc>
        <w:tc>
          <w:tcPr>
            <w:tcW w:w="158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EAA04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入口权限</w:t>
            </w:r>
          </w:p>
        </w:tc>
        <w:tc>
          <w:tcPr>
            <w:tcW w:w="2268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CB4AC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数据范围</w:t>
            </w:r>
          </w:p>
        </w:tc>
        <w:tc>
          <w:tcPr>
            <w:tcW w:w="153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3C51F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订阅范围</w:t>
            </w:r>
          </w:p>
        </w:tc>
        <w:tc>
          <w:tcPr>
            <w:tcW w:w="187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C8D8D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额外控制</w:t>
            </w:r>
          </w:p>
        </w:tc>
        <w:tc>
          <w:tcPr>
            <w:tcW w:w="153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DFE44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验收标准</w:t>
            </w:r>
          </w:p>
        </w:tc>
      </w:tr>
      <w:tr w14:paraId="7B31B84B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4D019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平台管理员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D5529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全部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9F4F0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全部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3A1C6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全部</w:t>
            </w:r>
          </w:p>
        </w:tc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79B6E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高危操作双人审批。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55702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权限变更可追溯。</w:t>
            </w:r>
          </w:p>
        </w:tc>
      </w:tr>
      <w:tr w14:paraId="6047E0DA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7C7D9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区域调度员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6A0B7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管理+指挥（辖区）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84AB9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本辖区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ACE44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本辖区 topic</w:t>
            </w:r>
          </w:p>
        </w:tc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96096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跨区默认拒绝。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AA9D79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跨区数据不可见且不可订阅。</w:t>
            </w:r>
          </w:p>
        </w:tc>
      </w:tr>
      <w:tr w14:paraId="22D23384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EAB33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巡检人员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451F9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指挥（接单）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AB1AE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工单关联对象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AAEC1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工单相关 topic</w:t>
            </w:r>
          </w:p>
        </w:tc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EB61E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仅限回传和处理。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8CD70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只能看到与本人任务相关内容。</w:t>
            </w:r>
          </w:p>
        </w:tc>
      </w:tr>
      <w:tr w14:paraId="5B734430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809DC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算法工程师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13A4B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诊断中枢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B562EE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默认脱敏特征视图；必要时临时授权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0F1D20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模型指标与任务 topic</w:t>
            </w:r>
          </w:p>
        </w:tc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C333B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生产明细访问需审批、限时、留痕，禁止导出精确坐标。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969FC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无审批不得接触生产明细。</w:t>
            </w:r>
          </w:p>
        </w:tc>
      </w:tr>
      <w:tr w14:paraId="1F28FBBF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06527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领导/只读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8F35D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指挥大屏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9ABF2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省/市级聚合视图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2D689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只读 topic</w:t>
            </w:r>
          </w:p>
        </w:tc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92D88C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默认不展示个人信息与精细配置。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99508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只读且无修改入口。</w:t>
            </w:r>
          </w:p>
        </w:tc>
      </w:tr>
    </w:tbl>
    <w:p w14:paraId="72DB2D7C">
      <w:pPr>
        <w:pStyle w:val="3"/>
        <w:spacing w:before="200" w:after="8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i w:val="0"/>
          <w:color w:val="1F4E79"/>
          <w:sz w:val="40"/>
        </w:rPr>
        <w:t>4.5 合规性与数据保护要求</w:t>
      </w:r>
    </w:p>
    <w:p w14:paraId="24E50D6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本项目属于城市地下管网监测、运维与应急指挥类平台，涉及关键基础设施运行数据、设备状态数据、空间位置数据、运维处置记录以及人员账号与工单处理信息。方案设计、建设实施与验收应同步纳入安全合规要求，不得仅以“功能可用”为验收标准。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  <w:bCs/>
          <w:color w:val="1F4E79"/>
          <w:sz w:val="29"/>
          <w:szCs w:val="26"/>
          <w:lang w:val="en-US" w:eastAsia="en-US" w:bidi="ar-SA"/>
        </w:rPr>
        <w:t>4.5.1 等保三级要求</w:t>
      </w:r>
    </w:p>
    <w:p w14:paraId="5DDC6AC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本项目安全建设目标不低于网络安全等级保护三级要求。方案、建设和验收阶段应围绕以下控制域形成明确清单并逐项落实：</w:t>
      </w:r>
    </w:p>
    <w:p w14:paraId="42ABFAC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1.</w:t>
      </w:r>
      <w:r>
        <w:rPr>
          <w:rFonts w:hint="eastAsia" w:ascii="楷体" w:hAnsi="楷体" w:eastAsia="楷体" w:cs="楷体"/>
        </w:rPr>
        <w:t>安全物理环境；</w:t>
      </w:r>
    </w:p>
    <w:p w14:paraId="5A65888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2.</w:t>
      </w:r>
      <w:r>
        <w:rPr>
          <w:rFonts w:hint="eastAsia" w:ascii="楷体" w:hAnsi="楷体" w:eastAsia="楷体" w:cs="楷体"/>
        </w:rPr>
        <w:t>安全通信网络；</w:t>
      </w:r>
    </w:p>
    <w:p w14:paraId="41AE32B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3.</w:t>
      </w:r>
      <w:r>
        <w:rPr>
          <w:rFonts w:hint="eastAsia" w:ascii="楷体" w:hAnsi="楷体" w:eastAsia="楷体" w:cs="楷体"/>
        </w:rPr>
        <w:t>安全区域边界；</w:t>
      </w:r>
    </w:p>
    <w:p w14:paraId="011BD39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4.</w:t>
      </w:r>
      <w:r>
        <w:rPr>
          <w:rFonts w:hint="eastAsia" w:ascii="楷体" w:hAnsi="楷体" w:eastAsia="楷体" w:cs="楷体"/>
        </w:rPr>
        <w:t>安全计算环境；</w:t>
      </w:r>
    </w:p>
    <w:p w14:paraId="75B0302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5.</w:t>
      </w:r>
      <w:r>
        <w:rPr>
          <w:rFonts w:hint="eastAsia" w:ascii="楷体" w:hAnsi="楷体" w:eastAsia="楷体" w:cs="楷体"/>
        </w:rPr>
        <w:t>安全管理中心；</w:t>
      </w:r>
    </w:p>
    <w:p w14:paraId="601C5CF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6.</w:t>
      </w:r>
      <w:r>
        <w:rPr>
          <w:rFonts w:hint="eastAsia" w:ascii="楷体" w:hAnsi="楷体" w:eastAsia="楷体" w:cs="楷体"/>
        </w:rPr>
        <w:t>身份鉴别与访问控制；</w:t>
      </w:r>
    </w:p>
    <w:p w14:paraId="3D988B7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7.</w:t>
      </w:r>
      <w:r>
        <w:rPr>
          <w:rFonts w:hint="eastAsia" w:ascii="楷体" w:hAnsi="楷体" w:eastAsia="楷体" w:cs="楷体"/>
        </w:rPr>
        <w:t>安全审计；</w:t>
      </w:r>
    </w:p>
    <w:p w14:paraId="64477D4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8.</w:t>
      </w:r>
      <w:r>
        <w:rPr>
          <w:rFonts w:hint="eastAsia" w:ascii="楷体" w:hAnsi="楷体" w:eastAsia="楷体" w:cs="楷体"/>
        </w:rPr>
        <w:t>入侵防范、恶意代码防范和漏洞管理；</w:t>
      </w:r>
    </w:p>
    <w:p w14:paraId="6BC1EB4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9.</w:t>
      </w:r>
      <w:r>
        <w:rPr>
          <w:rFonts w:hint="eastAsia" w:ascii="楷体" w:hAnsi="楷体" w:eastAsia="楷体" w:cs="楷体"/>
        </w:rPr>
        <w:t>数据完整性、保密性、可用性保护；</w:t>
      </w:r>
    </w:p>
    <w:p w14:paraId="5EE1956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10.</w:t>
      </w:r>
      <w:r>
        <w:rPr>
          <w:rFonts w:hint="eastAsia" w:ascii="楷体" w:hAnsi="楷体" w:eastAsia="楷体" w:cs="楷体"/>
        </w:rPr>
        <w:t>备份恢复与灾难恢复；</w:t>
      </w:r>
    </w:p>
    <w:p w14:paraId="3262526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11.</w:t>
      </w:r>
      <w:r>
        <w:rPr>
          <w:rFonts w:hint="eastAsia" w:ascii="楷体" w:hAnsi="楷体" w:eastAsia="楷体" w:cs="楷体"/>
        </w:rPr>
        <w:t>安全管理制度、人员管理、运维管理和应急响应。</w:t>
      </w:r>
    </w:p>
    <w:p w14:paraId="66CD7F5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一期设计阶段至少应输出：等保三级控制项对照表、边界防护清单、账号权限矩阵、日志审计方案、备份恢复方案、漏洞修复闭环和安全运维制度清单。</w:t>
      </w:r>
    </w:p>
    <w:p w14:paraId="64129CA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未满足项必须形成整改计划，并作为上线前置条件，不得口头豁免。</w:t>
      </w:r>
    </w:p>
    <w:p w14:paraId="1A8BA571">
      <w:pPr>
        <w:rPr>
          <w:rFonts w:hint="eastAsia" w:ascii="楷体" w:hAnsi="楷体" w:eastAsia="楷体" w:cs="楷体"/>
          <w:b/>
          <w:bCs/>
          <w:color w:val="1F4E79"/>
          <w:sz w:val="29"/>
          <w:szCs w:val="26"/>
          <w:lang w:val="en-US" w:eastAsia="en-US" w:bidi="ar-SA"/>
        </w:rPr>
      </w:pPr>
      <w:r>
        <w:rPr>
          <w:rFonts w:hint="eastAsia" w:ascii="楷体" w:hAnsi="楷体" w:eastAsia="楷体" w:cs="楷体"/>
          <w:b/>
          <w:bCs/>
          <w:color w:val="1F4E79"/>
          <w:sz w:val="29"/>
          <w:szCs w:val="26"/>
          <w:lang w:val="en-US" w:eastAsia="en-US" w:bidi="ar-SA"/>
        </w:rPr>
        <w:t>4.5.2 PIPL 个人信息保护要求</w:t>
      </w:r>
    </w:p>
    <w:p w14:paraId="526E506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如平台涉及账号姓名、手机号、岗位、值班信息、工单处理人、定位轨迹、视频图像或其他可识别个人的信息，应按**个人信息保护法（PIPL）**执行最小必要原则。</w:t>
      </w:r>
    </w:p>
    <w:p w14:paraId="1E75BA0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必须落实以下要求：</w:t>
      </w:r>
    </w:p>
    <w:p w14:paraId="7465ED8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1.</w:t>
      </w:r>
      <w:r>
        <w:rPr>
          <w:rFonts w:hint="eastAsia" w:ascii="楷体" w:hAnsi="楷体" w:eastAsia="楷体" w:cs="楷体"/>
        </w:rPr>
        <w:t>建立个人信息清单和处理目的清单；</w:t>
      </w:r>
    </w:p>
    <w:p w14:paraId="41FE385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2.</w:t>
      </w:r>
      <w:r>
        <w:rPr>
          <w:rFonts w:hint="eastAsia" w:ascii="楷体" w:hAnsi="楷体" w:eastAsia="楷体" w:cs="楷体"/>
        </w:rPr>
        <w:t>明确采集字段、用途、保存期限、共享范围和删除规则；</w:t>
      </w:r>
    </w:p>
    <w:p w14:paraId="4F3C657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3.</w:t>
      </w:r>
      <w:r>
        <w:rPr>
          <w:rFonts w:hint="eastAsia" w:ascii="楷体" w:hAnsi="楷体" w:eastAsia="楷体" w:cs="楷体"/>
        </w:rPr>
        <w:t>默认不采集与平台运行无关的个人信息；</w:t>
      </w:r>
    </w:p>
    <w:p w14:paraId="5190348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4.</w:t>
      </w:r>
      <w:r>
        <w:rPr>
          <w:rFonts w:hint="eastAsia" w:ascii="楷体" w:hAnsi="楷体" w:eastAsia="楷体" w:cs="楷体"/>
        </w:rPr>
        <w:t>个人信息展示遵循按岗可见、按责可见；</w:t>
      </w:r>
    </w:p>
    <w:p w14:paraId="51E089B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5.</w:t>
      </w:r>
      <w:r>
        <w:rPr>
          <w:rFonts w:hint="eastAsia" w:ascii="楷体" w:hAnsi="楷体" w:eastAsia="楷体" w:cs="楷体"/>
        </w:rPr>
        <w:t>导出、共享、训练、排障使用时必须脱敏；</w:t>
      </w:r>
    </w:p>
    <w:p w14:paraId="58E6520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6.</w:t>
      </w:r>
      <w:r>
        <w:rPr>
          <w:rFonts w:hint="eastAsia" w:ascii="楷体" w:hAnsi="楷体" w:eastAsia="楷体" w:cs="楷体"/>
        </w:rPr>
        <w:t>超期数据应自动归档或删除；</w:t>
      </w:r>
    </w:p>
    <w:p w14:paraId="504663C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7.</w:t>
      </w:r>
      <w:r>
        <w:rPr>
          <w:rFonts w:hint="eastAsia" w:ascii="楷体" w:hAnsi="楷体" w:eastAsia="楷体" w:cs="楷体"/>
        </w:rPr>
        <w:t>审计日志中记录个人信息访问、导出和授权行为；</w:t>
      </w:r>
    </w:p>
    <w:p w14:paraId="6A80245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8.</w:t>
      </w:r>
      <w:r>
        <w:rPr>
          <w:rFonts w:hint="eastAsia" w:ascii="楷体" w:hAnsi="楷体" w:eastAsia="楷体" w:cs="楷体"/>
        </w:rPr>
        <w:t>若接入第三方系统或外包运维，必须明确数据处理边界和责任归属。</w:t>
      </w:r>
    </w:p>
    <w:p w14:paraId="59B2F5A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算法训练、报表导出、接口联调和问题排查不得绕过脱敏与审批流程，不得以“测试方便”为由直接复制生产个人信息数据集。</w:t>
      </w:r>
    </w:p>
    <w:p w14:paraId="458C79B3">
      <w:pPr>
        <w:rPr>
          <w:rFonts w:hint="eastAsia" w:ascii="楷体" w:hAnsi="楷体" w:eastAsia="楷体" w:cs="楷体"/>
          <w:b/>
          <w:bCs/>
          <w:color w:val="1F4E79"/>
          <w:sz w:val="29"/>
          <w:szCs w:val="26"/>
          <w:lang w:val="en-US" w:eastAsia="en-US" w:bidi="ar-SA"/>
        </w:rPr>
      </w:pPr>
      <w:r>
        <w:rPr>
          <w:rFonts w:hint="eastAsia" w:ascii="楷体" w:hAnsi="楷体" w:eastAsia="楷体" w:cs="楷体"/>
          <w:b/>
          <w:bCs/>
          <w:color w:val="1F4E79"/>
          <w:sz w:val="29"/>
          <w:szCs w:val="26"/>
          <w:lang w:val="en-US" w:eastAsia="en-US" w:bidi="ar-SA"/>
        </w:rPr>
        <w:t>4.5.3 CIISAP 相关审查要求</w:t>
      </w:r>
    </w:p>
    <w:p w14:paraId="4D9728D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如项目立项单位、业主单位或安全审查机构要求按 CIISAP 相关视角开展专项检查，则本项目应在设计阶段预留相应审查材料与证据链。</w:t>
      </w:r>
    </w:p>
    <w:p w14:paraId="0558125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专项检查至少覆盖以下方面：</w:t>
      </w:r>
    </w:p>
    <w:p w14:paraId="06D25EF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1.</w:t>
      </w:r>
      <w:r>
        <w:rPr>
          <w:rFonts w:hint="eastAsia" w:ascii="楷体" w:hAnsi="楷体" w:eastAsia="楷体" w:cs="楷体"/>
        </w:rPr>
        <w:t>身份鉴别与统一认证；</w:t>
      </w:r>
    </w:p>
    <w:p w14:paraId="721DBF8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2.</w:t>
      </w:r>
      <w:r>
        <w:rPr>
          <w:rFonts w:hint="eastAsia" w:ascii="楷体" w:hAnsi="楷体" w:eastAsia="楷体" w:cs="楷体"/>
        </w:rPr>
        <w:t>边界隔离与网络访问控制；</w:t>
      </w:r>
    </w:p>
    <w:p w14:paraId="30D3AD3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3.</w:t>
      </w:r>
      <w:r>
        <w:rPr>
          <w:rFonts w:hint="eastAsia" w:ascii="楷体" w:hAnsi="楷体" w:eastAsia="楷体" w:cs="楷体"/>
        </w:rPr>
        <w:t>主机、容器与中间件安全配置；</w:t>
      </w:r>
    </w:p>
    <w:p w14:paraId="2A0B9E2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4.</w:t>
      </w:r>
      <w:r>
        <w:rPr>
          <w:rFonts w:hint="eastAsia" w:ascii="楷体" w:hAnsi="楷体" w:eastAsia="楷体" w:cs="楷体"/>
        </w:rPr>
        <w:t>数据分级分类与敏感数据保护；</w:t>
      </w:r>
    </w:p>
    <w:p w14:paraId="686D4A1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5.</w:t>
      </w:r>
      <w:r>
        <w:rPr>
          <w:rFonts w:hint="eastAsia" w:ascii="楷体" w:hAnsi="楷体" w:eastAsia="楷体" w:cs="楷体"/>
        </w:rPr>
        <w:t>审计留痕与操作追溯；</w:t>
      </w:r>
    </w:p>
    <w:p w14:paraId="6C975F3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6.</w:t>
      </w:r>
      <w:r>
        <w:rPr>
          <w:rFonts w:hint="eastAsia" w:ascii="楷体" w:hAnsi="楷体" w:eastAsia="楷体" w:cs="楷体"/>
        </w:rPr>
        <w:t>漏洞管理与基线核查；</w:t>
      </w:r>
    </w:p>
    <w:p w14:paraId="1FA15A5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7.</w:t>
      </w:r>
      <w:r>
        <w:rPr>
          <w:rFonts w:hint="eastAsia" w:ascii="楷体" w:hAnsi="楷体" w:eastAsia="楷体" w:cs="楷体"/>
        </w:rPr>
        <w:t>安全运维、变更管理和应急响应；</w:t>
      </w:r>
    </w:p>
    <w:p w14:paraId="4D39B91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8.</w:t>
      </w:r>
      <w:r>
        <w:rPr>
          <w:rFonts w:hint="eastAsia" w:ascii="楷体" w:hAnsi="楷体" w:eastAsia="楷体" w:cs="楷体"/>
        </w:rPr>
        <w:t>第三方接入与外部接口风险。</w:t>
      </w:r>
    </w:p>
    <w:p w14:paraId="6A7D97E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若采用 CIISAP 相关要求进行评估，设计文档、部署方案、运维方案和验收材料应保持口径一致，避免“文档有要求、实施无证据”的形式化合规问题。</w:t>
      </w:r>
    </w:p>
    <w:p w14:paraId="5E7A64A5">
      <w:pPr>
        <w:pStyle w:val="3"/>
        <w:spacing w:before="20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40"/>
        </w:rPr>
        <w:t>5. 分期交付边界与实施顺序</w:t>
      </w:r>
    </w:p>
    <w:p w14:paraId="72717DC8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5.0 方案业务目标与两期策略延续说明</w:t>
      </w:r>
    </w:p>
    <w:p w14:paraId="616188F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原方案中的下列业务目标在本版中继续有效，且仍作为项目范围与验收依据：统一入口与三平台分工、资产/GIS 一张图、设备接入与边缘管理、时序数据存储、实时监测、基础告警治理与工单闭环、算法模型接口预留、2D 主入口与局部 3D 联动。</w:t>
      </w:r>
    </w:p>
    <w:p w14:paraId="34C1A2D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一期完成全模块展示、基础能力贯通和底盘定型；二期在不推翻一期底盘的前提下接入算法模型、增强三维动态推演与综合指挥能力。</w:t>
      </w:r>
    </w:p>
    <w:p w14:paraId="1396BBF9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5.0.1 原方案保留、增强与新增约束清单</w:t>
      </w:r>
    </w:p>
    <w:p w14:paraId="7ED5B194">
      <w:pPr>
        <w:rPr>
          <w:rFonts w:hint="eastAsia" w:ascii="楷体" w:hAnsi="楷体" w:eastAsia="楷体" w:cs="楷体"/>
        </w:rPr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94"/>
        <w:gridCol w:w="2665"/>
        <w:gridCol w:w="2665"/>
      </w:tblGrid>
      <w:tr w14:paraId="6FFC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A467620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1"/>
              </w:rPr>
              <w:t>主题</w:t>
            </w:r>
          </w:p>
        </w:tc>
        <w:tc>
          <w:tcPr>
            <w:tcW w:w="2494" w:type="dxa"/>
            <w:vAlign w:val="center"/>
          </w:tcPr>
          <w:p w14:paraId="257E0FED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1"/>
              </w:rPr>
              <w:t>保留项（原方案继续有效）</w:t>
            </w:r>
          </w:p>
        </w:tc>
        <w:tc>
          <w:tcPr>
            <w:tcW w:w="2665" w:type="dxa"/>
            <w:vAlign w:val="center"/>
          </w:tcPr>
          <w:p w14:paraId="77FE4D4C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1"/>
              </w:rPr>
              <w:t>增强项（本次修订补充）</w:t>
            </w:r>
          </w:p>
        </w:tc>
        <w:tc>
          <w:tcPr>
            <w:tcW w:w="2665" w:type="dxa"/>
            <w:vAlign w:val="center"/>
          </w:tcPr>
          <w:p w14:paraId="0BED7EB3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1"/>
              </w:rPr>
              <w:t>新增约束项（必须执行）</w:t>
            </w:r>
          </w:p>
        </w:tc>
      </w:tr>
      <w:tr w14:paraId="72C1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EEE82B5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总体业务目标</w:t>
            </w:r>
          </w:p>
        </w:tc>
        <w:tc>
          <w:tcPr>
            <w:tcW w:w="2494" w:type="dxa"/>
            <w:vAlign w:val="center"/>
          </w:tcPr>
          <w:p w14:paraId="38A6A316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继续以地下管网一体化监测、运维闭环、应急指挥联动和智能诊断预留为总体目标。</w:t>
            </w:r>
          </w:p>
        </w:tc>
        <w:tc>
          <w:tcPr>
            <w:tcW w:w="2665" w:type="dxa"/>
            <w:vAlign w:val="center"/>
          </w:tcPr>
          <w:p w14:paraId="4359CD61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将业务目标同步映射到工程验收口径、职责边界和实施顺序中，避免只停留在概念层。</w:t>
            </w:r>
          </w:p>
        </w:tc>
        <w:tc>
          <w:tcPr>
            <w:tcW w:w="2665" w:type="dxa"/>
            <w:vAlign w:val="center"/>
          </w:tcPr>
          <w:p w14:paraId="5F5F2B81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后续任何细化设计不得偏离上述总目标；若变更必须走评审与版本管理。</w:t>
            </w:r>
          </w:p>
        </w:tc>
      </w:tr>
      <w:tr w14:paraId="011D3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B9EAB45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统一入口与平台口径</w:t>
            </w:r>
          </w:p>
        </w:tc>
        <w:tc>
          <w:tcPr>
            <w:tcW w:w="2494" w:type="dxa"/>
            <w:vAlign w:val="center"/>
          </w:tcPr>
          <w:p w14:paraId="5577F63C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继续保持“SSO → Portal → 综合管理平台 / 应急指挥平台 / 智能诊断中枢”的统一入口口径。</w:t>
            </w:r>
          </w:p>
        </w:tc>
        <w:tc>
          <w:tcPr>
            <w:tcW w:w="2665" w:type="dxa"/>
            <w:vAlign w:val="center"/>
          </w:tcPr>
          <w:p w14:paraId="028250AE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补充 Portal 不承载业务页面、平台支撑层不作为第四入口的边界约束。</w:t>
            </w:r>
          </w:p>
        </w:tc>
        <w:tc>
          <w:tcPr>
            <w:tcW w:w="2665" w:type="dxa"/>
            <w:vAlign w:val="center"/>
          </w:tcPr>
          <w:p w14:paraId="092524FE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菜单归属、接口边界、权限归属必须按统一口径冻结，禁止重复建设和边界漂移。</w:t>
            </w:r>
          </w:p>
        </w:tc>
      </w:tr>
      <w:tr w14:paraId="58C40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27B6A01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一期建设策略</w:t>
            </w:r>
          </w:p>
        </w:tc>
        <w:tc>
          <w:tcPr>
            <w:tcW w:w="2494" w:type="dxa"/>
            <w:vAlign w:val="center"/>
          </w:tcPr>
          <w:p w14:paraId="08013C86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继续保留“一期完成全模块展示、基础能力贯通、接口预留与底盘成型”的策略。</w:t>
            </w:r>
          </w:p>
        </w:tc>
        <w:tc>
          <w:tcPr>
            <w:tcW w:w="2665" w:type="dxa"/>
            <w:vAlign w:val="center"/>
          </w:tcPr>
          <w:p w14:paraId="090E16BB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进一步明确一期不是演示页面集合，而是后续二期不得推翻的工程骨架。</w:t>
            </w:r>
          </w:p>
        </w:tc>
        <w:tc>
          <w:tcPr>
            <w:tcW w:w="2665" w:type="dxa"/>
            <w:vAlign w:val="center"/>
          </w:tcPr>
          <w:p w14:paraId="1B5D0D2B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一期必须同时完成安全、可靠性、数据治理、可观测性等底盘能力，不得留成空白占位。</w:t>
            </w:r>
          </w:p>
        </w:tc>
      </w:tr>
      <w:tr w14:paraId="34F8D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02DD842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二期增强策略</w:t>
            </w:r>
          </w:p>
        </w:tc>
        <w:tc>
          <w:tcPr>
            <w:tcW w:w="2494" w:type="dxa"/>
            <w:vAlign w:val="center"/>
          </w:tcPr>
          <w:p w14:paraId="206F2AB8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继续保留“二期接入算法模型与三维增强能力”的实施路线。</w:t>
            </w:r>
          </w:p>
        </w:tc>
        <w:tc>
          <w:tcPr>
            <w:tcW w:w="2665" w:type="dxa"/>
            <w:vAlign w:val="center"/>
          </w:tcPr>
          <w:p w14:paraId="208588E6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明确二期以插槽式接入 ST-GNN、贝叶斯、不确定性评估、强化学习类能力及 3D 动态推演。</w:t>
            </w:r>
          </w:p>
        </w:tc>
        <w:tc>
          <w:tcPr>
            <w:tcW w:w="2665" w:type="dxa"/>
            <w:vAlign w:val="center"/>
          </w:tcPr>
          <w:p w14:paraId="6C6C6241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二期原则上不得通过大规模返工重建一期底盘来实现功能扩展。</w:t>
            </w:r>
          </w:p>
        </w:tc>
      </w:tr>
      <w:tr w14:paraId="1FEE8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98B5700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资产/GIS 与空间能力</w:t>
            </w:r>
          </w:p>
        </w:tc>
        <w:tc>
          <w:tcPr>
            <w:tcW w:w="2494" w:type="dxa"/>
            <w:vAlign w:val="center"/>
          </w:tcPr>
          <w:p w14:paraId="755C28F3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继续保留资产建档、GIS 一张图、对象定位、空间查询、2D 主入口与局部 3D 联动。</w:t>
            </w:r>
          </w:p>
        </w:tc>
        <w:tc>
          <w:tcPr>
            <w:tcW w:w="2665" w:type="dxa"/>
            <w:vAlign w:val="center"/>
          </w:tcPr>
          <w:p w14:paraId="148229D5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补充坐标系、投影转换、Z 轴深度标准、2D/3D 联动一致性和局部 3D 适用边界。</w:t>
            </w:r>
          </w:p>
        </w:tc>
        <w:tc>
          <w:tcPr>
            <w:tcW w:w="2665" w:type="dxa"/>
            <w:vAlign w:val="center"/>
          </w:tcPr>
          <w:p w14:paraId="054C341C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不得出现无坐标来源、无深度标准、前后端各自换算或以 3D 取代日常主入口的做法。</w:t>
            </w:r>
          </w:p>
        </w:tc>
      </w:tr>
      <w:tr w14:paraId="6FE86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A5C1BB8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设备接入与时序存储</w:t>
            </w:r>
          </w:p>
        </w:tc>
        <w:tc>
          <w:tcPr>
            <w:tcW w:w="2494" w:type="dxa"/>
            <w:vAlign w:val="center"/>
          </w:tcPr>
          <w:p w14:paraId="00858E39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继续保留设备接入、边缘预处理、时序落库、趋势分析和实时监测链路。</w:t>
            </w:r>
          </w:p>
        </w:tc>
        <w:tc>
          <w:tcPr>
            <w:tcW w:w="2665" w:type="dxa"/>
            <w:vAlign w:val="center"/>
          </w:tcPr>
          <w:p w14:paraId="76B01976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补充边缘断网缓冲、有序补偿、在线/补偿双口径 SLO、数据质量评分与标定管理。</w:t>
            </w:r>
          </w:p>
        </w:tc>
        <w:tc>
          <w:tcPr>
            <w:tcW w:w="2665" w:type="dxa"/>
            <w:vAlign w:val="center"/>
          </w:tcPr>
          <w:p w14:paraId="34F1A238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关键链路必须可追踪、可补偿、可审计，不得以“现场网络复杂”为由放弃口径管理。</w:t>
            </w:r>
          </w:p>
        </w:tc>
      </w:tr>
      <w:tr w14:paraId="3DF94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FE594B9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告警、事件与工单闭环</w:t>
            </w:r>
          </w:p>
        </w:tc>
        <w:tc>
          <w:tcPr>
            <w:tcW w:w="2494" w:type="dxa"/>
            <w:vAlign w:val="center"/>
          </w:tcPr>
          <w:p w14:paraId="50B43AC6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继续保留基础告警治理、事件化处置与工单闭环作为一期核心能力。</w:t>
            </w:r>
          </w:p>
        </w:tc>
        <w:tc>
          <w:tcPr>
            <w:tcW w:w="2665" w:type="dxa"/>
            <w:vAlign w:val="center"/>
          </w:tcPr>
          <w:p w14:paraId="5BFE5EDC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补充去重合并、抑制升级、幂等键、Outbox/死信、误报回写与复核机制。</w:t>
            </w:r>
          </w:p>
        </w:tc>
        <w:tc>
          <w:tcPr>
            <w:tcW w:w="2665" w:type="dxa"/>
            <w:vAlign w:val="center"/>
          </w:tcPr>
          <w:p w14:paraId="4D9E3733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不得只做“告警弹窗”而没有事件、工单、通知、回写四段闭环。</w:t>
            </w:r>
          </w:p>
        </w:tc>
      </w:tr>
      <w:tr w14:paraId="3EB5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1098BC1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模型接口与智能诊断</w:t>
            </w:r>
          </w:p>
        </w:tc>
        <w:tc>
          <w:tcPr>
            <w:tcW w:w="2494" w:type="dxa"/>
            <w:vAlign w:val="center"/>
          </w:tcPr>
          <w:p w14:paraId="719F440B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继续保留模型接口预留、规则兜底和智能诊断中枢定位。</w:t>
            </w:r>
          </w:p>
        </w:tc>
        <w:tc>
          <w:tcPr>
            <w:tcW w:w="2665" w:type="dxa"/>
            <w:vAlign w:val="center"/>
          </w:tcPr>
          <w:p w14:paraId="3F85AB1B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补充模型注册、版本、灰度、回滚、Feature View、一致性校验、漂移检测与冷启动策略。</w:t>
            </w:r>
          </w:p>
        </w:tc>
        <w:tc>
          <w:tcPr>
            <w:tcW w:w="2665" w:type="dxa"/>
            <w:vAlign w:val="center"/>
          </w:tcPr>
          <w:p w14:paraId="66A323D4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任何模型接入都必须纳入治理框架，不得在业务代码中写死单模型调用。</w:t>
            </w:r>
          </w:p>
        </w:tc>
      </w:tr>
      <w:tr w14:paraId="2706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217AE77">
            <w:pPr>
              <w:spacing w:after="0" w:line="24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实施与验收方式</w:t>
            </w:r>
          </w:p>
        </w:tc>
        <w:tc>
          <w:tcPr>
            <w:tcW w:w="2494" w:type="dxa"/>
            <w:vAlign w:val="center"/>
          </w:tcPr>
          <w:p w14:paraId="01D440AB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继续保留按两期推进、按模块域组织实施和按关键链路验收的总体方法。</w:t>
            </w:r>
          </w:p>
        </w:tc>
        <w:tc>
          <w:tcPr>
            <w:tcW w:w="2665" w:type="dxa"/>
            <w:vAlign w:val="center"/>
          </w:tcPr>
          <w:p w14:paraId="742E396E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补充 RPO/RTO、SLO、Runbook、容器化部署、CI/CD、密钥管理与演练要求。</w:t>
            </w:r>
          </w:p>
        </w:tc>
        <w:tc>
          <w:tcPr>
            <w:tcW w:w="2665" w:type="dxa"/>
            <w:vAlign w:val="center"/>
          </w:tcPr>
          <w:p w14:paraId="40E3DF25">
            <w:pPr>
              <w:spacing w:after="0" w:line="24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0"/>
              </w:rPr>
              <w:t>未拍板项必须在立项会或架构评审会前明确，不得以“未指定”状态进入开发。</w:t>
            </w:r>
          </w:p>
        </w:tc>
      </w:tr>
    </w:tbl>
    <w:p w14:paraId="47AB3A2C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原方案确定的两期边界继续保持有效并作为实施前提：一期完成基础底盘、全模块展示和关键链路贯通，二期完成算法与三维增强。本版在此基础上增加“底</w:t>
      </w:r>
      <w:bookmarkStart w:id="0" w:name="_GoBack"/>
      <w:bookmarkEnd w:id="0"/>
      <w:r>
        <w:rPr>
          <w:rFonts w:hint="eastAsia" w:ascii="楷体" w:hAnsi="楷体" w:eastAsia="楷体" w:cs="楷体"/>
        </w:rPr>
        <w:t>盘必须一次做对”的约束：一期不是做几个页面，而是完成后续不应被二期推翻的工程骨架。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665"/>
        <w:gridCol w:w="1814"/>
        <w:gridCol w:w="2268"/>
        <w:gridCol w:w="1304"/>
      </w:tblGrid>
      <w:tr w14:paraId="12C54BE5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8B2DD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模块域</w:t>
            </w:r>
          </w:p>
        </w:tc>
        <w:tc>
          <w:tcPr>
            <w:tcW w:w="2665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C2FC3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一期必须完成</w:t>
            </w:r>
          </w:p>
        </w:tc>
        <w:tc>
          <w:tcPr>
            <w:tcW w:w="181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745BF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二期增强</w:t>
            </w:r>
          </w:p>
        </w:tc>
        <w:tc>
          <w:tcPr>
            <w:tcW w:w="2268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5E162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一阶段验收点</w:t>
            </w:r>
          </w:p>
        </w:tc>
        <w:tc>
          <w:tcPr>
            <w:tcW w:w="130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75F6A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责任方</w:t>
            </w:r>
          </w:p>
        </w:tc>
      </w:tr>
      <w:tr w14:paraId="0EE0B71C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FBC82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统一入口</w:t>
            </w:r>
          </w:p>
        </w:tc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8081E3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SSO + Portal + 三平台路由、统一退出、紧急旁路、权限即时生效。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05C25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维持不变，仅扩容优化。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842B0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跨平台免重登，SSO 故障演练可切旁路。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F9DE9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开发+运维+产品</w:t>
            </w:r>
          </w:p>
        </w:tc>
      </w:tr>
      <w:tr w14:paraId="1286E94A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1FDEF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资产/GIS</w:t>
            </w:r>
          </w:p>
        </w:tc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07DB5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2D 一张图、资产建档、空间检索、对象联动、局部 3D 占位。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AE63F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3D 推演、扩散仿真、大屏增强。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E4AE7E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任一对象可从地图进入详情与事件。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10902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开发+产品</w:t>
            </w:r>
          </w:p>
        </w:tc>
      </w:tr>
      <w:tr w14:paraId="27B24845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62CB6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设备与时序</w:t>
            </w:r>
          </w:p>
        </w:tc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2CE9B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设备台账、协议适配、边缘预处理、在线率、TSDB 落库、聚合视图。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C9A74F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新增模型特征与高级分析。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316ED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写入、查询、保留与补偿策略可验收。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0D064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</w:t>
            </w:r>
          </w:p>
        </w:tc>
      </w:tr>
      <w:tr w14:paraId="74CCF03E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FE849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告警与工单</w:t>
            </w:r>
          </w:p>
        </w:tc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985EF4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规则兜底、事件化、抑制、升级、闭环、回写。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0DA99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模型增强、误报自动沉淀。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E9BC1C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事件状态机与工单闭环跑通。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E5862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开发+产品+运维</w:t>
            </w:r>
          </w:p>
        </w:tc>
      </w:tr>
      <w:tr w14:paraId="11C1B09F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560D9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模型治理</w:t>
            </w:r>
          </w:p>
        </w:tc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A5735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注册、版本、灰度、回退、审计、复核入口。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1F363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接入 ST-GNN、贝叶斯、不确定性、强化元学习。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A15CE9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超时或失败自动回退规则链路。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06F62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开发+算法+运维</w:t>
            </w:r>
          </w:p>
        </w:tc>
      </w:tr>
    </w:tbl>
    <w:p w14:paraId="1CABB04C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5.1 建议实施顺序</w:t>
      </w:r>
    </w:p>
    <w:p w14:paraId="0EBB08DC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第一批冻结：统一口径、权限模型、主数据对象链、接口契约、坐标系、RPO/RTO、SLO 指标口径。</w:t>
      </w:r>
    </w:p>
    <w:p w14:paraId="195B4B69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第二批建设：SSO/Portal、主数据/GIS、设备接入/时序、告警与工单、可观测性底座。</w:t>
      </w:r>
    </w:p>
    <w:p w14:paraId="7CCB4802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第三批建设：模型治理框架、特征视图、部署流水线、演练与 Runbook。</w:t>
      </w:r>
    </w:p>
    <w:p w14:paraId="6CE2CB21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第四批接入：算法模型、局部 3D、扩散推演、综合大屏。</w:t>
      </w:r>
    </w:p>
    <w:p w14:paraId="0881C60E">
      <w:pPr>
        <w:pStyle w:val="3"/>
        <w:spacing w:before="20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40"/>
        </w:rPr>
        <w:t>6. 实时链路、SLO 与 RPO/RTO</w:t>
      </w:r>
    </w:p>
    <w:p w14:paraId="66CB0037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6.1 实时链路口径</w:t>
      </w:r>
    </w:p>
    <w:p w14:paraId="41A34117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1"/>
        </w:rPr>
        <w:t>实时的定义必须落到可测的口径上：设备产生有效采样 → 边缘接收 → 边缘发出 → 云端消费 → TSDB 可查询 → 告警判定 → 前端收到推送 → 地图/大屏完成刷新。所有关键链路都必须记录 trace_id、event_time、recv_time，并可回放。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928"/>
        <w:gridCol w:w="1871"/>
        <w:gridCol w:w="1984"/>
        <w:gridCol w:w="1304"/>
        <w:gridCol w:w="1587"/>
      </w:tblGrid>
      <w:tr w14:paraId="49078405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07A0E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指标</w:t>
            </w:r>
          </w:p>
        </w:tc>
        <w:tc>
          <w:tcPr>
            <w:tcW w:w="1928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92566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统一口径</w:t>
            </w:r>
          </w:p>
        </w:tc>
        <w:tc>
          <w:tcPr>
            <w:tcW w:w="187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74694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建议阈值</w:t>
            </w:r>
          </w:p>
        </w:tc>
        <w:tc>
          <w:tcPr>
            <w:tcW w:w="198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8203F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补偿/降级</w:t>
            </w:r>
          </w:p>
        </w:tc>
        <w:tc>
          <w:tcPr>
            <w:tcW w:w="130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0F2FF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采集点</w:t>
            </w:r>
          </w:p>
        </w:tc>
        <w:tc>
          <w:tcPr>
            <w:tcW w:w="158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1D899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验收要点</w:t>
            </w:r>
          </w:p>
        </w:tc>
      </w:tr>
      <w:tr w14:paraId="5E9279E2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9A0D3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边缘预处理时延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E490F0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recv_time_edge → emit_time_edge</w:t>
            </w:r>
          </w:p>
        </w:tc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E1C19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P95 ≤ 300 ms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A1200F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超时告警；超阈值进入降级模式。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070A5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边缘节点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2C238F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可定位到具体节点与策略。</w:t>
            </w:r>
          </w:p>
        </w:tc>
      </w:tr>
      <w:tr w14:paraId="06C2DCDB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1CE4F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云端入库时延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222EB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emit_time_edge → tsdb_visible_time</w:t>
            </w:r>
          </w:p>
        </w:tc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8AC35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P95 ≤ 2 s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CA42C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断网补偿数据单独标记。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5C3EC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接入服务 + TSDB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158153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可解释排队、写入、补偿三段耗时。</w:t>
            </w:r>
          </w:p>
        </w:tc>
      </w:tr>
      <w:tr w14:paraId="367446A5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B60DA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告警推送时延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9A35C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alarm_fire_time → client_recv_time</w:t>
            </w:r>
          </w:p>
        </w:tc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5FC49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重大 ≤ 1 s；普通 ≤ 3 s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4F1226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WS 故障时走短信/企微等备用通知。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94949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推送网关 + 前端埋点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47AEE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重大告警不丢且可补发。</w:t>
            </w:r>
          </w:p>
        </w:tc>
      </w:tr>
      <w:tr w14:paraId="5CBE6746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A0D9C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地图刷新时延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2F4B96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client_recv_time → render_done</w:t>
            </w:r>
          </w:p>
        </w:tc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D86D0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2D P95 ≤ 1.5 s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EC19F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3D 失败不影响 2D。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796AA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前端埋点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E7C3E9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大屏与 PC 端均可测。</w:t>
            </w:r>
          </w:p>
        </w:tc>
      </w:tr>
      <w:tr w14:paraId="01A49163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684BC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工单触达到达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3CEDA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派单时间 → 接单端收到</w:t>
            </w:r>
          </w:p>
        </w:tc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FF990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P95 ≤ 10 s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EAC76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通道异常时切备用通知。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D039D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通知服务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E912B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到达率月度 ≥ 99%。</w:t>
            </w:r>
          </w:p>
        </w:tc>
      </w:tr>
      <w:tr w14:paraId="5E09A886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EADD8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8"/>
              </w:rPr>
              <w:t>模型推理耗时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94698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infer_req_time → infer_resp_time</w:t>
            </w:r>
          </w:p>
        </w:tc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9DA47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一期规则链 ≤ 500 ms；二期模型 ≤ 3 s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C32FE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超时立即回退规则链。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89CEC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模型网关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30FFF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8"/>
              </w:rPr>
              <w:t>回退不影响告警闭环。</w:t>
            </w:r>
          </w:p>
        </w:tc>
      </w:tr>
    </w:tbl>
    <w:p w14:paraId="15378DE8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6.2 边缘断网与补偿口径</w:t>
      </w:r>
    </w:p>
    <w:p w14:paraId="7241B32D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每个边缘节点必须有本地持久化缓冲区，容量建议按“至少 24 小时关键数据量”估算并留 30% 安全冗余。</w:t>
      </w:r>
    </w:p>
    <w:p w14:paraId="53B55432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超过缓冲上限时，默认优先保留最新关键报警相关数据；普通遥测数据按“最旧优先淘汰”策略处理，并写入告警。</w:t>
      </w:r>
    </w:p>
    <w:p w14:paraId="7DB3521B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补偿回传必须带原始采样时间、补偿批次号与顺序号；写入时序库后标记 is_backfill = 1，避免与在线链路口径混淆。</w:t>
      </w:r>
    </w:p>
    <w:p w14:paraId="37D1CA8B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历史 SLO 报表分为“在线实时口径”和“含补偿口径”两套视图，避免验收争议。</w:t>
      </w:r>
    </w:p>
    <w:p w14:paraId="0A851C94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6.3 业务域 RPO/RTO 建议值（必须写入方案）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1417"/>
        <w:gridCol w:w="3118"/>
        <w:gridCol w:w="1417"/>
      </w:tblGrid>
      <w:tr w14:paraId="498335B7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A9BBA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业务域</w:t>
            </w:r>
          </w:p>
        </w:tc>
        <w:tc>
          <w:tcPr>
            <w:tcW w:w="141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4598A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RTO 建议值</w:t>
            </w:r>
          </w:p>
        </w:tc>
        <w:tc>
          <w:tcPr>
            <w:tcW w:w="141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80CE0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RPO 建议值</w:t>
            </w:r>
          </w:p>
        </w:tc>
        <w:tc>
          <w:tcPr>
            <w:tcW w:w="3118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FF1F7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说明</w:t>
            </w:r>
          </w:p>
        </w:tc>
        <w:tc>
          <w:tcPr>
            <w:tcW w:w="141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32CC9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责任方</w:t>
            </w:r>
          </w:p>
        </w:tc>
      </w:tr>
      <w:tr w14:paraId="5C56959F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770624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SSO / Portal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22821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≤ 30 分钟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2C448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≤ 5 分钟</w:t>
            </w:r>
          </w:p>
        </w:tc>
        <w:tc>
          <w:tcPr>
            <w:tcW w:w="311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45583D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影响全平台登录，需优先恢复。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677B5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运维+开发</w:t>
            </w:r>
          </w:p>
        </w:tc>
      </w:tr>
      <w:tr w14:paraId="2FC3883F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9DF05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应急指挥核心链路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2C0ED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≤ 30 分钟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079B8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≤ 5 分钟</w:t>
            </w:r>
          </w:p>
        </w:tc>
        <w:tc>
          <w:tcPr>
            <w:tcW w:w="311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162646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事件研判、告警查看、指挥调度不得长时间不可用。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3A7E7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运维+开发+产品</w:t>
            </w:r>
          </w:p>
        </w:tc>
      </w:tr>
      <w:tr w14:paraId="2D02E28E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0716F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告警闭环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8EC81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≤ 1 小时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4497B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≤ 15 分钟</w:t>
            </w:r>
          </w:p>
        </w:tc>
        <w:tc>
          <w:tcPr>
            <w:tcW w:w="311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035E00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允许短时降级，但不得丢失关键事件与告警。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CBE79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运维+开发</w:t>
            </w:r>
          </w:p>
        </w:tc>
      </w:tr>
      <w:tr w14:paraId="7B865AA7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7EDCC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工单派发与通知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BD4C1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≤ 1 小时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B67C4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≤ 15 分钟</w:t>
            </w:r>
          </w:p>
        </w:tc>
        <w:tc>
          <w:tcPr>
            <w:tcW w:w="311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4E008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需保留未送达重试与备用通道。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6B86A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运维+开发</w:t>
            </w:r>
          </w:p>
        </w:tc>
      </w:tr>
      <w:tr w14:paraId="6502C2B5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F12F5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GIS / 历史分析 / 报表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210FC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≤ 4 小时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7D57C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≤ 1 小时</w:t>
            </w:r>
          </w:p>
        </w:tc>
        <w:tc>
          <w:tcPr>
            <w:tcW w:w="311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6E29BD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可接受短时降级，不影响核心指挥链路。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F38AD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运维+开发</w:t>
            </w:r>
          </w:p>
        </w:tc>
      </w:tr>
    </w:tbl>
    <w:p w14:paraId="0394250C">
      <w:pPr>
        <w:pStyle w:val="3"/>
        <w:spacing w:before="20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40"/>
        </w:rPr>
        <w:t>7. 数据治理、主数据一致性与模型工程</w:t>
      </w:r>
    </w:p>
    <w:p w14:paraId="2802D2F1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7.1 主数据链与并发变更控制</w:t>
      </w:r>
    </w:p>
    <w:p w14:paraId="5F52832B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1"/>
        </w:rPr>
        <w:t>主数据唯一对象链继续固定为“管网 → 管线 → 管段 → 节点/井室 → 附属设施 → 传感器”。所有业务结果必须落到 segment_id 或 node_id，不允许只落经纬度点。</w:t>
      </w:r>
    </w:p>
    <w:p w14:paraId="1BF7BAE6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空间变更流程固定为：变更申请 → 冲突检测 → 影响分析 → 审批 → 生效 → 版本归档 → 通知订阅方刷新。</w:t>
      </w:r>
    </w:p>
    <w:p w14:paraId="4BEB3AC1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同一管段或节点在存在未完成变更单时，后续变更默认进入排队，不允许并发直接生效。</w:t>
      </w:r>
    </w:p>
    <w:p w14:paraId="77660355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若对象存在进行中的告警/工单，变更审批时必须显示影响提示，并要求对接处置负责人确认。</w:t>
      </w:r>
    </w:p>
    <w:p w14:paraId="7AE8D669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订阅方刷新通知按“重试 + 死信 + 人工补偿”三层机制处理，通知失败不得默默丢弃。</w:t>
      </w:r>
    </w:p>
    <w:p w14:paraId="12C46582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7.2 数据质量评分框架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551"/>
        <w:gridCol w:w="2098"/>
        <w:gridCol w:w="1795"/>
        <w:gridCol w:w="1757"/>
      </w:tblGrid>
      <w:tr w14:paraId="31F41A23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FC33D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质量维度</w:t>
            </w:r>
          </w:p>
        </w:tc>
        <w:tc>
          <w:tcPr>
            <w:tcW w:w="255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23774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规则示例</w:t>
            </w:r>
          </w:p>
        </w:tc>
        <w:tc>
          <w:tcPr>
            <w:tcW w:w="2098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3696E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处理动作</w:t>
            </w:r>
          </w:p>
        </w:tc>
        <w:tc>
          <w:tcPr>
            <w:tcW w:w="141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0F005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落库字段</w:t>
            </w:r>
          </w:p>
        </w:tc>
        <w:tc>
          <w:tcPr>
            <w:tcW w:w="175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E95CD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验收标准</w:t>
            </w:r>
          </w:p>
        </w:tc>
      </w:tr>
      <w:tr w14:paraId="60008CC2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CCCA0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合法值范围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F2906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压力/流量/液位超出量程，或值域非法。</w:t>
            </w:r>
          </w:p>
        </w:tc>
        <w:tc>
          <w:tcPr>
            <w:tcW w:w="20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CFCA3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标记 invalid_range，进入隔离区，不直接触发高置信告警。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7CE959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dq_score、dq_flags</w:t>
            </w:r>
          </w:p>
        </w:tc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CBEA0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量程外数据可追溯、可统计。</w:t>
            </w:r>
          </w:p>
        </w:tc>
      </w:tr>
      <w:tr w14:paraId="1B1C8BC6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3CEB4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完整性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4AAD4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空值、缺值、重复包、时间戳缺失。</w:t>
            </w:r>
          </w:p>
        </w:tc>
        <w:tc>
          <w:tcPr>
            <w:tcW w:w="20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EBCDCC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补齐默认值或转隔离队列；记录缺失率。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DED14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missing_rate、duplicate_flag</w:t>
            </w:r>
          </w:p>
        </w:tc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888F46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缺失率可按设备、区域汇总。</w:t>
            </w:r>
          </w:p>
        </w:tc>
      </w:tr>
      <w:tr w14:paraId="7F95D8F0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9D91F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稳定性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D4A65D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固定值不变、长时间零波动、明显抖动。</w:t>
            </w:r>
          </w:p>
        </w:tc>
        <w:tc>
          <w:tcPr>
            <w:tcW w:w="20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C56D3E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判定传感器故障候选，触发检修工单。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4685F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stuck_flag、noise_flag</w:t>
            </w:r>
          </w:p>
        </w:tc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F21866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传感器故障与真实异常可区分。</w:t>
            </w:r>
          </w:p>
        </w:tc>
      </w:tr>
      <w:tr w14:paraId="3A8DEE70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8FFD3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一致性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AED9D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相邻传感器、物理规则或模型先验冲突。</w:t>
            </w:r>
          </w:p>
        </w:tc>
        <w:tc>
          <w:tcPr>
            <w:tcW w:w="20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FA664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降低告警置信度，进入人工复核。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ACE07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consistency_score</w:t>
            </w:r>
          </w:p>
        </w:tc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047639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异常解释中可显示冲突原因。</w:t>
            </w:r>
          </w:p>
        </w:tc>
      </w:tr>
      <w:tr w14:paraId="5F85C0CE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7CDCE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时效性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31948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数据延迟、乱序、补偿回传。</w:t>
            </w:r>
          </w:p>
        </w:tc>
        <w:tc>
          <w:tcPr>
            <w:tcW w:w="20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C30A5E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标记 late_arrival / is_backfill。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E3FC99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latency_ms、is_backfill</w:t>
            </w:r>
          </w:p>
        </w:tc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5D565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在线与补偿口径分离。</w:t>
            </w:r>
          </w:p>
        </w:tc>
      </w:tr>
    </w:tbl>
    <w:p w14:paraId="147CCB90">
      <w:pPr>
        <w:pStyle w:val="4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7.2 数据质量评分框架</w:t>
      </w:r>
    </w:p>
    <w:p w14:paraId="352EF2BD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为防止异常告警由传感器故障、漂移、延迟、断点或脏数据触发，平台应在接入层和规则/模型层之间建立统一的数据质量评分机制。所有进入告警规则、推理流程和分析看板的数据都应附带 </w:t>
      </w:r>
      <w:r>
        <w:rPr>
          <w:rStyle w:val="136"/>
          <w:rFonts w:hint="eastAsia" w:ascii="楷体" w:hAnsi="楷体" w:eastAsia="楷体" w:cs="楷体"/>
        </w:rPr>
        <w:t>dq_score</w:t>
      </w:r>
      <w:r>
        <w:rPr>
          <w:rFonts w:hint="eastAsia" w:ascii="楷体" w:hAnsi="楷体" w:eastAsia="楷体" w:cs="楷体"/>
        </w:rPr>
        <w:t>。</w:t>
      </w:r>
    </w:p>
    <w:p w14:paraId="4E6DE458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7.2.1 dq_score 计算公式</w:t>
      </w:r>
    </w:p>
    <w:p w14:paraId="75FF4DAB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建议采用 100 分制质量评分，定义如下：</w:t>
      </w:r>
    </w:p>
    <w:p w14:paraId="2772C3FD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dq_score = 100 × (0.30×C + 0.25×V + 0.20×T + 0.15×K + 0.10×S)</w:t>
      </w:r>
    </w:p>
    <w:p w14:paraId="03EB2571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其中：</w:t>
      </w:r>
    </w:p>
    <w:p w14:paraId="02E98B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C</w:t>
      </w:r>
      <w:r>
        <w:rPr>
          <w:rFonts w:hint="eastAsia" w:ascii="楷体" w:hAnsi="楷体" w:eastAsia="楷体" w:cs="楷体"/>
        </w:rPr>
        <w:t xml:space="preserve">：完整性（Completeness），取值 0~1，反映采样点是否缺失、字段是否齐全； </w:t>
      </w:r>
    </w:p>
    <w:p w14:paraId="0B0D37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V</w:t>
      </w:r>
      <w:r>
        <w:rPr>
          <w:rFonts w:hint="eastAsia" w:ascii="楷体" w:hAnsi="楷体" w:eastAsia="楷体" w:cs="楷体"/>
        </w:rPr>
        <w:t xml:space="preserve">：有效性（Validity），取值 0~1，反映是否落在合法量程、格式是否正确； </w:t>
      </w:r>
    </w:p>
    <w:p w14:paraId="47C69D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T</w:t>
      </w:r>
      <w:r>
        <w:rPr>
          <w:rFonts w:hint="eastAsia" w:ascii="楷体" w:hAnsi="楷体" w:eastAsia="楷体" w:cs="楷体"/>
        </w:rPr>
        <w:t xml:space="preserve">：时效性（Timeliness），取值 0~1，反映采样与入库是否超时； </w:t>
      </w:r>
    </w:p>
    <w:p w14:paraId="56AC4D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K</w:t>
      </w:r>
      <w:r>
        <w:rPr>
          <w:rFonts w:hint="eastAsia" w:ascii="楷体" w:hAnsi="楷体" w:eastAsia="楷体" w:cs="楷体"/>
        </w:rPr>
        <w:t xml:space="preserve">：一致性（Consistency），取值 0~1，反映与邻近传感器、同拓扑对象或历史趋势是否一致； </w:t>
      </w:r>
    </w:p>
    <w:p w14:paraId="415AB4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S</w:t>
      </w:r>
      <w:r>
        <w:rPr>
          <w:rFonts w:hint="eastAsia" w:ascii="楷体" w:hAnsi="楷体" w:eastAsia="楷体" w:cs="楷体"/>
        </w:rPr>
        <w:t xml:space="preserve">：稳定性（Stability），取值 0~1，反映是否存在平线、抖动异常、重复值、突变噪声等异常模式。 </w:t>
      </w:r>
    </w:p>
    <w:p w14:paraId="05BDD693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若某一项缺失，则按最不利原则降权，不得简单按满分处理。</w:t>
      </w:r>
    </w:p>
    <w:p w14:paraId="36E406C8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7.2.2 分值阈值</w:t>
      </w:r>
    </w:p>
    <w:p w14:paraId="39F47D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A 级：dq_score ≥ 85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数据质量高，可直接进入规则判定、模型推理和自动处置链路。 </w:t>
      </w:r>
    </w:p>
    <w:p w14:paraId="70D0BE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B 级：70 ≤ dq_score &lt; 85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数据质量可用，但需保留降权标记；重要事件仍可自动进入处置链路。 </w:t>
      </w:r>
    </w:p>
    <w:p w14:paraId="5B03CA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C 级：60 ≤ dq_score &lt; 70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数据质量降级，只允许进入“人工复核优先”链路；不建议直接触发高等级自动升级。 </w:t>
      </w:r>
    </w:p>
    <w:p w14:paraId="238749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D 级：dq_score &lt; 60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数据不可靠，默认不直接触发正式管网事件，优先转为“数据质量异常/设备复核”告警。 </w:t>
      </w:r>
    </w:p>
    <w:p w14:paraId="77DA8AFD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7.2.3 与告警置信度联动规则</w:t>
      </w:r>
    </w:p>
    <w:p w14:paraId="23622D8B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建议将最终告警置信度定义为：</w:t>
      </w:r>
    </w:p>
    <w:p w14:paraId="5C254603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alarm_conf_final = alarm_conf_raw × (0.5 + 0.5 × dq_score / 100)</w:t>
      </w:r>
    </w:p>
    <w:p w14:paraId="38D2700F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其中：</w:t>
      </w:r>
    </w:p>
    <w:p w14:paraId="482F5B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alarm_conf_raw</w:t>
      </w:r>
      <w:r>
        <w:rPr>
          <w:rFonts w:hint="eastAsia" w:ascii="楷体" w:hAnsi="楷体" w:eastAsia="楷体" w:cs="楷体"/>
        </w:rPr>
        <w:t xml:space="preserve"> 为规则或模型原始置信度； </w:t>
      </w:r>
    </w:p>
    <w:p w14:paraId="0164D81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alarm_conf_final</w:t>
      </w:r>
      <w:r>
        <w:rPr>
          <w:rFonts w:hint="eastAsia" w:ascii="楷体" w:hAnsi="楷体" w:eastAsia="楷体" w:cs="楷体"/>
        </w:rPr>
        <w:t xml:space="preserve"> 为质量校正后的最终置信度。 </w:t>
      </w:r>
    </w:p>
    <w:p w14:paraId="4101378E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联动规则如下：</w:t>
      </w:r>
    </w:p>
    <w:p w14:paraId="0ED164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dq_score ≥ 85</w:t>
      </w:r>
      <w:r>
        <w:rPr>
          <w:rFonts w:hint="eastAsia" w:ascii="楷体" w:hAnsi="楷体" w:eastAsia="楷体" w:cs="楷体"/>
        </w:rPr>
        <w:t xml:space="preserve">：原始置信度不降权； </w:t>
      </w:r>
    </w:p>
    <w:p w14:paraId="4A1035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70 ≤ dq_score &lt; 85</w:t>
      </w:r>
      <w:r>
        <w:rPr>
          <w:rFonts w:hint="eastAsia" w:ascii="楷体" w:hAnsi="楷体" w:eastAsia="楷体" w:cs="楷体"/>
        </w:rPr>
        <w:t xml:space="preserve">：允许自动告警，但升级阈值提高一级； </w:t>
      </w:r>
    </w:p>
    <w:p w14:paraId="329DA0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60 ≤ dq_score &lt; 70</w:t>
      </w:r>
      <w:r>
        <w:rPr>
          <w:rFonts w:hint="eastAsia" w:ascii="楷体" w:hAnsi="楷体" w:eastAsia="楷体" w:cs="楷体"/>
        </w:rPr>
        <w:t xml:space="preserve">：只允许进入人工确认或多源交叉校验流程； </w:t>
      </w:r>
    </w:p>
    <w:p w14:paraId="766B56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dq_score &lt; 60</w:t>
      </w:r>
      <w:r>
        <w:rPr>
          <w:rFonts w:hint="eastAsia" w:ascii="楷体" w:hAnsi="楷体" w:eastAsia="楷体" w:cs="楷体"/>
        </w:rPr>
        <w:t xml:space="preserve">：默认不自动生成正式事件，除非有多传感器、多规则或人工确认共同支撑。 </w:t>
      </w:r>
    </w:p>
    <w:p w14:paraId="51A498CE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  <w:b/>
          <w:i w:val="0"/>
          <w:color w:val="1F4E79"/>
          <w:sz w:val="29"/>
        </w:rPr>
      </w:pPr>
      <w:r>
        <w:rPr>
          <w:rFonts w:hint="eastAsia" w:ascii="楷体" w:hAnsi="楷体" w:eastAsia="楷体" w:cs="楷体"/>
        </w:rPr>
        <w:t>数据质量评分结果必须落库，供误报复盘、模型训练筛样、设备健康评估和报表统计使用。</w:t>
      </w:r>
    </w:p>
    <w:p w14:paraId="73D33AA5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7.3 传感器标定、漂移与检修闭环</w:t>
      </w:r>
    </w:p>
    <w:p w14:paraId="2E66BC1C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每个传感器必须维护标定版本、标定日期、有效期、标定人员、参考标准、修正参数。</w:t>
      </w:r>
    </w:p>
    <w:p w14:paraId="482658F7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到期前自动生成提醒；逾期未标定的设备，告警结果默认降权并纳入设备健康看板。</w:t>
      </w:r>
    </w:p>
    <w:p w14:paraId="578FEFC7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当标定参数发生变化时，历史数据默认不覆盖原始值；通过“校正视图”提供追溯修正结果，避免直接篡改原始采样。</w:t>
      </w:r>
    </w:p>
    <w:p w14:paraId="4C2BD1EB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若判定为漂移而非真实异常，系统应自动创建“检修/复核”工单，而不是直接升级为管网事件。</w:t>
      </w:r>
    </w:p>
    <w:p w14:paraId="662979B5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7.4 坐标系、投影与 Z 轴深度标准</w:t>
      </w:r>
    </w:p>
    <w:p w14:paraId="3CDD4427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1"/>
        </w:rPr>
        <w:t>本版建议采用“内部权威坐标 + 外部展示坐标”的双坐标体系：内部权威存储采用项目所在地区统一的工程投影坐标（建议以 CGCS2000 投影或业主已批复的地方坐标为准）；外部互联网底图展示可转换为 WGS84/Web Mercator。</w:t>
      </w:r>
    </w:p>
    <w:p w14:paraId="6A98AAE9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空间库至少同时保存 authority_srid、display_srid、geometry_2d、z_top、z_bottom、bury_depth、elevation_ref 等字段。</w:t>
      </w:r>
    </w:p>
    <w:p w14:paraId="6450052A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坐标转换服务必须统一封装，不允许前端、ETL、导入工具各自私算。</w:t>
      </w:r>
    </w:p>
    <w:p w14:paraId="240DAF4A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Z 轴采用米为单位，明确是“相对地面埋深”还是“绝对高程”，并在字段说明中写死。</w:t>
      </w:r>
    </w:p>
    <w:p w14:paraId="3B1AC6D7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导入第三方资料时，必须在入库前登记坐标系来源、转换参数与精度等级。</w:t>
      </w:r>
    </w:p>
    <w:p w14:paraId="0520AC94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7.5 模型治理与 ML 工程补充条款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381"/>
        <w:gridCol w:w="1701"/>
        <w:gridCol w:w="1701"/>
        <w:gridCol w:w="1701"/>
      </w:tblGrid>
      <w:tr w14:paraId="058F1AC0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2B784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主题</w:t>
            </w:r>
          </w:p>
        </w:tc>
        <w:tc>
          <w:tcPr>
            <w:tcW w:w="238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E6977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必须补齐的设计</w:t>
            </w:r>
          </w:p>
        </w:tc>
        <w:tc>
          <w:tcPr>
            <w:tcW w:w="170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64421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一期要求</w:t>
            </w:r>
          </w:p>
        </w:tc>
        <w:tc>
          <w:tcPr>
            <w:tcW w:w="170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E17B6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二期要求</w:t>
            </w:r>
          </w:p>
        </w:tc>
        <w:tc>
          <w:tcPr>
            <w:tcW w:w="170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362AC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验收标准</w:t>
            </w:r>
          </w:p>
        </w:tc>
      </w:tr>
      <w:tr w14:paraId="1E3EA477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DDB65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Training-Serving 一致性</w:t>
            </w:r>
          </w:p>
        </w:tc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C0C93F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训练和推理共用特征定义、缺失填充策略、窗口口径与版本号。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3DA98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建设 Feature View / 特征定义表。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9C1A5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模型上线绑定特征版本。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170C1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回放测试可复现线上输入。</w:t>
            </w:r>
          </w:p>
        </w:tc>
      </w:tr>
      <w:tr w14:paraId="7ADDACF4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4BE67D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Feature Store / 特征视图</w:t>
            </w:r>
          </w:p>
        </w:tc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ED56B5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先做轻量特征视图，不强制大而全平台。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AE1673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完成关键特征表与缓存策略。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54C32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按模型扩展到可复用层。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2E12F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在线推理不因特征计算拖垮链路。</w:t>
            </w:r>
          </w:p>
        </w:tc>
      </w:tr>
      <w:tr w14:paraId="24733066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89299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ST-GNN 拓扑变化</w:t>
            </w:r>
          </w:p>
        </w:tc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DAD1BE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管段拆分/合并、新增区域时要判断是否触发重训练。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82B98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建立 topology_version 字段与变更标记。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4F89F9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支持按区域局部重训与灰度替换。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EBFE64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可解释某次推理对应的拓扑版本。</w:t>
            </w:r>
          </w:p>
        </w:tc>
      </w:tr>
      <w:tr w14:paraId="6F13877D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B3082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冷启动</w:t>
            </w:r>
          </w:p>
        </w:tc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3AB8AC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新增区域历史不足时走规则兜底 + 相似区域迁移 + 人工复核。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18EED6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冷启动策略写入业务规则。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16DBC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积累数据后再转模型。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4D6D3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新区域不会因缺历史数据而失效。</w:t>
            </w:r>
          </w:p>
        </w:tc>
      </w:tr>
      <w:tr w14:paraId="631568EE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05FD5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漂移检测</w:t>
            </w:r>
          </w:p>
        </w:tc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414F1C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至少监控输入分布漂移、预测分布漂移、效果退化三类指标。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0B7813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先定义指标和阈值，不必一步到位自动化。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3A5EE0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漂移触发后支持自动降级或回滚。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01781F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模型退化可被识别并触发动作。</w:t>
            </w:r>
          </w:p>
        </w:tc>
      </w:tr>
    </w:tbl>
    <w:p w14:paraId="490121EE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7.5.1 ST-GNN 冷启动与区域相似性迁移策略</w:t>
      </w:r>
    </w:p>
    <w:p w14:paraId="03112772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ST-GNN 依赖拓扑结构、时序特征和历史事件样本。对于新增区域、历史样本不足区域或主数据大规模变更后的区域，禁止直接按成熟区域同等置信度上线。</w:t>
      </w:r>
    </w:p>
    <w:p w14:paraId="61D76209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冷启动阶段建议采用“相似区域迁移 + 影子运行 + 分阶段放权”机制。</w:t>
      </w:r>
    </w:p>
    <w:p w14:paraId="0D7C1619">
      <w:pPr>
        <w:pStyle w:val="6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（1）区域相似性定义</w:t>
      </w:r>
    </w:p>
    <w:p w14:paraId="50458B26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建议建立区域相似性分数 </w:t>
      </w:r>
      <w:r>
        <w:rPr>
          <w:rStyle w:val="136"/>
          <w:rFonts w:hint="eastAsia" w:ascii="楷体" w:hAnsi="楷体" w:eastAsia="楷体" w:cs="楷体"/>
        </w:rPr>
        <w:t>sim_region</w:t>
      </w:r>
      <w:r>
        <w:rPr>
          <w:rFonts w:hint="eastAsia" w:ascii="楷体" w:hAnsi="楷体" w:eastAsia="楷体" w:cs="楷体"/>
        </w:rPr>
        <w:t>，用于判断新区域可参考哪个已成熟区域的模型参数或初始化权重：</w:t>
      </w:r>
    </w:p>
    <w:p w14:paraId="3BA37CFF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sim_region = 0.40×Topo + 0.30×Hydro + 0.20×Asset + 0.10×Env</w:t>
      </w:r>
    </w:p>
    <w:p w14:paraId="58EEFBB5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其中：</w:t>
      </w:r>
    </w:p>
    <w:p w14:paraId="34DDBF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Topo</w:t>
      </w:r>
      <w:r>
        <w:rPr>
          <w:rFonts w:hint="eastAsia" w:ascii="楷体" w:hAnsi="楷体" w:eastAsia="楷体" w:cs="楷体"/>
        </w:rPr>
        <w:t xml:space="preserve">：拓扑结构相似度，如节点度分布、管段长度分布、环网/枝网特征； </w:t>
      </w:r>
    </w:p>
    <w:p w14:paraId="5060AD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Hydro</w:t>
      </w:r>
      <w:r>
        <w:rPr>
          <w:rFonts w:hint="eastAsia" w:ascii="楷体" w:hAnsi="楷体" w:eastAsia="楷体" w:cs="楷体"/>
        </w:rPr>
        <w:t xml:space="preserve">：水力/运行特征相似度，如压力波动、流量周期性、夜间基线； </w:t>
      </w:r>
    </w:p>
    <w:p w14:paraId="190B6F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Asset</w:t>
      </w:r>
      <w:r>
        <w:rPr>
          <w:rFonts w:hint="eastAsia" w:ascii="楷体" w:hAnsi="楷体" w:eastAsia="楷体" w:cs="楷体"/>
        </w:rPr>
        <w:t xml:space="preserve">：资产属性相似度，如材质、口径、埋深、服役年限； </w:t>
      </w:r>
    </w:p>
    <w:p w14:paraId="744A6C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Env</w:t>
      </w:r>
      <w:r>
        <w:rPr>
          <w:rFonts w:hint="eastAsia" w:ascii="楷体" w:hAnsi="楷体" w:eastAsia="楷体" w:cs="楷体"/>
        </w:rPr>
        <w:t xml:space="preserve">：环境相似度，如地层、道路荷载、施工扰动、气象条件。 </w:t>
      </w:r>
    </w:p>
    <w:p w14:paraId="1E85E4DE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仅当 </w:t>
      </w:r>
      <w:r>
        <w:rPr>
          <w:rStyle w:val="136"/>
          <w:rFonts w:hint="eastAsia" w:ascii="楷体" w:hAnsi="楷体" w:eastAsia="楷体" w:cs="楷体"/>
        </w:rPr>
        <w:t>sim_region</w:t>
      </w:r>
      <w:r>
        <w:rPr>
          <w:rFonts w:hint="eastAsia" w:ascii="楷体" w:hAnsi="楷体" w:eastAsia="楷体" w:cs="楷体"/>
        </w:rPr>
        <w:t xml:space="preserve"> 达到预设阈值时，才允许复用相似区域模型作为冷启动初始模型。</w:t>
      </w:r>
    </w:p>
    <w:p w14:paraId="659C5E84">
      <w:pPr>
        <w:pStyle w:val="6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（2）冷启动阶段控制规则</w:t>
      </w:r>
    </w:p>
    <w:p w14:paraId="0040AFF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新区域上线前先运行影子模式，不直接触发自动派单； </w:t>
      </w:r>
    </w:p>
    <w:p w14:paraId="333EFA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冷启动期建议不少于 </w:t>
      </w:r>
      <w:r>
        <w:rPr>
          <w:rStyle w:val="134"/>
          <w:rFonts w:hint="eastAsia" w:ascii="楷体" w:hAnsi="楷体" w:eastAsia="楷体" w:cs="楷体"/>
        </w:rPr>
        <w:t>30 天</w:t>
      </w:r>
      <w:r>
        <w:rPr>
          <w:rFonts w:hint="eastAsia" w:ascii="楷体" w:hAnsi="楷体" w:eastAsia="楷体" w:cs="楷体"/>
        </w:rPr>
        <w:t xml:space="preserve">，期间模型输出仅作为辅助研判信息； </w:t>
      </w:r>
    </w:p>
    <w:p w14:paraId="6D89403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冷启动期内模型告警置信度上限建议封顶，例如不超过 </w:t>
      </w:r>
      <w:r>
        <w:rPr>
          <w:rStyle w:val="134"/>
          <w:rFonts w:hint="eastAsia" w:ascii="楷体" w:hAnsi="楷体" w:eastAsia="楷体" w:cs="楷体"/>
        </w:rPr>
        <w:t>0.60</w:t>
      </w:r>
      <w:r>
        <w:rPr>
          <w:rFonts w:hint="eastAsia" w:ascii="楷体" w:hAnsi="楷体" w:eastAsia="楷体" w:cs="楷体"/>
        </w:rPr>
        <w:t xml:space="preserve">； </w:t>
      </w:r>
    </w:p>
    <w:p w14:paraId="06E140A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只有在样本量、稳定性和误报率满足门槛后，方可进入正式联动。 </w:t>
      </w:r>
    </w:p>
    <w:p w14:paraId="4C01123B">
      <w:pPr>
        <w:pStyle w:val="6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（3）主数据变更后的再训练要求</w:t>
      </w:r>
    </w:p>
    <w:p w14:paraId="0A10EA53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当管段、节点、拓扑关系发生分裂、合并、重编码或批量调整时，应评估 ST-GNN 图结构是否发生显著变化。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达到阈值时必须触发以下动作之一：</w:t>
      </w:r>
    </w:p>
    <w:p w14:paraId="3EB231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全量再训练； </w:t>
      </w:r>
    </w:p>
    <w:p w14:paraId="6DB3E92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局部图增量训练； </w:t>
      </w:r>
    </w:p>
    <w:p w14:paraId="6FD795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进入降级模式，仅保留规则兜底与人工复核。 </w:t>
      </w:r>
    </w:p>
    <w:p w14:paraId="2D06D19F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  <w:b/>
          <w:i w:val="0"/>
          <w:color w:val="1F4E79"/>
          <w:sz w:val="40"/>
        </w:rPr>
      </w:pPr>
      <w:r>
        <w:rPr>
          <w:rFonts w:hint="eastAsia" w:ascii="楷体" w:hAnsi="楷体" w:eastAsia="楷体" w:cs="楷体"/>
        </w:rPr>
        <w:t>主数据版本、特征版本和模型版本必须绑定，避免出现“主数据已变、模型仍按旧拓扑运行”的隐性风险。</w:t>
      </w:r>
    </w:p>
    <w:p w14:paraId="61C3FA7B">
      <w:pPr>
        <w:pStyle w:val="3"/>
        <w:spacing w:before="20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40"/>
        </w:rPr>
        <w:t>8. 可靠性、运维与部署工程化</w:t>
      </w:r>
    </w:p>
    <w:p w14:paraId="30CFF880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8.1 告警事件化、跨服务一致性与幂等</w:t>
      </w:r>
    </w:p>
    <w:p w14:paraId="6CF041D6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1"/>
        </w:rPr>
        <w:t>“告警 → 事件 → 工单 → 通知”跨越多个服务，必须以最终一致性为设计前提，而不是默认依赖跨库事务。建议采用“本地事务 + Outbox + 事件驱动 + 幂等键”的模式；如存在复杂回滚链路，可增加 Saga 编排器。</w:t>
      </w:r>
    </w:p>
    <w:p w14:paraId="215B93AD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告警事件化服务在同一事务中同时写业务表和 outbox_event 表；消息投递成功后再更新投递状态。</w:t>
      </w:r>
    </w:p>
    <w:p w14:paraId="5EAAECDE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工单创建幂等键建议固定为 incident_id + action_type + version；重复消费不得生成重复工单。</w:t>
      </w:r>
    </w:p>
    <w:p w14:paraId="5554FDDA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通知服务只消费“工单已生成/已派单/已升级”等稳定事件，失败重试超过阈值后进入死信队列。</w:t>
      </w:r>
    </w:p>
    <w:p w14:paraId="4095195B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任何阶段失败都必须可追溯到 trace_id、message_id、retry_count 和最后错误原因。</w:t>
      </w:r>
    </w:p>
    <w:p w14:paraId="2081785D">
      <w:pPr>
        <w:jc w:val="center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  <w:lang w:eastAsia="zh-CN"/>
        </w:rPr>
        <w:drawing>
          <wp:inline distT="0" distB="0" distL="114300" distR="114300">
            <wp:extent cx="3057525" cy="8529320"/>
            <wp:effectExtent l="0" t="0" r="9525" b="5080"/>
            <wp:docPr id="6" name="图片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5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3F1F">
      <w:pPr>
        <w:spacing w:after="16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/>
          <w:color w:val="44546A"/>
          <w:sz w:val="19"/>
        </w:rPr>
        <w:t>图 2 告警事件化、工单闭环与回写状态流</w:t>
      </w:r>
    </w:p>
    <w:p w14:paraId="49A39D27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8.1.1 Outbox Relay 组件方案</w:t>
      </w:r>
    </w:p>
    <w:p w14:paraId="1A867A55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为降低业务服务直接向消息中间件发送消息时的失败分叉问题，建议引入独立的 </w:t>
      </w:r>
      <w:r>
        <w:rPr>
          <w:rStyle w:val="134"/>
          <w:rFonts w:hint="eastAsia" w:ascii="楷体" w:hAnsi="楷体" w:eastAsia="楷体" w:cs="楷体"/>
        </w:rPr>
        <w:t>Outbox Relay</w:t>
      </w:r>
      <w:r>
        <w:rPr>
          <w:rFonts w:hint="eastAsia" w:ascii="楷体" w:hAnsi="楷体" w:eastAsia="楷体" w:cs="楷体"/>
        </w:rPr>
        <w:t xml:space="preserve"> 组件。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业务服务在本地事务中同时写入业务表与 </w:t>
      </w:r>
      <w:r>
        <w:rPr>
          <w:rStyle w:val="136"/>
          <w:rFonts w:hint="eastAsia" w:ascii="楷体" w:hAnsi="楷体" w:eastAsia="楷体" w:cs="楷体"/>
        </w:rPr>
        <w:t>outbox_event</w:t>
      </w:r>
      <w:r>
        <w:rPr>
          <w:rFonts w:hint="eastAsia" w:ascii="楷体" w:hAnsi="楷体" w:eastAsia="楷体" w:cs="楷体"/>
        </w:rPr>
        <w:t xml:space="preserve"> 表；Relay 组件再异步读取 </w:t>
      </w:r>
      <w:r>
        <w:rPr>
          <w:rStyle w:val="136"/>
          <w:rFonts w:hint="eastAsia" w:ascii="楷体" w:hAnsi="楷体" w:eastAsia="楷体" w:cs="楷体"/>
        </w:rPr>
        <w:t>outbox_event</w:t>
      </w:r>
      <w:r>
        <w:rPr>
          <w:rFonts w:hint="eastAsia" w:ascii="楷体" w:hAnsi="楷体" w:eastAsia="楷体" w:cs="楷体"/>
        </w:rPr>
        <w:t xml:space="preserve"> 并投递到消息总线。</w:t>
      </w:r>
    </w:p>
    <w:p w14:paraId="7CA517F6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建议 </w:t>
      </w:r>
      <w:r>
        <w:rPr>
          <w:rStyle w:val="136"/>
          <w:rFonts w:hint="eastAsia" w:ascii="楷体" w:hAnsi="楷体" w:eastAsia="楷体" w:cs="楷体"/>
        </w:rPr>
        <w:t>outbox_event</w:t>
      </w:r>
      <w:r>
        <w:rPr>
          <w:rFonts w:hint="eastAsia" w:ascii="楷体" w:hAnsi="楷体" w:eastAsia="楷体" w:cs="楷体"/>
        </w:rPr>
        <w:t xml:space="preserve"> 至少包含以下字段：</w:t>
      </w:r>
      <w:r>
        <w:rPr>
          <w:rFonts w:hint="eastAsia" w:ascii="楷体" w:hAnsi="楷体" w:eastAsia="楷体" w:cs="楷体"/>
        </w:rPr>
        <w:br w:type="textWrapping"/>
      </w:r>
      <w:r>
        <w:rPr>
          <w:rStyle w:val="136"/>
          <w:rFonts w:hint="eastAsia" w:ascii="楷体" w:hAnsi="楷体" w:eastAsia="楷体" w:cs="楷体"/>
        </w:rPr>
        <w:t>event_id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aggregate_type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aggregate_id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event_type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payload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trace_id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status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retry_count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next_retry_time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created_at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sent_at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last_error</w:t>
      </w:r>
      <w:r>
        <w:rPr>
          <w:rFonts w:hint="eastAsia" w:ascii="楷体" w:hAnsi="楷体" w:eastAsia="楷体" w:cs="楷体"/>
        </w:rPr>
        <w:t>。</w:t>
      </w:r>
    </w:p>
    <w:p w14:paraId="4DC96579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Relay 处理状态建议定义为：</w:t>
      </w:r>
    </w:p>
    <w:p w14:paraId="025DB03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NEW</w:t>
      </w:r>
      <w:r>
        <w:rPr>
          <w:rFonts w:hint="eastAsia" w:ascii="楷体" w:hAnsi="楷体" w:eastAsia="楷体" w:cs="楷体"/>
        </w:rPr>
        <w:t xml:space="preserve">：待发送； </w:t>
      </w:r>
    </w:p>
    <w:p w14:paraId="0E95129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SENDING</w:t>
      </w:r>
      <w:r>
        <w:rPr>
          <w:rFonts w:hint="eastAsia" w:ascii="楷体" w:hAnsi="楷体" w:eastAsia="楷体" w:cs="楷体"/>
        </w:rPr>
        <w:t xml:space="preserve">：已被某个 Relay 实例认领； </w:t>
      </w:r>
    </w:p>
    <w:p w14:paraId="5599816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SENT</w:t>
      </w:r>
      <w:r>
        <w:rPr>
          <w:rFonts w:hint="eastAsia" w:ascii="楷体" w:hAnsi="楷体" w:eastAsia="楷体" w:cs="楷体"/>
        </w:rPr>
        <w:t xml:space="preserve">：已成功发送； </w:t>
      </w:r>
    </w:p>
    <w:p w14:paraId="007345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FAILED</w:t>
      </w:r>
      <w:r>
        <w:rPr>
          <w:rFonts w:hint="eastAsia" w:ascii="楷体" w:hAnsi="楷体" w:eastAsia="楷体" w:cs="楷体"/>
        </w:rPr>
        <w:t xml:space="preserve">：发送失败待重试； </w:t>
      </w:r>
    </w:p>
    <w:p w14:paraId="4F09C2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DEAD</w:t>
      </w:r>
      <w:r>
        <w:rPr>
          <w:rFonts w:hint="eastAsia" w:ascii="楷体" w:hAnsi="楷体" w:eastAsia="楷体" w:cs="楷体"/>
        </w:rPr>
        <w:t xml:space="preserve">：超过重试上限，转人工处理。 </w:t>
      </w:r>
    </w:p>
    <w:p w14:paraId="085BFE3F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多实例 Relay 应采用“分片扫描 + 批量认领 + 跳过已锁记录”的机制，避免重复发送和热点竞争。</w:t>
      </w:r>
    </w:p>
    <w:p w14:paraId="440F7CC3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8.1.2 Outbox 表清理与归档策略</w:t>
      </w:r>
    </w:p>
    <w:p w14:paraId="5B90CD08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为避免 </w:t>
      </w:r>
      <w:r>
        <w:rPr>
          <w:rStyle w:val="136"/>
          <w:rFonts w:hint="eastAsia" w:ascii="楷体" w:hAnsi="楷体" w:eastAsia="楷体" w:cs="楷体"/>
        </w:rPr>
        <w:t>outbox_event</w:t>
      </w:r>
      <w:r>
        <w:rPr>
          <w:rFonts w:hint="eastAsia" w:ascii="楷体" w:hAnsi="楷体" w:eastAsia="楷体" w:cs="楷体"/>
        </w:rPr>
        <w:t xml:space="preserve"> 表无限膨胀，必须设计清理策略：</w:t>
      </w:r>
    </w:p>
    <w:p w14:paraId="62CE891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SENT</w:t>
      </w:r>
      <w:r>
        <w:rPr>
          <w:rFonts w:hint="eastAsia" w:ascii="楷体" w:hAnsi="楷体" w:eastAsia="楷体" w:cs="楷体"/>
        </w:rPr>
        <w:t xml:space="preserve"> 事件在热表中建议保留 </w:t>
      </w:r>
      <w:r>
        <w:rPr>
          <w:rStyle w:val="134"/>
          <w:rFonts w:hint="eastAsia" w:ascii="楷体" w:hAnsi="楷体" w:eastAsia="楷体" w:cs="楷体"/>
        </w:rPr>
        <w:t>7~30 天</w:t>
      </w:r>
      <w:r>
        <w:rPr>
          <w:rFonts w:hint="eastAsia" w:ascii="楷体" w:hAnsi="楷体" w:eastAsia="楷体" w:cs="楷体"/>
        </w:rPr>
        <w:t xml:space="preserve">； </w:t>
      </w:r>
    </w:p>
    <w:p w14:paraId="18E177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超期成功事件转归档表或对象存储； </w:t>
      </w:r>
    </w:p>
    <w:p w14:paraId="19E3CB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6"/>
          <w:rFonts w:hint="eastAsia" w:ascii="楷体" w:hAnsi="楷体" w:eastAsia="楷体" w:cs="楷体"/>
        </w:rPr>
        <w:t>DEAD</w:t>
      </w:r>
      <w:r>
        <w:rPr>
          <w:rFonts w:hint="eastAsia" w:ascii="楷体" w:hAnsi="楷体" w:eastAsia="楷体" w:cs="楷体"/>
        </w:rPr>
        <w:t xml:space="preserve"> 事件必须长期保留到问题闭环，不得自动物理删除； </w:t>
      </w:r>
    </w:p>
    <w:p w14:paraId="63290EA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清理任务与归档任务必须可观测，禁止后台静默执行且无失败告警； </w:t>
      </w:r>
    </w:p>
    <w:p w14:paraId="27AA593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归档后仍需保留按 </w:t>
      </w:r>
      <w:r>
        <w:rPr>
          <w:rStyle w:val="136"/>
          <w:rFonts w:hint="eastAsia" w:ascii="楷体" w:hAnsi="楷体" w:eastAsia="楷体" w:cs="楷体"/>
        </w:rPr>
        <w:t>trace_id</w:t>
      </w:r>
      <w:r>
        <w:rPr>
          <w:rFonts w:hint="eastAsia" w:ascii="楷体" w:hAnsi="楷体" w:eastAsia="楷体" w:cs="楷体"/>
        </w:rPr>
        <w:t>、</w:t>
      </w:r>
      <w:r>
        <w:rPr>
          <w:rStyle w:val="136"/>
          <w:rFonts w:hint="eastAsia" w:ascii="楷体" w:hAnsi="楷体" w:eastAsia="楷体" w:cs="楷体"/>
        </w:rPr>
        <w:t>event_id</w:t>
      </w:r>
      <w:r>
        <w:rPr>
          <w:rFonts w:hint="eastAsia" w:ascii="楷体" w:hAnsi="楷体" w:eastAsia="楷体" w:cs="楷体"/>
        </w:rPr>
        <w:t xml:space="preserve"> 查询历史链路的能力。 </w:t>
      </w:r>
    </w:p>
    <w:p w14:paraId="35A54FC4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8.1.3 事务型消息备选方案对比</w:t>
      </w:r>
    </w:p>
    <w:p w14:paraId="1C203D81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若基础设施支持事务型消息，也可将“本地事务 + Outbox”与“事务型消息”做备选对比。</w:t>
      </w:r>
    </w:p>
    <w:p w14:paraId="7847583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Outbox 方案优点</w:t>
      </w:r>
      <w:r>
        <w:rPr>
          <w:rFonts w:hint="eastAsia" w:ascii="楷体" w:hAnsi="楷体" w:eastAsia="楷体" w:cs="楷体"/>
        </w:rPr>
        <w:t>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与数据库和消息中间件解耦，审计链完整，适合异构系统；失败可追踪、可补偿。 </w:t>
      </w:r>
    </w:p>
    <w:p w14:paraId="585E689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Outbox 方案缺点</w:t>
      </w:r>
      <w:r>
        <w:rPr>
          <w:rFonts w:hint="eastAsia" w:ascii="楷体" w:hAnsi="楷体" w:eastAsia="楷体" w:cs="楷体"/>
        </w:rPr>
        <w:t>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需要额外 Relay 组件、状态管理和表清理策略，实现复杂度较高。 </w:t>
      </w:r>
    </w:p>
    <w:p w14:paraId="76DEFA6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事务型消息方案优点</w:t>
      </w:r>
      <w:r>
        <w:rPr>
          <w:rFonts w:hint="eastAsia" w:ascii="楷体" w:hAnsi="楷体" w:eastAsia="楷体" w:cs="楷体"/>
        </w:rPr>
        <w:t>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业务链相对简洁，发送与提交的一致性更直接。 </w:t>
      </w:r>
    </w:p>
    <w:p w14:paraId="69A9461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事务型消息方案缺点</w:t>
      </w:r>
      <w:r>
        <w:rPr>
          <w:rFonts w:hint="eastAsia" w:ascii="楷体" w:hAnsi="楷体" w:eastAsia="楷体" w:cs="楷体"/>
        </w:rPr>
        <w:t>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对中间件能力依赖更强，跨多语言、多数据库或跨服务场景下适配复杂；审计追踪往往不如 Outbox 明确。 </w:t>
      </w:r>
    </w:p>
    <w:p w14:paraId="7CAC4372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  <w:b/>
          <w:i w:val="0"/>
          <w:color w:val="1F4E79"/>
          <w:sz w:val="29"/>
        </w:rPr>
      </w:pPr>
      <w:r>
        <w:rPr>
          <w:rFonts w:hint="eastAsia" w:ascii="楷体" w:hAnsi="楷体" w:eastAsia="楷体" w:cs="楷体"/>
        </w:rPr>
        <w:t xml:space="preserve">若一期团队更重视可审计、可补偿和跨系统兼容性，默认优先推荐 </w:t>
      </w:r>
      <w:r>
        <w:rPr>
          <w:rStyle w:val="134"/>
          <w:rFonts w:hint="eastAsia" w:ascii="楷体" w:hAnsi="楷体" w:eastAsia="楷体" w:cs="楷体"/>
        </w:rPr>
        <w:t>Outbox</w:t>
      </w:r>
      <w:r>
        <w:rPr>
          <w:rFonts w:hint="eastAsia" w:ascii="楷体" w:hAnsi="楷体" w:eastAsia="楷体" w:cs="楷体"/>
        </w:rPr>
        <w:t>；若基础设施已统一且事务型消息能力成熟，可作为专项评审后的备选方案。</w:t>
      </w:r>
    </w:p>
    <w:p w14:paraId="2875DC09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8.2 Gateway、关键依赖与 WebSocket 的韧性设计</w:t>
      </w:r>
    </w:p>
    <w:p w14:paraId="2D4F9AF6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API Gateway / BFF 至少双实例；对 GIS、主数据中心、告警引擎、模型网关等关键依赖统一配置超时、重试上限、熔断和隔仓。</w:t>
      </w:r>
    </w:p>
    <w:p w14:paraId="2EA04CAB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熔断后必须返回可解释降级结果，例如“仅展示缓存快照”“仅展示 2D”“仅走规则告警链”。</w:t>
      </w:r>
    </w:p>
    <w:p w14:paraId="0DFC9807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WebSocket 网关与业务服务解耦，连接态保存在可共享存储中；单实例故障时客户端通过自动重连与未确认序号补偿恢复。</w:t>
      </w:r>
    </w:p>
    <w:p w14:paraId="7947392C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关键读链路可走缓存/快照，关键写链路优先保证事件、工单与审计不丢失。</w:t>
      </w:r>
    </w:p>
    <w:p w14:paraId="4D089905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8.2.1 WebSocket 序号补偿边界</w:t>
      </w:r>
    </w:p>
    <w:p w14:paraId="771D817F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为支持断线重连后的消息补偿，WebSocket 服务端应按“</w:t>
      </w:r>
      <w:r>
        <w:rPr>
          <w:rStyle w:val="134"/>
          <w:rFonts w:hint="eastAsia" w:ascii="楷体" w:hAnsi="楷体" w:eastAsia="楷体" w:cs="楷体"/>
        </w:rPr>
        <w:t>时间窗 + 条数窗</w:t>
      </w:r>
      <w:r>
        <w:rPr>
          <w:rFonts w:hint="eastAsia" w:ascii="楷体" w:hAnsi="楷体" w:eastAsia="楷体" w:cs="楷体"/>
        </w:rPr>
        <w:t>”双重限制保留可补偿消息，不得无限缓存。</w:t>
      </w:r>
    </w:p>
    <w:p w14:paraId="092E50FB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建议默认配置如下：</w:t>
      </w:r>
    </w:p>
    <w:p w14:paraId="59E44D1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告警/工单/事件类频道</w:t>
      </w:r>
      <w:r>
        <w:rPr>
          <w:rFonts w:hint="eastAsia" w:ascii="楷体" w:hAnsi="楷体" w:eastAsia="楷体" w:cs="楷体"/>
        </w:rPr>
        <w:t xml:space="preserve">：保留最近 </w:t>
      </w:r>
      <w:r>
        <w:rPr>
          <w:rStyle w:val="134"/>
          <w:rFonts w:hint="eastAsia" w:ascii="楷体" w:hAnsi="楷体" w:eastAsia="楷体" w:cs="楷体"/>
        </w:rPr>
        <w:t>2 小时</w:t>
      </w:r>
      <w:r>
        <w:rPr>
          <w:rFonts w:hint="eastAsia" w:ascii="楷体" w:hAnsi="楷体" w:eastAsia="楷体" w:cs="楷体"/>
        </w:rPr>
        <w:t xml:space="preserve">且不超过 </w:t>
      </w:r>
      <w:r>
        <w:rPr>
          <w:rStyle w:val="134"/>
          <w:rFonts w:hint="eastAsia" w:ascii="楷体" w:hAnsi="楷体" w:eastAsia="楷体" w:cs="楷体"/>
        </w:rPr>
        <w:t>20,000 条</w:t>
      </w:r>
      <w:r>
        <w:rPr>
          <w:rFonts w:hint="eastAsia" w:ascii="楷体" w:hAnsi="楷体" w:eastAsia="楷体" w:cs="楷体"/>
        </w:rPr>
        <w:t xml:space="preserve">消息； </w:t>
      </w:r>
    </w:p>
    <w:p w14:paraId="5EAC359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地图刷新/看板状态类频道</w:t>
      </w:r>
      <w:r>
        <w:rPr>
          <w:rFonts w:hint="eastAsia" w:ascii="楷体" w:hAnsi="楷体" w:eastAsia="楷体" w:cs="楷体"/>
        </w:rPr>
        <w:t xml:space="preserve">：保留最近 </w:t>
      </w:r>
      <w:r>
        <w:rPr>
          <w:rStyle w:val="134"/>
          <w:rFonts w:hint="eastAsia" w:ascii="楷体" w:hAnsi="楷体" w:eastAsia="楷体" w:cs="楷体"/>
        </w:rPr>
        <w:t>30 分钟</w:t>
      </w:r>
      <w:r>
        <w:rPr>
          <w:rFonts w:hint="eastAsia" w:ascii="楷体" w:hAnsi="楷体" w:eastAsia="楷体" w:cs="楷体"/>
        </w:rPr>
        <w:t xml:space="preserve">且不超过 </w:t>
      </w:r>
      <w:r>
        <w:rPr>
          <w:rStyle w:val="134"/>
          <w:rFonts w:hint="eastAsia" w:ascii="楷体" w:hAnsi="楷体" w:eastAsia="楷体" w:cs="楷体"/>
        </w:rPr>
        <w:t>10,000 条</w:t>
      </w:r>
      <w:r>
        <w:rPr>
          <w:rFonts w:hint="eastAsia" w:ascii="楷体" w:hAnsi="楷体" w:eastAsia="楷体" w:cs="楷体"/>
        </w:rPr>
        <w:t xml:space="preserve">消息； </w:t>
      </w:r>
    </w:p>
    <w:p w14:paraId="537560E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关键频道可按租户和业务域单独配置，但必须有上限，不得无限制扩大。 </w:t>
      </w:r>
    </w:p>
    <w:p w14:paraId="7005F8FD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客户端每次连接或重连时应上报 </w:t>
      </w:r>
      <w:r>
        <w:rPr>
          <w:rStyle w:val="136"/>
          <w:rFonts w:hint="eastAsia" w:ascii="楷体" w:hAnsi="楷体" w:eastAsia="楷体" w:cs="楷体"/>
        </w:rPr>
        <w:t>last_ack_seq</w:t>
      </w:r>
      <w:r>
        <w:rPr>
          <w:rFonts w:hint="eastAsia" w:ascii="楷体" w:hAnsi="楷体" w:eastAsia="楷体" w:cs="楷体"/>
        </w:rPr>
        <w:t>，服务端根据该序号判断是否可以增量补偿。</w:t>
      </w:r>
    </w:p>
    <w:p w14:paraId="22532D52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8.2.2 超窗处理策略</w:t>
      </w:r>
    </w:p>
    <w:p w14:paraId="1BE019FC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若客户端请求补偿的起始序号已超出服务端保留窗口，则不得伪装成“已完全补齐”。必须执行以下策略：</w:t>
      </w:r>
    </w:p>
    <w:p w14:paraId="04A0096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服务端返回“</w:t>
      </w:r>
      <w:r>
        <w:rPr>
          <w:rStyle w:val="134"/>
          <w:rFonts w:hint="eastAsia" w:ascii="楷体" w:hAnsi="楷体" w:eastAsia="楷体" w:cs="楷体"/>
        </w:rPr>
        <w:t>已超出补偿窗口</w:t>
      </w:r>
      <w:r>
        <w:rPr>
          <w:rFonts w:hint="eastAsia" w:ascii="楷体" w:hAnsi="楷体" w:eastAsia="楷体" w:cs="楷体"/>
        </w:rPr>
        <w:t xml:space="preserve">”标记； </w:t>
      </w:r>
    </w:p>
    <w:p w14:paraId="22DFBB7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客户端转为走 REST/BFF 快照接口重新拉取当前状态； </w:t>
      </w:r>
    </w:p>
    <w:p w14:paraId="6D9181D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快照完成后，以新的序号重新建立实时订阅； </w:t>
      </w:r>
    </w:p>
    <w:p w14:paraId="75D199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审计日志中记录超窗次数、频道、终端和时长，用于分析网络质量或客户端稳定性问题。 </w:t>
      </w:r>
    </w:p>
    <w:p w14:paraId="6C8D952F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  <w:b/>
          <w:i w:val="0"/>
          <w:color w:val="1F4E79"/>
          <w:sz w:val="29"/>
        </w:rPr>
      </w:pPr>
      <w:r>
        <w:rPr>
          <w:rFonts w:hint="eastAsia" w:ascii="楷体" w:hAnsi="楷体" w:eastAsia="楷体" w:cs="楷体"/>
        </w:rPr>
        <w:t>对于超窗场景，系统应保证“最终状态正确”，即使无法保证“中间每条消息都重放”。</w:t>
      </w:r>
    </w:p>
    <w:p w14:paraId="40FBDED9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8.3 可观测性与 Runbook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572"/>
        <w:gridCol w:w="2665"/>
        <w:gridCol w:w="1247"/>
      </w:tblGrid>
      <w:tr w14:paraId="694CA66A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5EB98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对象</w:t>
            </w:r>
          </w:p>
        </w:tc>
        <w:tc>
          <w:tcPr>
            <w:tcW w:w="3572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4C7FC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必须建设的能力</w:t>
            </w:r>
          </w:p>
        </w:tc>
        <w:tc>
          <w:tcPr>
            <w:tcW w:w="2665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C17D3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最低要求</w:t>
            </w:r>
          </w:p>
        </w:tc>
        <w:tc>
          <w:tcPr>
            <w:tcW w:w="124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86AD6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责任方</w:t>
            </w:r>
          </w:p>
        </w:tc>
      </w:tr>
      <w:tr w14:paraId="7C36EBE3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2B352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可观测性平台</w:t>
            </w:r>
          </w:p>
        </w:tc>
        <w:tc>
          <w:tcPr>
            <w:tcW w:w="35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715836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Prometheus/日志/链路追踪至少双实例；与业务链路隔离部署。</w:t>
            </w:r>
          </w:p>
        </w:tc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B25ABD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观测故障不会与业务故障同时失明。</w:t>
            </w:r>
          </w:p>
        </w:tc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6B575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运维</w:t>
            </w:r>
          </w:p>
        </w:tc>
      </w:tr>
      <w:tr w14:paraId="2DFAA02C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D1333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指标体系</w:t>
            </w:r>
          </w:p>
        </w:tc>
        <w:tc>
          <w:tcPr>
            <w:tcW w:w="35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C7E7B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围绕 SLO 建立业务指标、系统指标、补偿指标、漂移指标。</w:t>
            </w:r>
          </w:p>
        </w:tc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1A76C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指标少而可行动，避免噪声。</w:t>
            </w:r>
          </w:p>
        </w:tc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E08B1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</w:t>
            </w:r>
          </w:p>
        </w:tc>
      </w:tr>
      <w:tr w14:paraId="08BE1CC1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AE737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Runbook</w:t>
            </w:r>
          </w:p>
        </w:tc>
        <w:tc>
          <w:tcPr>
            <w:tcW w:w="35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E5E69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边缘节点批量离线、SSO 故障、消息积压、TSDB 写入失败、模型回退等故障都必须有操作手册。</w:t>
            </w:r>
          </w:p>
        </w:tc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04D030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手册可演练、可版本化、可审计。</w:t>
            </w:r>
          </w:p>
        </w:tc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9502B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运维+开发</w:t>
            </w:r>
          </w:p>
        </w:tc>
      </w:tr>
      <w:tr w14:paraId="073EB3A2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F7D3B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值班与升级</w:t>
            </w:r>
          </w:p>
        </w:tc>
        <w:tc>
          <w:tcPr>
            <w:tcW w:w="35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08272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明确 7×24 值班、升级路径、响应时限、复盘模板。</w:t>
            </w:r>
          </w:p>
        </w:tc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3F28E4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重大事件可在规定时间内升级到对应角色。</w:t>
            </w:r>
          </w:p>
        </w:tc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55546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产品+运维</w:t>
            </w:r>
          </w:p>
        </w:tc>
      </w:tr>
    </w:tbl>
    <w:p w14:paraId="7C63412C">
      <w:pPr>
        <w:pStyle w:val="4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8.3 可观测性与 Runbook</w:t>
      </w:r>
    </w:p>
    <w:p w14:paraId="20249C90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可观测性不是“有监控图表”即可，而是要支撑故障快速定位、值班处置、升级决策和事后复盘。除指标、日志、链路追踪外，必须同步建设可执行的 Runbook。</w:t>
      </w:r>
    </w:p>
    <w:p w14:paraId="1612BB5E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8.3.1 可观测性自身高可用要求</w:t>
      </w:r>
    </w:p>
    <w:p w14:paraId="4183B2C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Prometheus、日志系统、链路追踪系统和告警通道不得与核心业务完全同机部署； </w:t>
      </w:r>
    </w:p>
    <w:p w14:paraId="44724D9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观测系统建议采用独立节点池、独立存储或独立命名空间，避免业务故障时观测能力同时失效； </w:t>
      </w:r>
    </w:p>
    <w:p w14:paraId="5038E68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监控采集失败、日志积压、追踪链路中断本身也必须有告警； </w:t>
      </w:r>
    </w:p>
    <w:p w14:paraId="5FD04D9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关键业务 SLI、SLO、错误预算和容量趋势必须可报表化输出。 </w:t>
      </w:r>
    </w:p>
    <w:p w14:paraId="7280A83B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8.3.2 Runbook 文档结构</w:t>
      </w:r>
    </w:p>
    <w:p w14:paraId="1A3F942F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每一类高频故障都应有独立 Runbook，至少包含以下字段：</w:t>
      </w:r>
    </w:p>
    <w:p w14:paraId="0815290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故障名称； </w:t>
      </w:r>
    </w:p>
    <w:p w14:paraId="6D57BA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触发条件与监控告警名称； </w:t>
      </w:r>
    </w:p>
    <w:p w14:paraId="3F762F8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影响范围判断方法； </w:t>
      </w:r>
    </w:p>
    <w:p w14:paraId="7713E2B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首次响应动作； </w:t>
      </w:r>
    </w:p>
    <w:p w14:paraId="0A16C9F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诊断步骤； </w:t>
      </w:r>
    </w:p>
    <w:p w14:paraId="3CCBC18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临时止血方案； </w:t>
      </w:r>
    </w:p>
    <w:p w14:paraId="2634B71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根因定位路径； </w:t>
      </w:r>
    </w:p>
    <w:p w14:paraId="22C53D8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恢复验证步骤； </w:t>
      </w:r>
    </w:p>
    <w:p w14:paraId="3E12995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升级联系人与升级条件； </w:t>
      </w:r>
    </w:p>
    <w:p w14:paraId="17300BC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复盘输出要求。 </w:t>
      </w:r>
    </w:p>
    <w:p w14:paraId="7E335D28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8.3.3 一期必须具备的 Runbook 列表</w:t>
      </w:r>
    </w:p>
    <w:p w14:paraId="59968F0B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一期建议至少完成以下 Runbook：</w:t>
      </w:r>
    </w:p>
    <w:p w14:paraId="220CAB4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SSO 不可用或认证异常； </w:t>
      </w:r>
    </w:p>
    <w:p w14:paraId="0086334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WebSocket 大面积断连； </w:t>
      </w:r>
    </w:p>
    <w:p w14:paraId="6640715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边缘节点批量离线； </w:t>
      </w:r>
    </w:p>
    <w:p w14:paraId="7813BFB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时序写入堆积或入库延迟突增； </w:t>
      </w:r>
    </w:p>
    <w:p w14:paraId="294B084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告警风暴/误报风暴； </w:t>
      </w:r>
    </w:p>
    <w:p w14:paraId="5B4663C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工单通知通道失败； </w:t>
      </w:r>
    </w:p>
    <w:p w14:paraId="2B6CA5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主数据发布失败或空间变更冲突； </w:t>
      </w:r>
    </w:p>
    <w:p w14:paraId="2BCF626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模型推理超时或回退规则失效； </w:t>
      </w:r>
    </w:p>
    <w:p w14:paraId="3A7E3F6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数据质量评分大面积下降； </w:t>
      </w:r>
    </w:p>
    <w:p w14:paraId="7B5D590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备份恢复演练失败。 </w:t>
      </w:r>
    </w:p>
    <w:p w14:paraId="7EDDE951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8.3.4 值班与演练要求</w:t>
      </w:r>
    </w:p>
    <w:p w14:paraId="130D01B7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Runbook 不得停留在文档层。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必须建立值班响应流程、升级规则和演练计划：</w:t>
      </w:r>
    </w:p>
    <w:p w14:paraId="463E4EB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明确一线值班、二线研发、三线架构/平台负责人； </w:t>
      </w:r>
    </w:p>
    <w:p w14:paraId="1525A64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明确升级时限和升级触发条件； </w:t>
      </w:r>
    </w:p>
    <w:p w14:paraId="77E552C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每季度至少开展一次高可用或恢复类演练； </w:t>
      </w:r>
    </w:p>
    <w:p w14:paraId="4E4C36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  <w:b/>
          <w:i w:val="0"/>
          <w:color w:val="1F4E79"/>
          <w:sz w:val="29"/>
        </w:rPr>
      </w:pPr>
      <w:r>
        <w:rPr>
          <w:rFonts w:hint="eastAsia" w:ascii="楷体" w:hAnsi="楷体" w:eastAsia="楷体" w:cs="楷体"/>
        </w:rPr>
        <w:t xml:space="preserve">每次重大故障后必须更新对应 Runbook。 </w:t>
      </w:r>
    </w:p>
    <w:p w14:paraId="4D0952E3">
      <w:pPr>
        <w:pStyle w:val="4"/>
        <w:spacing w:before="160" w:after="80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8.4 配置、密钥、容器化与发布</w:t>
      </w:r>
    </w:p>
    <w:p w14:paraId="1B62BB98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8.4.1 CI/CD 测试与发布门禁要求</w:t>
      </w:r>
    </w:p>
    <w:p w14:paraId="459426B8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CI/CD 不仅负责自动构建和部署，还必须承担质量门禁和变更风险控制职责。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建议最低门禁如下：</w:t>
      </w:r>
    </w:p>
    <w:p w14:paraId="074C702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测试覆盖率要求</w:t>
      </w:r>
      <w:r>
        <w:rPr>
          <w:rFonts w:hint="eastAsia" w:ascii="楷体" w:hAnsi="楷体" w:eastAsia="楷体" w:cs="楷体"/>
        </w:rPr>
        <w:t xml:space="preserve"> </w:t>
      </w:r>
    </w:p>
    <w:p w14:paraId="0A69D3EF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后端单元测试覆盖率建议不低于 </w:t>
      </w:r>
      <w:r>
        <w:rPr>
          <w:rStyle w:val="134"/>
          <w:rFonts w:hint="eastAsia" w:ascii="楷体" w:hAnsi="楷体" w:eastAsia="楷体" w:cs="楷体"/>
        </w:rPr>
        <w:t>70%</w:t>
      </w:r>
      <w:r>
        <w:rPr>
          <w:rFonts w:hint="eastAsia" w:ascii="楷体" w:hAnsi="楷体" w:eastAsia="楷体" w:cs="楷体"/>
        </w:rPr>
        <w:t xml:space="preserve">； </w:t>
      </w:r>
    </w:p>
    <w:p w14:paraId="0D71A8AB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告警、工单、权限、主数据、数据接入等核心域建议不低于 </w:t>
      </w:r>
      <w:r>
        <w:rPr>
          <w:rStyle w:val="134"/>
          <w:rFonts w:hint="eastAsia" w:ascii="楷体" w:hAnsi="楷体" w:eastAsia="楷体" w:cs="楷体"/>
        </w:rPr>
        <w:t>80%</w:t>
      </w:r>
      <w:r>
        <w:rPr>
          <w:rFonts w:hint="eastAsia" w:ascii="楷体" w:hAnsi="楷体" w:eastAsia="楷体" w:cs="楷体"/>
        </w:rPr>
        <w:t xml:space="preserve">； </w:t>
      </w:r>
    </w:p>
    <w:p w14:paraId="6BD94797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前端核心组件与状态管理测试建议不低于 </w:t>
      </w:r>
      <w:r>
        <w:rPr>
          <w:rStyle w:val="134"/>
          <w:rFonts w:hint="eastAsia" w:ascii="楷体" w:hAnsi="楷体" w:eastAsia="楷体" w:cs="楷体"/>
        </w:rPr>
        <w:t>60%</w:t>
      </w:r>
      <w:r>
        <w:rPr>
          <w:rFonts w:hint="eastAsia" w:ascii="楷体" w:hAnsi="楷体" w:eastAsia="楷体" w:cs="楷体"/>
        </w:rPr>
        <w:t xml:space="preserve">； </w:t>
      </w:r>
    </w:p>
    <w:p w14:paraId="5F4BAFC1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关键业务流程必须具备 E2E 用例，如登录、告警确认、工单流转、地图联动、模型回退。 </w:t>
      </w:r>
    </w:p>
    <w:p w14:paraId="0E97003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安全扫描门禁</w:t>
      </w:r>
      <w:r>
        <w:rPr>
          <w:rFonts w:hint="eastAsia" w:ascii="楷体" w:hAnsi="楷体" w:eastAsia="楷体" w:cs="楷体"/>
        </w:rPr>
        <w:t xml:space="preserve"> </w:t>
      </w:r>
    </w:p>
    <w:p w14:paraId="7350448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必须执行 SAST、依赖漏洞扫描、镜像漏洞扫描和 IaC/配置扫描； </w:t>
      </w:r>
    </w:p>
    <w:p w14:paraId="493AC20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高危漏洞默认阻断发布，中危漏洞需明确豁免流程和整改期限； </w:t>
      </w:r>
    </w:p>
    <w:p w14:paraId="1BEEFACF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涉及密钥泄露、硬编码口令、越权缺陷、严重注入风险的构建直接失败。 </w:t>
      </w:r>
    </w:p>
    <w:p w14:paraId="7EE1C8F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数据库迁移脚本规范</w:t>
      </w:r>
      <w:r>
        <w:rPr>
          <w:rFonts w:hint="eastAsia" w:ascii="楷体" w:hAnsi="楷体" w:eastAsia="楷体" w:cs="楷体"/>
        </w:rPr>
        <w:t xml:space="preserve"> </w:t>
      </w:r>
    </w:p>
    <w:p w14:paraId="55859C1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所有 DDL/DML 变更必须走版本化迁移脚本，不允许线上手工改库代替正式变更； </w:t>
      </w:r>
    </w:p>
    <w:p w14:paraId="513FC44C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脚本必须可追踪、可回放、可审计； </w:t>
      </w:r>
    </w:p>
    <w:p w14:paraId="4A200ADD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发布前必须在测试环境和预发布环境验证迁移耗时、锁表风险和回滚方案； </w:t>
      </w:r>
    </w:p>
    <w:p w14:paraId="430EC29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对大表结构变更应优先采用在线迁移、灰度变更或双写过渡方案。 </w:t>
      </w:r>
    </w:p>
    <w:p w14:paraId="0748549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发布策略</w:t>
      </w:r>
      <w:r>
        <w:rPr>
          <w:rFonts w:hint="eastAsia" w:ascii="楷体" w:hAnsi="楷体" w:eastAsia="楷体" w:cs="楷体"/>
        </w:rPr>
        <w:t xml:space="preserve"> </w:t>
      </w:r>
    </w:p>
    <w:p w14:paraId="69911C58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核心服务支持滚动发布、蓝绿发布或灰度发布； </w:t>
      </w:r>
    </w:p>
    <w:p w14:paraId="15E26AF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发布失败必须支持一键回滚； </w:t>
      </w:r>
    </w:p>
    <w:p w14:paraId="26317FDF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关键指标异常时自动中止继续发布。 </w:t>
      </w:r>
    </w:p>
    <w:p w14:paraId="5176119F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服务配置采用集中配置中心或等价方案统一管理；环境变量只承载极少量启动参数，不承载敏感密钥。</w:t>
      </w:r>
    </w:p>
    <w:p w14:paraId="1C8E73BE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数据库密码、API Key、OIDC Client Secret、证书材料必须纳入 Vault 或等价 KMS/Secret 管理服务，严禁写入镜像、仓库或明文配置。</w:t>
      </w:r>
    </w:p>
    <w:p w14:paraId="7163B6A7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部署建议采用容器化 + Kubernetes；核心服务支持滚动升级、蓝绿或灰度发布，支持一键回滚。</w:t>
      </w:r>
    </w:p>
    <w:p w14:paraId="2EBD80C6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基础设施资源、网络、存储、证书和监控建议纳入 IaC，至少做到可重复部署、可审计和可回放。</w:t>
      </w:r>
    </w:p>
    <w:p w14:paraId="51C59CDC">
      <w:pPr>
        <w:pStyle w:val="4"/>
        <w:spacing w:before="16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29"/>
        </w:rPr>
        <w:t>8.5 高可用部署与发布示意</w:t>
      </w:r>
    </w:p>
    <w:p w14:paraId="2EDD8EB2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部署架构应同时满足高可用、可扩展、可观测、可回滚和安全隔离五类要求。建议采用“多实例服务层 + 独立状态层 + 独立观测层 + 统一密钥管理”的总体部署思路。</w:t>
      </w:r>
    </w:p>
    <w:p w14:paraId="1966E039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8.5.1 核心部署要求</w:t>
      </w:r>
    </w:p>
    <w:p w14:paraId="069DEE0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入口层</w:t>
      </w:r>
      <w:r>
        <w:rPr>
          <w:rFonts w:hint="eastAsia" w:ascii="楷体" w:hAnsi="楷体" w:eastAsia="楷体" w:cs="楷体"/>
        </w:rPr>
        <w:t xml:space="preserve"> </w:t>
      </w:r>
    </w:p>
    <w:p w14:paraId="41D33CEE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Ingress/Gateway 至少双实例部署； </w:t>
      </w:r>
    </w:p>
    <w:p w14:paraId="40BA74A0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入口层支持限流、熔断、TLS 终止和灰度路由。 </w:t>
      </w:r>
    </w:p>
    <w:p w14:paraId="772B63E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业务服务层</w:t>
      </w:r>
      <w:r>
        <w:rPr>
          <w:rFonts w:hint="eastAsia" w:ascii="楷体" w:hAnsi="楷体" w:eastAsia="楷体" w:cs="楷体"/>
        </w:rPr>
        <w:t xml:space="preserve"> </w:t>
      </w:r>
    </w:p>
    <w:p w14:paraId="445745B1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SSO、Portal、综合管理平台、应急指挥平台、智能诊断中枢及支撑服务均采用多实例部署； </w:t>
      </w:r>
    </w:p>
    <w:p w14:paraId="5912C19D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核心服务跨可用区分布； </w:t>
      </w:r>
    </w:p>
    <w:p w14:paraId="0308763A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服务之间通过服务发现和网关策略通信。 </w:t>
      </w:r>
    </w:p>
    <w:p w14:paraId="52DE474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状态与中间件层</w:t>
      </w:r>
      <w:r>
        <w:rPr>
          <w:rFonts w:hint="eastAsia" w:ascii="楷体" w:hAnsi="楷体" w:eastAsia="楷体" w:cs="楷体"/>
        </w:rPr>
        <w:t xml:space="preserve"> </w:t>
      </w:r>
    </w:p>
    <w:p w14:paraId="05F32D5F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业务数据库采用主备、高可用集群或等价方案； </w:t>
      </w:r>
    </w:p>
    <w:p w14:paraId="1EFEC126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TSDB、消息总线、Redis、对象存储必须按高可用部署； </w:t>
      </w:r>
    </w:p>
    <w:p w14:paraId="1FEF226E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Outbox、审计日志和工单数据需独立保留，不与缓存同生命周期。 </w:t>
      </w:r>
    </w:p>
    <w:p w14:paraId="67E1A87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观测与安全层</w:t>
      </w:r>
      <w:r>
        <w:rPr>
          <w:rFonts w:hint="eastAsia" w:ascii="楷体" w:hAnsi="楷体" w:eastAsia="楷体" w:cs="楷体"/>
        </w:rPr>
        <w:t xml:space="preserve"> </w:t>
      </w:r>
    </w:p>
    <w:p w14:paraId="3CADDDE7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Prometheus、日志、Tracing、审计平台、Vault/KMS 单独部署并与业务层逻辑隔离； </w:t>
      </w:r>
    </w:p>
    <w:p w14:paraId="0E1BF107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堡垒机、漏洞扫描、镜像仓库和发布系统纳入运维安全域。 </w:t>
      </w:r>
    </w:p>
    <w:p w14:paraId="465C5A0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发布与回滚层</w:t>
      </w:r>
      <w:r>
        <w:rPr>
          <w:rFonts w:hint="eastAsia" w:ascii="楷体" w:hAnsi="楷体" w:eastAsia="楷体" w:cs="楷体"/>
        </w:rPr>
        <w:t xml:space="preserve"> </w:t>
      </w:r>
    </w:p>
    <w:p w14:paraId="7153FE7D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发布流水线与生产运行面分离； </w:t>
      </w:r>
    </w:p>
    <w:p w14:paraId="5D4C9785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灰度发布期间支持新旧版本并行； </w:t>
      </w:r>
    </w:p>
    <w:p w14:paraId="7746097D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配置中心、Secret 管理和镜像版本应可追溯到每一次发布批次。 </w:t>
      </w:r>
    </w:p>
    <w:p w14:paraId="278BA9A6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8.5.2 生产环境建议最小拓扑</w:t>
      </w:r>
    </w:p>
    <w:p w14:paraId="23DC058C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生产环境至少应具备：</w:t>
      </w:r>
    </w:p>
    <w:p w14:paraId="7098C71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双可用区或双机房入口； </w:t>
      </w:r>
    </w:p>
    <w:p w14:paraId="68D0F71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双实例以上 SSO/Gateway/BFF； </w:t>
      </w:r>
    </w:p>
    <w:p w14:paraId="5F079DE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核心业务服务多副本； </w:t>
      </w:r>
    </w:p>
    <w:p w14:paraId="2569ACB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高可用数据库与高可用 TSDB； </w:t>
      </w:r>
    </w:p>
    <w:p w14:paraId="2FD934F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独立消息总线； </w:t>
      </w:r>
    </w:p>
    <w:p w14:paraId="3DE13DA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独立对象存储与备份存储； </w:t>
      </w:r>
    </w:p>
    <w:p w14:paraId="69C9CF2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独立观测系统与告警通道； </w:t>
      </w:r>
    </w:p>
    <w:p w14:paraId="206927A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独立密钥管理与镜像仓库。 </w:t>
      </w:r>
    </w:p>
    <w:p w14:paraId="36AAB9C2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若受预算限制不能一次到位，应明确哪些能力是“上线前必须具备”，哪些是“短期补齐计划”，不得全部归为“后续优化”。</w:t>
      </w:r>
    </w:p>
    <w:p w14:paraId="70A63B4A">
      <w:pPr>
        <w:jc w:val="center"/>
        <w:rPr>
          <w:rFonts w:hint="eastAsia" w:ascii="楷体" w:hAnsi="楷体" w:eastAsia="楷体" w:cs="楷体"/>
        </w:rPr>
      </w:pPr>
    </w:p>
    <w:p w14:paraId="55BBB94E">
      <w:pPr>
        <w:jc w:val="center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  <w:lang w:eastAsia="zh-CN"/>
        </w:rPr>
        <w:drawing>
          <wp:inline distT="0" distB="0" distL="114300" distR="114300">
            <wp:extent cx="6253480" cy="2936875"/>
            <wp:effectExtent l="0" t="0" r="13970" b="15875"/>
            <wp:docPr id="7" name="图片 7" descr="Gemini_Generated_Image_7euaw97euaw97e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7euaw97euaw97eu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8554">
      <w:pPr>
        <w:spacing w:after="16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/>
          <w:color w:val="44546A"/>
          <w:sz w:val="19"/>
        </w:rPr>
        <w:t>图 3 高可用部署、发布与观测隔离示意</w:t>
      </w:r>
    </w:p>
    <w:p w14:paraId="680FFE4C">
      <w:pPr>
        <w:pStyle w:val="3"/>
        <w:spacing w:before="20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40"/>
        </w:rPr>
        <w:t>9. 仍需立即拍板的决策项</w:t>
      </w:r>
    </w:p>
    <w:p w14:paraId="1F4CC441">
      <w:pPr>
        <w:spacing w:before="0" w:after="120" w:line="324" w:lineRule="auto"/>
        <w:jc w:val="left"/>
        <w:rPr>
          <w:rFonts w:hint="eastAsia" w:ascii="楷体" w:hAnsi="楷体" w:eastAsia="楷体" w:cs="楷体"/>
          <w:b w:val="0"/>
          <w:i w:val="0"/>
          <w:sz w:val="21"/>
        </w:rPr>
      </w:pPr>
      <w:r>
        <w:rPr>
          <w:rFonts w:hint="eastAsia" w:ascii="楷体" w:hAnsi="楷体" w:eastAsia="楷体" w:cs="楷体"/>
          <w:b w:val="0"/>
          <w:i w:val="0"/>
          <w:sz w:val="21"/>
        </w:rPr>
        <w:t>审查报告特别指出“未指定项过多”。本版已将影响一期启动的关键决策收敛如下，建议在立项会或第一次架构评审会上直接确认。</w:t>
      </w:r>
    </w:p>
    <w:p w14:paraId="35F288C1">
      <w:pPr>
        <w:pStyle w:val="4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9. 仍需立即拍板的决策项</w:t>
      </w:r>
    </w:p>
    <w:p w14:paraId="45C4B8FE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审查报告指出“未指定项过多”会导致设计方案在实施阶段失去约束力。为避免后续前后端拆分、采购选型、部署实施和验收时反复争议，本章将关键事项分为“已确认”和“尚未确认”两类管理。</w:t>
      </w:r>
    </w:p>
    <w:p w14:paraId="6460DC1A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9.1 已确认事项</w:t>
      </w:r>
    </w:p>
    <w:p w14:paraId="209F261A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以下事项在本版中视为已确认，不再反复摇摆：</w:t>
      </w:r>
    </w:p>
    <w:p w14:paraId="014A3F7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总入口口径固定为“SSO → Portal → 综合管理平台 / 应急指挥平台 / 智能诊断中枢”； </w:t>
      </w:r>
    </w:p>
    <w:p w14:paraId="19ABA05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一期以 2D 一张图为主入口，局部 3D 为增强视图； </w:t>
      </w:r>
    </w:p>
    <w:p w14:paraId="098A3E9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一期完成基础底盘、全模块展示与关键链路贯通，二期接入算法与三维增强； </w:t>
      </w:r>
    </w:p>
    <w:p w14:paraId="434A3E4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所有业务结果必须落到 </w:t>
      </w:r>
      <w:r>
        <w:rPr>
          <w:rStyle w:val="136"/>
          <w:rFonts w:hint="eastAsia" w:ascii="楷体" w:hAnsi="楷体" w:eastAsia="楷体" w:cs="楷体"/>
        </w:rPr>
        <w:t>segment_id</w:t>
      </w:r>
      <w:r>
        <w:rPr>
          <w:rFonts w:hint="eastAsia" w:ascii="楷体" w:hAnsi="楷体" w:eastAsia="楷体" w:cs="楷体"/>
        </w:rPr>
        <w:t xml:space="preserve"> 或 </w:t>
      </w:r>
      <w:r>
        <w:rPr>
          <w:rStyle w:val="136"/>
          <w:rFonts w:hint="eastAsia" w:ascii="楷体" w:hAnsi="楷体" w:eastAsia="楷体" w:cs="楷体"/>
        </w:rPr>
        <w:t>node_id</w:t>
      </w:r>
      <w:r>
        <w:rPr>
          <w:rFonts w:hint="eastAsia" w:ascii="楷体" w:hAnsi="楷体" w:eastAsia="楷体" w:cs="楷体"/>
        </w:rPr>
        <w:t xml:space="preserve">； </w:t>
      </w:r>
    </w:p>
    <w:p w14:paraId="634211F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告警、事件、工单和通知链路按最终一致性设计； </w:t>
      </w:r>
    </w:p>
    <w:p w14:paraId="38D9F0B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统一采用可审计、可补偿、可回退的工程化路线，不接受“先上线、后补治理”。 </w:t>
      </w:r>
    </w:p>
    <w:p w14:paraId="3A164C29">
      <w:pPr>
        <w:pStyle w:val="5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9.2 尚未确认事项清单</w:t>
      </w:r>
    </w:p>
    <w:p w14:paraId="38C7BAF6">
      <w:pPr>
        <w:pStyle w:val="30"/>
        <w:keepNext w:val="0"/>
        <w:keepLines w:val="0"/>
        <w:widowControl/>
        <w:suppressLineNumbers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以下事项仍需单独拍板，并形成会议纪要，不得长期保持“未指定”状态：</w:t>
      </w:r>
    </w:p>
    <w:p w14:paraId="39AC02A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权威坐标系与投影参数</w:t>
      </w:r>
      <w:r>
        <w:rPr>
          <w:rFonts w:hint="eastAsia" w:ascii="楷体" w:hAnsi="楷体" w:eastAsia="楷体" w:cs="楷体"/>
        </w:rPr>
        <w:t xml:space="preserve"> </w:t>
      </w:r>
    </w:p>
    <w:p w14:paraId="58294301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影响章节：7.4 </w:t>
      </w:r>
    </w:p>
    <w:p w14:paraId="20E5F73B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未确认内容：内部权威坐标究竟采用 CGCS2000 投影还是业主指定地方坐标；Z 轴采用绝对高程还是相对埋深。 </w:t>
      </w:r>
    </w:p>
    <w:p w14:paraId="1B04320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时序库与消息总线产品选型</w:t>
      </w:r>
      <w:r>
        <w:rPr>
          <w:rFonts w:hint="eastAsia" w:ascii="楷体" w:hAnsi="楷体" w:eastAsia="楷体" w:cs="楷体"/>
        </w:rPr>
        <w:t xml:space="preserve"> </w:t>
      </w:r>
    </w:p>
    <w:p w14:paraId="266B567E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影响章节：6、8 </w:t>
      </w:r>
    </w:p>
    <w:p w14:paraId="207B6A01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未确认内容：TSDB、MQ、缓存集群的产品选型与高可用模式。 </w:t>
      </w:r>
    </w:p>
    <w:p w14:paraId="411D7AF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SSO 实现路线</w:t>
      </w:r>
      <w:r>
        <w:rPr>
          <w:rFonts w:hint="eastAsia" w:ascii="楷体" w:hAnsi="楷体" w:eastAsia="楷体" w:cs="楷体"/>
        </w:rPr>
        <w:t xml:space="preserve"> </w:t>
      </w:r>
    </w:p>
    <w:p w14:paraId="5D443329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影响章节：4.1、4.2、8.2 </w:t>
      </w:r>
    </w:p>
    <w:p w14:paraId="2D94C3C6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未确认内容：自建、采购还是基于现有统一身份平台集成。 </w:t>
      </w:r>
    </w:p>
    <w:p w14:paraId="20F93E4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应急旁路凭证形态</w:t>
      </w:r>
      <w:r>
        <w:rPr>
          <w:rFonts w:hint="eastAsia" w:ascii="楷体" w:hAnsi="楷体" w:eastAsia="楷体" w:cs="楷体"/>
        </w:rPr>
        <w:t xml:space="preserve"> </w:t>
      </w:r>
    </w:p>
    <w:p w14:paraId="7402FA6E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影响章节：4.2 </w:t>
      </w:r>
    </w:p>
    <w:p w14:paraId="246FABFF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未确认内容：是采用离线白名单、一次性令牌、UKey 还是专用应急终端。 </w:t>
      </w:r>
    </w:p>
    <w:p w14:paraId="3326383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WebSocket 补偿窗口最终阈值</w:t>
      </w:r>
      <w:r>
        <w:rPr>
          <w:rFonts w:hint="eastAsia" w:ascii="楷体" w:hAnsi="楷体" w:eastAsia="楷体" w:cs="楷体"/>
        </w:rPr>
        <w:t xml:space="preserve"> </w:t>
      </w:r>
    </w:p>
    <w:p w14:paraId="193FDAB6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影响章节：8.2 </w:t>
      </w:r>
    </w:p>
    <w:p w14:paraId="682DC6BD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未确认内容：不同业务频道的保留时长和最大序号窗口。 </w:t>
      </w:r>
    </w:p>
    <w:p w14:paraId="7C9A7C4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Outbox 与事务型消息最终路线</w:t>
      </w:r>
      <w:r>
        <w:rPr>
          <w:rFonts w:hint="eastAsia" w:ascii="楷体" w:hAnsi="楷体" w:eastAsia="楷体" w:cs="楷体"/>
        </w:rPr>
        <w:t xml:space="preserve"> </w:t>
      </w:r>
    </w:p>
    <w:p w14:paraId="66730992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影响章节：8.1 </w:t>
      </w:r>
    </w:p>
    <w:p w14:paraId="6FBE6EC8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未确认内容：一期是否默认全域采用 Outbox，或部分链路使用事务型消息。 </w:t>
      </w:r>
    </w:p>
    <w:p w14:paraId="249B085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RPO/RTO 最终数值</w:t>
      </w:r>
      <w:r>
        <w:rPr>
          <w:rFonts w:hint="eastAsia" w:ascii="楷体" w:hAnsi="楷体" w:eastAsia="楷体" w:cs="楷体"/>
        </w:rPr>
        <w:t xml:space="preserve"> </w:t>
      </w:r>
    </w:p>
    <w:p w14:paraId="1B249F2B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影响章节：6.3 </w:t>
      </w:r>
    </w:p>
    <w:p w14:paraId="1CB0FCB1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未确认内容：不同业务域的正式恢复目标。 </w:t>
      </w:r>
    </w:p>
    <w:p w14:paraId="2C6874B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数据质量阈值与模型放权门槛</w:t>
      </w:r>
      <w:r>
        <w:rPr>
          <w:rFonts w:hint="eastAsia" w:ascii="楷体" w:hAnsi="楷体" w:eastAsia="楷体" w:cs="楷体"/>
        </w:rPr>
        <w:t xml:space="preserve"> </w:t>
      </w:r>
    </w:p>
    <w:p w14:paraId="6883F9E4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影响章节：7.2、7.5 </w:t>
      </w:r>
    </w:p>
    <w:p w14:paraId="25290BA5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未确认内容：</w:t>
      </w:r>
      <w:r>
        <w:rPr>
          <w:rStyle w:val="136"/>
          <w:rFonts w:hint="eastAsia" w:ascii="楷体" w:hAnsi="楷体" w:eastAsia="楷体" w:cs="楷体"/>
        </w:rPr>
        <w:t>dq_score</w:t>
      </w:r>
      <w:r>
        <w:rPr>
          <w:rFonts w:hint="eastAsia" w:ascii="楷体" w:hAnsi="楷体" w:eastAsia="楷体" w:cs="楷体"/>
        </w:rPr>
        <w:t xml:space="preserve"> 各等级阈值、冷启动期长度、模型正式联动门槛。 </w:t>
      </w:r>
    </w:p>
    <w:p w14:paraId="7F5B835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</w:rPr>
      </w:pPr>
      <w:r>
        <w:rPr>
          <w:rStyle w:val="134"/>
          <w:rFonts w:hint="eastAsia" w:ascii="楷体" w:hAnsi="楷体" w:eastAsia="楷体" w:cs="楷体"/>
        </w:rPr>
        <w:t>CI/CD 强制门禁阈值</w:t>
      </w:r>
      <w:r>
        <w:rPr>
          <w:rFonts w:hint="eastAsia" w:ascii="楷体" w:hAnsi="楷体" w:eastAsia="楷体" w:cs="楷体"/>
        </w:rPr>
        <w:t xml:space="preserve"> </w:t>
      </w:r>
    </w:p>
    <w:p w14:paraId="67EBC272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影响章节：8.4 </w:t>
      </w:r>
    </w:p>
    <w:p w14:paraId="7FBC5BEA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未确认内容：测试覆盖率底线、安全扫描阻断级别、DB 迁移审批规则。</w:t>
      </w:r>
    </w:p>
    <w:p w14:paraId="11009F29">
      <w:pPr>
        <w:spacing w:before="0" w:after="120" w:line="324" w:lineRule="auto"/>
        <w:jc w:val="left"/>
        <w:rPr>
          <w:rFonts w:hint="eastAsia" w:ascii="楷体" w:hAnsi="楷体" w:eastAsia="楷体" w:cs="楷体"/>
          <w:b w:val="0"/>
          <w:i w:val="0"/>
          <w:sz w:val="21"/>
        </w:rPr>
      </w:pP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2098"/>
        <w:gridCol w:w="1531"/>
        <w:gridCol w:w="1587"/>
      </w:tblGrid>
      <w:tr w14:paraId="76F7E256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D4B9F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决策项</w:t>
            </w:r>
          </w:p>
        </w:tc>
        <w:tc>
          <w:tcPr>
            <w:tcW w:w="255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49E86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建议值/建议方向</w:t>
            </w:r>
          </w:p>
        </w:tc>
        <w:tc>
          <w:tcPr>
            <w:tcW w:w="2098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D7587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影响范围</w:t>
            </w:r>
          </w:p>
        </w:tc>
        <w:tc>
          <w:tcPr>
            <w:tcW w:w="1531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B0CF5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最晚确认时点</w:t>
            </w:r>
          </w:p>
        </w:tc>
        <w:tc>
          <w:tcPr>
            <w:tcW w:w="158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090B6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责任方</w:t>
            </w:r>
          </w:p>
        </w:tc>
      </w:tr>
      <w:tr w14:paraId="0F43D18D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86518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峰值并发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A997D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按“三档容量”压测：1k / 5k / 1 万在线。</w:t>
            </w:r>
          </w:p>
        </w:tc>
        <w:tc>
          <w:tcPr>
            <w:tcW w:w="20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BDF180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网关、WS、消息总线、服务器规格。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3405A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一期开发前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DB7D7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产品+运维+开发</w:t>
            </w:r>
          </w:p>
        </w:tc>
      </w:tr>
      <w:tr w14:paraId="1ABD88C0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D8623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时序写入吞吐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AB621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按传感器数量 × 周期 × 冗余倍数核算，至少给出 1 年增长预估。</w:t>
            </w:r>
          </w:p>
        </w:tc>
        <w:tc>
          <w:tcPr>
            <w:tcW w:w="20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654B80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TSDB、分区策略、存储成本。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721C3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一期开发前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9CBC5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产品+运维+开发</w:t>
            </w:r>
          </w:p>
        </w:tc>
      </w:tr>
      <w:tr w14:paraId="0B96FD24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AE534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时序库选型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A0C05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优先按团队能力在 TimescaleDB 与 InfluxDB 中二选一，不建议一期并行。</w:t>
            </w:r>
          </w:p>
        </w:tc>
        <w:tc>
          <w:tcPr>
            <w:tcW w:w="20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9E114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接入层、查询、运维。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88265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一期开发前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E62C5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架构+DBA</w:t>
            </w:r>
          </w:p>
        </w:tc>
      </w:tr>
      <w:tr w14:paraId="7C83AF2C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5EB41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消息总线选型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0B5F2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高吞吐优先 Kafka；轻量低复杂度可选 RabbitMQ，但只能二选一。</w:t>
            </w:r>
          </w:p>
        </w:tc>
        <w:tc>
          <w:tcPr>
            <w:tcW w:w="20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B9D47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事件驱动、补偿、顺序性。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0B2E3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一期开发前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5E510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架构+运维</w:t>
            </w:r>
          </w:p>
        </w:tc>
      </w:tr>
      <w:tr w14:paraId="3BE18948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99CC0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数据保留与审计要求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E2E94A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明确原始数据、聚合数据、审计日志、附件留存期限。</w:t>
            </w:r>
          </w:p>
        </w:tc>
        <w:tc>
          <w:tcPr>
            <w:tcW w:w="20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808AA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存储成本、合规、归档。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EC46F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一期开发前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4C15AA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产品+法务/合规+运维</w:t>
            </w:r>
          </w:p>
        </w:tc>
      </w:tr>
      <w:tr w14:paraId="2903841E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2D33B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坐标系标准</w:t>
            </w:r>
          </w:p>
        </w:tc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BB5212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由业主或测绘资料确权，形成唯一 authority_srid。</w:t>
            </w:r>
          </w:p>
        </w:tc>
        <w:tc>
          <w:tcPr>
            <w:tcW w:w="20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35317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GIS 全链路。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10E56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一期开发前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56DFA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产品+GIS 负责人</w:t>
            </w:r>
          </w:p>
        </w:tc>
      </w:tr>
    </w:tbl>
    <w:p w14:paraId="7E2F54B5">
      <w:pPr>
        <w:pStyle w:val="3"/>
        <w:spacing w:before="20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40"/>
        </w:rPr>
        <w:t>10. 实施清单与验收检查表</w:t>
      </w:r>
    </w:p>
    <w:p w14:paraId="52FD6154">
      <w:pPr>
        <w:spacing w:before="0" w:after="120" w:line="324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1"/>
        </w:rPr>
        <w:t>以下清单可直接拆为项目管理工具中的 Epic、任务包或验收条款。</w:t>
      </w:r>
    </w:p>
    <w:p w14:paraId="14F29022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统一口径冻结：形成一页职责边界表，明确 Portal、三平台、支撑层的菜单归属与接口边界。</w:t>
      </w:r>
    </w:p>
    <w:p w14:paraId="4BCC5428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安全基线落地：完成 Token 轮换/吊销、SSO 高可用、应急旁路、TLS、密钥管理、限流与审计。</w:t>
      </w:r>
    </w:p>
    <w:p w14:paraId="18158507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实时链路落表：固化 SLO 指标、采集点、口径、阈值、补偿标记与月报模板。</w:t>
      </w:r>
    </w:p>
    <w:p w14:paraId="6F5EBD23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数据治理落地：建设数据质量评分、标定与漂移管理、坐标系转换服务、变更冲突控制。</w:t>
      </w:r>
    </w:p>
    <w:p w14:paraId="6FC84044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事件闭环落地：完成 outbox、幂等键、死信队列、工单闭环、误报/漏报回写。</w:t>
      </w:r>
    </w:p>
    <w:p w14:paraId="7CC06286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部署与运维落地：完成 Kubernetes、CI/CD、灰度/回滚、Runbook、值班与演练。</w:t>
      </w:r>
    </w:p>
    <w:p w14:paraId="370A64AE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模型治理落地：完成 Feature View、拓扑版本、漂移检测阈值、复核入口与回放测试。</w:t>
      </w:r>
    </w:p>
    <w:tbl>
      <w:tblPr>
        <w:tblStyle w:val="34"/>
        <w:tblW w:w="0" w:type="auto"/>
        <w:jc w:val="center"/>
        <w:tblBorders>
          <w:top w:val="single" w:color="C9D2E3" w:sz="6" w:space="0"/>
          <w:left w:val="single" w:color="C9D2E3" w:sz="6" w:space="0"/>
          <w:bottom w:val="single" w:color="C9D2E3" w:sz="6" w:space="0"/>
          <w:right w:val="single" w:color="C9D2E3" w:sz="6" w:space="0"/>
          <w:insideH w:val="single" w:color="C9D2E3" w:sz="6" w:space="0"/>
          <w:insideV w:val="single" w:color="C9D2E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835"/>
        <w:gridCol w:w="1814"/>
        <w:gridCol w:w="1587"/>
        <w:gridCol w:w="850"/>
      </w:tblGrid>
      <w:tr w14:paraId="001B2E48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74D41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检查项</w:t>
            </w:r>
          </w:p>
        </w:tc>
        <w:tc>
          <w:tcPr>
            <w:tcW w:w="2835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D6113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通过标准</w:t>
            </w:r>
          </w:p>
        </w:tc>
        <w:tc>
          <w:tcPr>
            <w:tcW w:w="1814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276D6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抽检方式</w:t>
            </w:r>
          </w:p>
        </w:tc>
        <w:tc>
          <w:tcPr>
            <w:tcW w:w="1587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DFD126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责任方</w:t>
            </w:r>
          </w:p>
        </w:tc>
        <w:tc>
          <w:tcPr>
            <w:tcW w:w="850" w:type="dxa"/>
            <w:shd w:val="clear" w:color="auto" w:fill="D9E7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9F51B0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结果</w:t>
            </w:r>
          </w:p>
        </w:tc>
      </w:tr>
      <w:tr w14:paraId="2CBDFC5D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029D3D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入口与权限一致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D56AF2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只有三平台入口；旁路权限最小化；权限变更可审计。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34DF68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抽查 5 个角色、3 类操作。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04FB2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产品+开发+运维</w:t>
            </w:r>
          </w:p>
        </w:tc>
        <w:tc>
          <w:tcPr>
            <w:tcW w:w="8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48D16C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</w:p>
        </w:tc>
      </w:tr>
      <w:tr w14:paraId="203B51A5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8351EE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SSO 韧性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EE68CC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主链路故障可在 RTO 内恢复或切旁路。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9A7D6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故障演练。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AFB14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运维+开发</w:t>
            </w:r>
          </w:p>
        </w:tc>
        <w:tc>
          <w:tcPr>
            <w:tcW w:w="8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3360E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</w:p>
        </w:tc>
      </w:tr>
      <w:tr w14:paraId="41D37AF8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41FE4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实时链路 SLO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8CB07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边缘、入库、推送、刷新、派单、推理均可量化。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A2376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看板 + 压测报告。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E26B6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</w:t>
            </w:r>
          </w:p>
        </w:tc>
        <w:tc>
          <w:tcPr>
            <w:tcW w:w="8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34FE58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</w:p>
        </w:tc>
      </w:tr>
      <w:tr w14:paraId="6BD1EA11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2B696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数据治理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92882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DQ 评分、标定、坐标系、补偿标识可查。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2409E7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抽查设备、地图、时序样本。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DE091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开发+产品</w:t>
            </w:r>
          </w:p>
        </w:tc>
        <w:tc>
          <w:tcPr>
            <w:tcW w:w="8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B79A79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</w:p>
        </w:tc>
      </w:tr>
      <w:tr w14:paraId="025D9CD9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5266A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闭环一致性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56D72B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重复消息不重复派单；失败可重试可追溯。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27341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模拟重复/失败注入。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EC6BE2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开发+运维</w:t>
            </w:r>
          </w:p>
        </w:tc>
        <w:tc>
          <w:tcPr>
            <w:tcW w:w="8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1ADD4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</w:p>
        </w:tc>
      </w:tr>
      <w:tr w14:paraId="6DE443F2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941C2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部署与密钥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5953D1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配置中心、Secret 管理、滚动升级、回滚可用。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BA2B6B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发版演练。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1D216F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运维+开发</w:t>
            </w:r>
          </w:p>
        </w:tc>
        <w:tc>
          <w:tcPr>
            <w:tcW w:w="8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F331B7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</w:p>
        </w:tc>
      </w:tr>
      <w:tr w14:paraId="4D69BF1B">
        <w:tblPrEx>
          <w:tblBorders>
            <w:top w:val="single" w:color="C9D2E3" w:sz="6" w:space="0"/>
            <w:left w:val="single" w:color="C9D2E3" w:sz="6" w:space="0"/>
            <w:bottom w:val="single" w:color="C9D2E3" w:sz="6" w:space="0"/>
            <w:right w:val="single" w:color="C9D2E3" w:sz="6" w:space="0"/>
            <w:insideH w:val="single" w:color="C9D2E3" w:sz="6" w:space="0"/>
            <w:insideV w:val="single" w:color="C9D2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D6CEE1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i w:val="0"/>
                <w:sz w:val="19"/>
              </w:rPr>
              <w:t>模型治理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4EB919">
            <w:pPr>
              <w:spacing w:before="0"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特征版本、拓扑版本、回退与漂移监测生效。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257EE4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回放与灰度测试。</w:t>
            </w:r>
          </w:p>
        </w:tc>
        <w:tc>
          <w:tcPr>
            <w:tcW w:w="15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21BC83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z w:val="19"/>
              </w:rPr>
              <w:t>算法+开发+运维</w:t>
            </w:r>
          </w:p>
        </w:tc>
        <w:tc>
          <w:tcPr>
            <w:tcW w:w="8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DEDAD5">
            <w:pPr>
              <w:spacing w:before="0" w:after="0" w:line="276" w:lineRule="auto"/>
              <w:jc w:val="center"/>
              <w:rPr>
                <w:rFonts w:hint="eastAsia" w:ascii="楷体" w:hAnsi="楷体" w:eastAsia="楷体" w:cs="楷体"/>
              </w:rPr>
            </w:pPr>
          </w:p>
        </w:tc>
      </w:tr>
    </w:tbl>
    <w:p w14:paraId="454F1AE0">
      <w:pPr>
        <w:pStyle w:val="3"/>
        <w:spacing w:before="20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i w:val="0"/>
          <w:color w:val="1F4E79"/>
          <w:sz w:val="40"/>
        </w:rPr>
        <w:t>附录 A. 参考资料建议清单（不参与正文编号）</w:t>
      </w:r>
    </w:p>
    <w:p w14:paraId="6BC62D90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OpenID Connect / OAuth 2.0 / PKCE 相关官方规范（用于统一认证与令牌设计）。</w:t>
      </w:r>
    </w:p>
    <w:p w14:paraId="22F9F3B6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W3C Trace Context 与 OpenTelemetry 文档（用于 trace_id 透传与观测）。</w:t>
      </w:r>
    </w:p>
    <w:p w14:paraId="38876A34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WebSocket、STOMP、Kafka/RabbitMQ、Prometheus/Alertmanager 官方文档（用于实时链路、推送、告警治理）。</w:t>
      </w:r>
    </w:p>
    <w:p w14:paraId="5DB31246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PostGIS、TimescaleDB / InfluxDB 文档（用于空间与时序设计）。</w:t>
      </w:r>
    </w:p>
    <w:p w14:paraId="1F06BE00">
      <w:pPr>
        <w:pStyle w:val="16"/>
        <w:spacing w:after="40" w:line="300" w:lineRule="auto"/>
        <w:ind w:left="22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i w:val="0"/>
          <w:sz w:val="20"/>
        </w:rPr>
        <w:t>MLflow 或等价模型注册与版本治理资料（用于模型注册、灰度与回退）。</w:t>
      </w:r>
    </w:p>
    <w:sectPr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07896"/>
    <w:multiLevelType w:val="multilevel"/>
    <w:tmpl w:val="8B9078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C39E8F"/>
    <w:multiLevelType w:val="multilevel"/>
    <w:tmpl w:val="9DC39E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834A00C"/>
    <w:multiLevelType w:val="multilevel"/>
    <w:tmpl w:val="A834A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008AE8"/>
    <w:multiLevelType w:val="multilevel"/>
    <w:tmpl w:val="AA008A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AA200D0"/>
    <w:multiLevelType w:val="multilevel"/>
    <w:tmpl w:val="AAA200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C276CA2"/>
    <w:multiLevelType w:val="multilevel"/>
    <w:tmpl w:val="BC276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211A6C"/>
    <w:multiLevelType w:val="multilevel"/>
    <w:tmpl w:val="BF211A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81DB34E"/>
    <w:multiLevelType w:val="multilevel"/>
    <w:tmpl w:val="C81DB3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D6C90E3"/>
    <w:multiLevelType w:val="multilevel"/>
    <w:tmpl w:val="CD6C90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FDDD011"/>
    <w:multiLevelType w:val="multilevel"/>
    <w:tmpl w:val="CFDDD0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9142EA9"/>
    <w:multiLevelType w:val="multilevel"/>
    <w:tmpl w:val="D9142E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BFBE7F8"/>
    <w:multiLevelType w:val="multilevel"/>
    <w:tmpl w:val="EBFBE7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C002BC2"/>
    <w:multiLevelType w:val="multilevel"/>
    <w:tmpl w:val="EC002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4011AC4"/>
    <w:multiLevelType w:val="multilevel"/>
    <w:tmpl w:val="F4011A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0">
    <w:nsid w:val="0B54BD2F"/>
    <w:multiLevelType w:val="multilevel"/>
    <w:tmpl w:val="0B54BD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0DE73456"/>
    <w:multiLevelType w:val="multilevel"/>
    <w:tmpl w:val="0DE734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11928013"/>
    <w:multiLevelType w:val="multilevel"/>
    <w:tmpl w:val="119280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2EA55E1D"/>
    <w:multiLevelType w:val="multilevel"/>
    <w:tmpl w:val="2EA55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F6DFC3F"/>
    <w:multiLevelType w:val="multilevel"/>
    <w:tmpl w:val="4F6DFC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55432E78"/>
    <w:multiLevelType w:val="multilevel"/>
    <w:tmpl w:val="55432E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652F3593"/>
    <w:multiLevelType w:val="multilevel"/>
    <w:tmpl w:val="652F35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6DE6A2E6"/>
    <w:multiLevelType w:val="multilevel"/>
    <w:tmpl w:val="6DE6A2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71ADD823"/>
    <w:multiLevelType w:val="multilevel"/>
    <w:tmpl w:val="71ADD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EB9D678"/>
    <w:multiLevelType w:val="multilevel"/>
    <w:tmpl w:val="7EB9D6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5"/>
  </w:num>
  <w:num w:numId="2">
    <w:abstractNumId w:val="18"/>
  </w:num>
  <w:num w:numId="3">
    <w:abstractNumId w:val="19"/>
  </w:num>
  <w:num w:numId="4">
    <w:abstractNumId w:val="16"/>
  </w:num>
  <w:num w:numId="5">
    <w:abstractNumId w:val="14"/>
  </w:num>
  <w:num w:numId="6">
    <w:abstractNumId w:val="17"/>
  </w:num>
  <w:num w:numId="7">
    <w:abstractNumId w:val="27"/>
  </w:num>
  <w:num w:numId="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20"/>
  </w:num>
  <w:num w:numId="11">
    <w:abstractNumId w:val="0"/>
  </w:num>
  <w:num w:numId="12">
    <w:abstractNumId w:val="23"/>
  </w:num>
  <w:num w:numId="13">
    <w:abstractNumId w:val="28"/>
  </w:num>
  <w:num w:numId="14">
    <w:abstractNumId w:val="22"/>
  </w:num>
  <w:num w:numId="15">
    <w:abstractNumId w:val="2"/>
  </w:num>
  <w:num w:numId="16">
    <w:abstractNumId w:val="4"/>
  </w:num>
  <w:num w:numId="17">
    <w:abstractNumId w:val="26"/>
  </w:num>
  <w:num w:numId="18">
    <w:abstractNumId w:val="5"/>
  </w:num>
  <w:num w:numId="19">
    <w:abstractNumId w:val="29"/>
  </w:num>
  <w:num w:numId="20">
    <w:abstractNumId w:val="12"/>
  </w:num>
  <w:num w:numId="21">
    <w:abstractNumId w:val="13"/>
  </w:num>
  <w:num w:numId="22">
    <w:abstractNumId w:val="21"/>
  </w:num>
  <w:num w:numId="23">
    <w:abstractNumId w:val="8"/>
  </w:num>
  <w:num w:numId="24">
    <w:abstractNumId w:val="10"/>
  </w:num>
  <w:num w:numId="25">
    <w:abstractNumId w:val="1"/>
  </w:num>
  <w:num w:numId="26">
    <w:abstractNumId w:val="7"/>
  </w:num>
  <w:num w:numId="27">
    <w:abstractNumId w:val="3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"/>
  </w:num>
  <w:num w:numId="37">
    <w:abstractNumId w:val="25"/>
  </w:num>
  <w:num w:numId="38">
    <w:abstractNumId w:val="9"/>
  </w:num>
  <w:num w:numId="3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310FCE"/>
    <w:rsid w:val="7DDA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color w:val="1F1F1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Ascii" w:hAnsiTheme="majorAscii" w:eastAsiaTheme="majorEastAsia" w:cstheme="majorBidi"/>
      <w:b/>
      <w:bCs/>
      <w:color w:val="1F4E79"/>
      <w:sz w:val="4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1F4E79"/>
      <w:sz w:val="29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5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F4E79"/>
      <w:sz w:val="22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Ascii" w:hAnsiTheme="majorAsci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Ascii" w:hAnsiTheme="majorAsci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1021</Words>
  <Characters>1152</Characters>
  <Lines>0</Lines>
  <Paragraphs>0</Paragraphs>
  <TotalTime>87</TotalTime>
  <ScaleCrop>false</ScaleCrop>
  <LinksUpToDate>false</LinksUpToDate>
  <CharactersWithSpaces>1187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随便</cp:lastModifiedBy>
  <dcterms:modified xsi:type="dcterms:W3CDTF">2026-04-10T06:56:23Z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eyJoZGlkIjoiYjEyZDFkMmRjY2RmM2U2MzQ0Y2IxMDI2NWE1MTJhN2QiLCJ1c2VySWQiOiI0MzQ2ODgzNDAifQ==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1C8960E7BB2B439CA75CF8D27B67F3AC_12</vt:lpwstr>
  </property>
</Properties>
</file>