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320"/>
        <w:jc w:val="center"/>
      </w:pPr>
      <w:r>
        <w:rPr>
          <w:rFonts w:ascii="DejaVu Sans" w:hAnsi="DejaVu Sans" w:cs="DejaVu Sans"/>
          <w:b/>
          <w:i w:val="0"/>
          <w:color w:val="2A6F97"/>
          <w:sz w:val="24"/>
        </w:rPr>
        <w:t>DBACT THEOREM 1</w:t>
      </w:r>
    </w:p>
    <w:p>
      <w:pPr>
        <w:spacing w:before="0" w:after="360"/>
        <w:jc w:val="center"/>
      </w:pPr>
      <w:r>
        <w:rPr>
          <w:rFonts w:ascii="DejaVu Serif" w:hAnsi="DejaVu Serif" w:cs="DejaVu Serif"/>
          <w:b/>
          <w:i w:val="0"/>
          <w:color w:val="17324D"/>
          <w:sz w:val="54"/>
        </w:rPr>
        <w:t>Proofs and Supporting Results</w:t>
      </w:r>
    </w:p>
    <w:p>
      <w:pPr>
        <w:spacing w:before="0" w:after="560"/>
        <w:jc w:val="center"/>
      </w:pPr>
      <w:r>
        <w:rPr>
          <w:rFonts w:ascii="DejaVu Serif" w:hAnsi="DejaVu Serif" w:cs="DejaVu Serif"/>
          <w:b w:val="0"/>
          <w:i w:val="0"/>
          <w:color w:val="5C6B78"/>
          <w:sz w:val="25"/>
        </w:rPr>
        <w:t>Boundary-measure-induced Local-CVT practical stability near a selected nondegenerate local branch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180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17212B"/>
                <w:sz w:val="16"/>
              </w:rPr>
              <w:t>Branch</w:t>
            </w:r>
          </w:p>
        </w:tc>
        <w:tc>
          <w:tcPr>
            <w:tcW w:type="dxa" w:w="756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6"/>
              </w:rPr>
              <w:t>DBACT-research-v3</w:t>
            </w:r>
          </w:p>
        </w:tc>
      </w:tr>
      <w:tr>
        <w:tc>
          <w:tcPr>
            <w:tcW w:type="dxa" w:w="180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17212B"/>
                <w:sz w:val="16"/>
              </w:rPr>
              <w:t>Baseline HEAD</w:t>
            </w:r>
          </w:p>
        </w:tc>
        <w:tc>
          <w:tcPr>
            <w:tcW w:type="dxa" w:w="756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6"/>
              </w:rPr>
              <w:t>64e1905e092d19fd9dcbf0e77fbd39f55f0562ba</w:t>
            </w:r>
          </w:p>
        </w:tc>
      </w:tr>
      <w:tr>
        <w:tc>
          <w:tcPr>
            <w:tcW w:type="dxa" w:w="180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17212B"/>
                <w:sz w:val="16"/>
              </w:rPr>
              <w:t>Proof status</w:t>
            </w:r>
          </w:p>
        </w:tc>
        <w:tc>
          <w:tcPr>
            <w:tcW w:type="dxa" w:w="756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6"/>
              </w:rPr>
              <w:t>Conditional local theorem; A8 interval certificate not supplied</w:t>
            </w:r>
          </w:p>
        </w:tc>
      </w:tr>
      <w:tr>
        <w:tc>
          <w:tcPr>
            <w:tcW w:type="dxa" w:w="180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17212B"/>
                <w:sz w:val="16"/>
              </w:rPr>
              <w:t>Wolfram</w:t>
            </w:r>
          </w:p>
        </w:tc>
        <w:tc>
          <w:tcPr>
            <w:tcW w:type="dxa" w:w="756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6"/>
              </w:rPr>
              <w:t>Connector exact checks passed; 9 local scripts exit 0</w:t>
            </w:r>
          </w:p>
        </w:tc>
      </w:tr>
      <w:tr>
        <w:tc>
          <w:tcPr>
            <w:tcW w:type="dxa" w:w="180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17212B"/>
                <w:sz w:val="16"/>
              </w:rPr>
              <w:t>Regression</w:t>
            </w:r>
          </w:p>
        </w:tc>
        <w:tc>
          <w:tcPr>
            <w:tcW w:type="dxa" w:w="7560"/>
            <w:shd w:val="clear" w:color="auto" w:fill="EAF2F8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6"/>
              </w:rPr>
              <w:t>470 passed, 3 skipped</w:t>
            </w:r>
          </w:p>
        </w:tc>
      </w:tr>
    </w:tbl>
    <w:p>
      <w:pPr>
        <w:spacing w:after="0"/>
      </w:pPr>
    </w:p>
    <w:p>
      <w:pPr>
        <w:spacing w:before="0" w:after="0"/>
      </w:pPr>
      <w:r>
        <w:rPr>
          <w:sz w:val="25"/>
        </w:rPr>
      </w:r>
    </w:p>
    <w:p>
      <w:pPr>
        <w:spacing w:before="0" w:after="100"/>
        <w:jc w:val="center"/>
      </w:pPr>
      <w:r>
        <w:rPr>
          <w:rFonts w:ascii="DejaVu Sans" w:hAnsi="DejaVu Sans" w:cs="DejaVu Sans"/>
          <w:b/>
          <w:i w:val="0"/>
          <w:color w:val="2A6F97"/>
          <w:sz w:val="17"/>
        </w:rPr>
        <w:t>CLAIM BOUNDARY</w:t>
      </w:r>
    </w:p>
    <w:p>
      <w:pPr>
        <w:spacing w:before="0" w:after="120"/>
        <w:jc w:val="center"/>
      </w:pPr>
      <w:r>
        <w:rPr>
          <w:rFonts w:ascii="DejaVu Serif" w:hAnsi="DejaVu Serif" w:cs="DejaVu Serif"/>
          <w:b/>
          <w:i w:val="0"/>
          <w:color w:val="17324D"/>
          <w:sz w:val="20"/>
        </w:rPr>
        <w:t>No global PL. No formal caging. No finite-time phase completion. No unconditional safety or cooperative-transport success.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Contents and dependency chain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1  Scope and frozen claim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2  Notation and assumptions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3  Lemma 1 - density consistency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4  Lemma 2 - centroid perturbation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5  Proposition 1 - ideal gradient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6  Proposition 2 - aggregate disturbance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7  Proposition 3 - reference rate and local regularity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8  Theorem 1 - practical stability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9  Corollaries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10 Limits and evidence status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Appendix A  Constant ledger</w:t>
      </w:r>
    </w:p>
    <w:p>
      <w:pPr>
        <w:spacing w:before="0" w:after="0" w:line="280" w:lineRule="exact"/>
        <w:ind w:left="160"/>
        <w:jc w:val="left"/>
      </w:pPr>
      <w:r>
        <w:rPr>
          <w:rFonts w:ascii="DejaVu Sans" w:hAnsi="DejaVu Sans" w:cs="DejaVu Sans"/>
          <w:b w:val="0"/>
          <w:i w:val="0"/>
          <w:color w:val="17212B"/>
          <w:sz w:val="19"/>
        </w:rPr>
        <w:t>Appendix B  Wolfram manifest</w:t>
      </w:r>
    </w:p>
    <w:p>
      <w:pPr>
        <w:spacing w:before="0" w:after="0"/>
      </w:pPr>
      <w:r>
        <w:rPr>
          <w:sz w:val="14"/>
        </w:rPr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boundary/map certificate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|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v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Lemma 1 -&gt; Lemma 2 -&gt; Proposition 2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        |             /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        v            /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Proposition 1 ------+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        |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Proposition 3 (A8 conditional)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        |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        v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     Theorem 1 -&gt; corollaries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chain contains no SEARCH, caging, contact, CBF-invariance, or transport-success node.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1. Scope and frozen claim</w:t>
      </w:r>
    </w:p>
    <w:p>
      <w:pPr>
        <w:spacing w:before="0" w:after="240"/>
        <w:jc w:val="left"/>
      </w:pPr>
      <w:r>
        <w:rPr>
          <w:rFonts w:ascii="DejaVu Serif" w:hAnsi="DejaVu Serif" w:cs="DejaVu Serif"/>
          <w:b w:val="0"/>
          <w:i w:val="0"/>
          <w:color w:val="17324D"/>
          <w:sz w:val="22"/>
        </w:rPr>
        <w:t>Bounded local-map disagreement and bounded reference variation imply practical stability of the boundary-induced Local-CVT allocation dynamics around a nondegenerate local CVT branch.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system is first order, p_i' = u_i. The nominal ENCLOSE law is u_i^nom = -k_c(p_i - c_hat_i). The ideal objective uses a saturated performance function; dropping saturation would introduce an uncancelled moving-boundary term.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F_R(r) = min(r^2, R_l^2)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H*(P,t) = integral_D min_i F_R(||q-p_i||) phi*(q,t) dq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Deliberate exclusions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no global CVT optimality or arbitrary-shape global convergence;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no finite-time SEARCH-to-HOLD guarantee;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no formal geometric or topological caging;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no contact-transport theorem or unconditional cooperative-transport success;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no safety claim outside feasibility and deviation contracts;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no uniform Hessian bound for an unspecified local branch.</w:t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2. Notation and assumptions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D is a fixed rectangle; P stacks N planar robot positions. Gamma(t) is the true boundary with perimeter at most P_max. The true offset target pushes arc length forward to nu*_t; phi* is its convolution with the unnormalized Gaussian plus phi_0.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K_sigma(x) = exp(-||x||^2/(2 sigma^2))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nu*_t = xi(.,t)_# ds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phi*(q,t) = phi_0 + (K_sigma * nu*_t)(q)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V_i^l = Vor_i(P) intersect D intersect B(p_i,R_l)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||K_sigma||_1 = 2 pi sigma^2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||grad K_sigma||_1 = sqrt(2) pi^(3/2) sigma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||grad K_sigma||_inf = exp(-1/2)/sigma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A1-A10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A1. D is rectangular and the trajectory stays in fixed compact tube X.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A2. Separation is at least d_s&gt;0 and R_comm &gt;= 2 R_l.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A3. The closed piecewise-C2 boundary is rigid in version 1 and P_Gamma &lt;= P_max.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A4. phi_0&gt;0, sigma&gt;0, and the stated unnormalized Gaussian is used.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A5. A conservative map certificate supplies every boundary/normal/offset/voxel/weight/tail bound.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A6. LocalCVT uses midpoint cells and eta_m &lt; m_min.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A7. Density biases are disabled or explicitly included in delta.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A8. A symmetry-reduced selected branch has uniform reduced Hessian &gt;= m_H I (conditional here).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A9. Degenerate tie/threshold sets have measure zero; the solution remains on the branch tube.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A10. ZOH, numerical, tracking, and safety deviations have stacked-norm certificates.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3. Lemma 1 - boundary/map to density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Introduce an exact discrete intermediate measure. The comparison is performed after convolution; no total-variation convergence between a continuous arc-length measure and a Dirac measure is asserted.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nu*_t -&gt; nu*_{h,t} = sum_k Delta s_k delta_{xi*_k}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-&gt; nu_hat_{i,t} = sum_k w_hat_ik delta_{xi_hat_ik}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epsilon_xi = epsilon_b + epsilon_d + 2 d_max sin(epsilon_n/2)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E_w = L_miss + M_spur + sum_matched |w_hat_k - Delta s_k|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epsilon_phi = L_K,1 P_max (epsilon_xi + sqrt(2)v + L_T h_s/2)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      + 2 pi sigma^2 E_w + epsilon_tail          (L1)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epsilon_tail &lt;= pi R_l^2 M_drop exp(-s_sigma^2/2)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Proof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Unit normals separated by angle theta differ by 2 sin(theta/2); the triangle inequality and a square-voxel diagonal give the target error. The fundamental theorem of calculus along a translation segment, followed by Tonelli, gives ||K(.-a)-K(.-b)||_1 &lt;= ||grad K||_1 ||a-b||.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On each arc, the midpoint curve approximation costs at most L_K,1 L_T Delta s_k^2/2. Summing uses sum Delta s_k^2 &lt;= h_s sum Delta s_k &lt;= h_s P_max. Matched target displacement costs at most L_K,1 P_max(epsilon_xi+sqrt(2)v), and total missing/spurious/weight discrepancy costs ||K||_1 E_w.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Every discarded Gaussian source is at least s_sigma sigma from every query in the disk. Its pointwise contribution is therefore at most exp(-s_sigma^2/2); summing dropped mass and integrating over at most pi R_l^2 proves the tail. The triangle inequality proves (L1).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Evidence boundary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Wolfram exactly checked the kernel integrals and symbolically checked the angle and step identities. Pushforward, translation, curve quadrature, measure decomposition, and tail control are the human analytic proof above.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4. Lemma 2 - mass and centroid perturbation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r0 = min(R_l, d_s/2, W_D/2, H_D/2)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m_min = phi_0 pi r0^2 / 4 &gt; 0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m_max = pi R_l^2 (phi_0 + P_max)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phi_hat_max = phi_0 + P_max + E_w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L_hat_phi &lt;= (P_max + E_w) exp(-1/2)/sigma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r_h = h/sqrt(2),  A_V &lt;= pi R_l^2,  P_V &lt;= 2 pi R_l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eta_m = L_hat_phi r_h A_V + phi_hat_max(2 P_V r_h + pi r_h^2)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eta_a = (phi_hat_max+R_l L_hat_phi)r_h A_V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+ R_l phi_hat_max(2 P_V r_h + pi r_h^2)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epsilon_q = (eta_a + R_l eta_m)/(m_min - eta_m)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||c_hat_i-c*_i|| &lt;= 2 R_l epsilon_phi_i/m_min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               + epsilon_q_i + epsilon_G_i      (L2)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Proof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Separation puts B(p_i,d_s/2) in robot i's Voronoi cell. The intersection with the local disk and rectangle contains at least a quarter disk of radius r0; phi*&gt;=phi0 gives m_min. Kernel boundedness and disk area give the ideal m_max. Lemma 1 bounds mapped total weight by P_max+E_w; differentiating its convolution gives the displayed mapped-density bounds.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A midpoint cell entirely inside the exact convex cell contributes at most L_hat_phi r_h times area. Boundary-cut cells occupy a parallel strip of area at most 2P_V r_h + pi r_h^2. This proves eta_m. Repeating the argument for the shifted first moment a=integral(q-p_i)phi dq proves eta_a.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Because m_hat &gt;= m_min-eta_m&gt;0, the ratio identity gives epsilon_q. Lemma 1 changes continuum mass by at most epsilon_phi and shifted moment by at most R_l epsilon_phi; both densities retain the base-density floor, giving 2R_l epsilon_phi/m_min. Add the separately certified geometric-cell term. The denominator gate fails closed.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5. Proposition 1 - ideal gradient and descent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grad_{p_i} H* = 2 m*_i (p_i-c*_i)                 (P1-a)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u*_i = -k_c(p_i-c*_i) = -[k_c/(2m*_i)] grad_{p_i}H*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Inside V_i^l the active integrand derivative is 2(p_i-q); outside the disk it is zero because the cost is saturated. On a shared Voronoi face, competing minimum values agree and the two fluxes cancel. On r=R_l, the inner and outer costs both equal R_l^2, so the circle flux cancels. The workspace boundary is fixed and the exceptional tie/threshold sets have measure zero. Only the volume derivative remains, proving P1-a.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A(P,t) = diag_i(k_c/(2m*_i) I_2) &gt;= a0 I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a0 = k_c/(2m_max)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Hdot* = -grad H*^T A grad H* &lt;= -a0 ||grad H*||^2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If a point in B(p_i,R_l) is won by robot j, then ||p_j-p_i|| &lt;= 2R_l &lt;= R_comm. Thus the communication set contains every local competitor and the cell is exact. The Wolfram fixed-square gradient check is only a sanity example; it is not the shape-derivative proof.</w:t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6. Proposition 2 - aggregate disturbance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Pdot = -A(P,t) grad H*(P,t) + d(t)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||d(t)|| &lt;= delta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delta = k_c sqrt(sum_i epsilon_c_i^2) + epsilon_zoh + epsilon_num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+ epsilon_trk + epsilon_sf                         (P2)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Lemma 2 bounds the centroid component, and the stacked triangle inequality adds the remaining deviations. Production commands use a per-agent Euclidean speed cap, so ||u_i^sf-u_i^nom||&lt;=2u_max and epsilon_sf&lt;=2sqrt(N)u_max. A componentwise box cap would require 2sqrt(2N)u_max. The certificate records the chosen convention.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7. Proposition 3 - reference rate and regularity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xi = b + d n,   xi_dot = b_dot + d_dot n + d n_dot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v_xi,max = v_O_bar + omega_O_bar(R_O+d_max+L_d)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nu_phi &lt;= L_K,1 P_max v_xi,max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nu_H = 2 R_l^2 nu_phi                                  (P3)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rigid-twist bound controls every target speed; convolution translation controls the density rate. Since 0&lt;=min_i F_R&lt;=R_l^2, |partial_t H*|&lt;=R_l^2 nu_phi. On fixed compact X, |min f-min g|&lt;=sup|f-g| supplies the same bound for H_min*, producing nu_H. Deformation, perimeter change, or split/merge events require a new measure-rate assumption.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M5 decision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1/2 ||grad H*||^2 &gt;= mu (H*-H_min*)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H*-H_min* &gt;= (alpha/2) dist^2(P,C*(t))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A uniform reduced Hessian lower bound on a convex symmetry-reduced chart implies both relations with mu=alpha=m_H (or smaller constants). The implication is proved. Its premise is conditional: no selected branch, gauge, cell combinatorics, or complete parameter tube was supplied for validated interval subdivision. No floating-point eigenvalue is used as proof.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8. Theorem 1 - local practical stability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V(P,t) = H*(P,t)-H_min*(t) &gt;= 0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a0 = k_c/(2m_max),   lambda_H = a0 mu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B = delta^2/(2a0) + nu_H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V(t) &lt;= exp[-lambda_H(t-t0)] V(t0)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  + (B/lambda_H)(1-exp[-lambda_H(t-t0)])           (T1-a)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limsup dist(P(t),C*(t)) &lt;= sqrt(2B/(alpha lambda_H))     (T1-b)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Proof - every inequality named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Vdot = grad H*^T Pdot + partial_t H* - H_min*_dot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&lt;= -grad H*^T A grad H* + ||grad H*|| ||d|| + nu_H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[Propositions 1 and 3]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&lt;= -a0 ||grad H*||^2 + delta ||grad H*|| + nu_H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[Proposition 2 and A &gt;= a0 I]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&lt;= -(a0/2)||grad H*||^2 + delta^2/(2a0) + nu_H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[Young]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&lt;= -a0 mu V + B = -lambda_H V + B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    [local PL]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scalar comparison lemma yields T1-a. Hence limsup V&lt;=B/lambda_H. Local quadratic growth gives dist(P,C*)&lt;=sqrt(2V/alpha), which yields T1-b. The infinite-time limit is asserted only if the trajectory continues to satisfy the regular-tube premises.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Status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analytic implication is complete, and Wolfram verifies the scalar algebra. The result remains conditional on A5, A8-A10 and the run/tube certificates. It is local, not global.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9. Corollaries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Frozen perfect information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delta=0, nu_H=0  =&gt;  B=0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V(t) &lt;= exp[-lambda_H(t-t0)] V(t0),  dist(P,C*) -&gt; 0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generator and unit tests require exactly zero forcing and zero ultimate radius in this case.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Sampled data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P_{k+1}=P_k+dt[-A_k g_k+d_k],  a0 I&lt;=A_k&lt;=a1 I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abar=a0-(L_H a1^2 dt)/2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C_delta=delta(1+L_H a1 dt)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B_d=C_delta^2/(2abar)+(L_H/2)delta^2 dt+nu_H</w:t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dt &lt; 2a0/(L_H a1^2),  0 &lt; abar mu dt &lt;= 1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V_{k+1} &lt;= (1-abar mu dt)V_k+B_d dt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limsup dist(P_k,C*_k) &lt;= sqrt(2B_d/(alpha abar mu))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descent lemma first gives dt[-a0 x^2+delta x]+(L_H dt^2/2)(a1 x+delta)^2+nu_H dt. Expansion, Young, and local PL give the recursion. The geometric series and quadratic growth give the ultimate radius. Wolfram checked the expansion; randomized positive-parameter tests independently compare the direct one-step expression with the certified upper bound.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10. Limits and evidence status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016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5"/>
              </w:rPr>
              <w:t>Result</w:t>
            </w:r>
          </w:p>
        </w:tc>
        <w:tc>
          <w:tcPr>
            <w:tcW w:type="dxa" w:w="1584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5"/>
              </w:rPr>
              <w:t>Status</w:t>
            </w:r>
          </w:p>
        </w:tc>
        <w:tc>
          <w:tcPr>
            <w:tcW w:type="dxa" w:w="5760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5"/>
              </w:rPr>
              <w:t>Limiting condition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Lemma 1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PROVED + CAS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A5 map bounds and tail separation</w:t>
            </w:r>
          </w:p>
        </w:tc>
      </w:tr>
      <w:tr>
        <w:tc>
          <w:tcPr>
            <w:tcW w:type="dxa" w:w="201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Lemma 2</w:t>
            </w:r>
          </w:p>
        </w:tc>
        <w:tc>
          <w:tcPr>
            <w:tcW w:type="dxa" w:w="158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PROVED + CAS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rectangle, midpoint gate, exact-cell contract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Proposition 1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PROVED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regular tie/threshold sets; saturated cost</w:t>
            </w:r>
          </w:p>
        </w:tc>
      </w:tr>
      <w:tr>
        <w:tc>
          <w:tcPr>
            <w:tcW w:type="dxa" w:w="201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Proposition 2</w:t>
            </w:r>
          </w:p>
        </w:tc>
        <w:tc>
          <w:tcPr>
            <w:tcW w:type="dxa" w:w="158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PROVED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declared stacked disturbance components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Proposition 3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CONDITIONAL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rate proved; A8 branch coercivity assumed</w:t>
            </w:r>
          </w:p>
        </w:tc>
      </w:tr>
      <w:tr>
        <w:tc>
          <w:tcPr>
            <w:tcW w:type="dxa" w:w="201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Theorem 1</w:t>
            </w:r>
          </w:p>
        </w:tc>
        <w:tc>
          <w:tcPr>
            <w:tcW w:type="dxa" w:w="158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CONDITIONAL</w:t>
            </w:r>
          </w:p>
        </w:tc>
        <w:tc>
          <w:tcPr>
            <w:tcW w:type="dxa" w:w="576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complete implication under A1-A10</w:t>
            </w:r>
          </w:p>
        </w:tc>
      </w:tr>
      <w:tr>
        <w:tc>
          <w:tcPr>
            <w:tcW w:type="dxa" w:w="201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Sampled corollary</w:t>
            </w:r>
          </w:p>
        </w:tc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PROVED</w:t>
            </w:r>
          </w:p>
        </w:tc>
        <w:tc>
          <w:tcPr>
            <w:tcW w:type="dxa" w:w="5760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5"/>
              </w:rPr>
              <w:t>explicit step gates</w:t>
            </w:r>
          </w:p>
        </w:tc>
      </w:tr>
    </w:tbl>
    <w:p>
      <w:pPr>
        <w:spacing w:after="0"/>
      </w:pPr>
    </w:p>
    <w:p>
      <w:pPr>
        <w:spacing w:before="0" w:after="0"/>
      </w:pPr>
      <w:r>
        <w:rPr>
          <w:sz w:val="10"/>
        </w:rPr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illustrative certificate validates the dependency wiring and gates. Its numeric radius is intentionally reported as conservative and may be vacuous; it is not experimental evidence and is not used to claim transport performance.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Evidence classes and runtime gates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PROVED: the analytic implication is written in this supplement.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VERIFIED: Wolfram reproduced only the identified integral or algebraic subclaim.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CONDITIONAL: a named branch, tube, map bound, or runtime deviation certificate remains required.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NUMERIC-SANITY: debugging evidence only; no such result is used as proof here.</w:t>
      </w:r>
    </w:p>
    <w:p>
      <w:pPr>
        <w:spacing w:before="0" w:after="60"/>
        <w:ind w:left="300" w:hanging="160"/>
        <w:jc w:val="left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- Fail-closed gates: locality, positive arc length, midpoint rule, eta_m&lt;m_min, disabled unbudgeted biases, and sampled step size.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Claim audit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The supplement deliberately contains no global PL statement, no formal caging claim, no finite-time phase-completion result, and no unconditional transport or safety guarantee.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Appendix A. Constant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3096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4"/>
              </w:rPr>
              <w:t>Constant</w:t>
            </w:r>
          </w:p>
        </w:tc>
        <w:tc>
          <w:tcPr>
            <w:tcW w:type="dxa" w:w="1800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4"/>
              </w:rPr>
              <w:t>Value</w:t>
            </w:r>
          </w:p>
        </w:tc>
        <w:tc>
          <w:tcPr>
            <w:tcW w:type="dxa" w:w="1656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4"/>
              </w:rPr>
              <w:t>Unit</w:t>
            </w:r>
          </w:p>
        </w:tc>
        <w:tc>
          <w:tcPr>
            <w:tcW w:type="dxa" w:w="1800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4"/>
              </w:rPr>
              <w:t>Status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kernel_l1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0.251327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m^2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verified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kernel_grad_l1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1.57496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verified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kernel_grad_linf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3.03265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1/m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verified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epsilon_xi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0.00449999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conditional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epsilon_phi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0.106034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m^3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m_min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5.02655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m^3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m_max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34.5827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m^3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grid_spacing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0.000390625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verified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eta_m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0.0598959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m^3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eta_a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0.0574695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m^4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epsilon_q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0.0212188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epsilon_c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0.0549703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delta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0.156932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m/s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conditional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nu_phi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0.464928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m^3/s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nu_H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0.595108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m^5/s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a0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0.0130123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1/(s*m^3)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lambda_H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0.000650615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1/s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conditional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B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1.54143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m^5/s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ultimate_radius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307.843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conditional</w:t>
            </w:r>
          </w:p>
        </w:tc>
      </w:tr>
      <w:tr>
        <w:tc>
          <w:tcPr>
            <w:tcW w:type="dxa" w:w="309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sampled_Bd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1.54617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m^5/s</w:t>
            </w:r>
          </w:p>
        </w:tc>
        <w:tc>
          <w:tcPr>
            <w:tcW w:type="dxa" w:w="1800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proved</w:t>
            </w:r>
          </w:p>
        </w:tc>
      </w:tr>
      <w:tr>
        <w:tc>
          <w:tcPr>
            <w:tcW w:type="dxa" w:w="3096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sampled_ultimate_radius</w:t>
            </w:r>
          </w:p>
        </w:tc>
        <w:tc>
          <w:tcPr>
            <w:tcW w:type="dxa" w:w="1800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308.792</w:t>
            </w:r>
          </w:p>
        </w:tc>
        <w:tc>
          <w:tcPr>
            <w:tcW w:type="dxa" w:w="1656"/>
          </w:tcPr>
          <w:p>
            <w:pPr>
              <w:spacing w:before="40" w:after="40"/>
              <w:jc w:val="right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m</w:t>
            </w:r>
          </w:p>
        </w:tc>
        <w:tc>
          <w:tcPr>
            <w:tcW w:type="dxa" w:w="1800"/>
          </w:tcPr>
          <w:p>
            <w:pPr>
              <w:spacing w:before="40" w:after="40"/>
            </w:pPr>
            <w:r>
              <w:rPr>
                <w:rFonts w:ascii="DejaVu Sans Mono" w:hAnsi="DejaVu Sans Mono" w:cs="DejaVu Sans Mono"/>
                <w:b w:val="0"/>
                <w:i w:val="0"/>
                <w:color w:val="17212B"/>
                <w:sz w:val="14"/>
              </w:rPr>
              <w:t>conditional</w:t>
            </w:r>
          </w:p>
        </w:tc>
      </w:tr>
    </w:tbl>
    <w:p>
      <w:pPr>
        <w:spacing w:after="0"/>
      </w:pPr>
    </w:p>
    <w:p>
      <w:pPr>
        <w:spacing w:before="0" w:after="0"/>
      </w:pPr>
      <w:r>
        <w:rPr>
          <w:sz w:val="8"/>
        </w:rPr>
      </w:r>
    </w:p>
    <w:p>
      <w:pPr>
        <w:spacing w:before="80" w:after="160" w:line="204" w:lineRule="exact"/>
        <w:ind w:left="240"/>
        <w:jc w:val="left"/>
        <w:shd w:val="clear" w:color="auto" w:fill="F7FAFC"/>
        <w:pBdr>
          <w:top w:val="single" w:sz="6" w:space="6" w:color="C7D8E5"/>
          <w:left w:val="single" w:sz="6" w:space="6" w:color="C7D8E5"/>
          <w:bottom w:val="single" w:sz="6" w:space="6" w:color="C7D8E5"/>
          <w:right w:val="single" w:sz="6" w:space="6" w:color="C7D8E5"/>
        </w:pBdr>
      </w:pPr>
      <w:r>
        <w:rPr>
          <w:rFonts w:ascii="DejaVu Sans Mono" w:hAnsi="DejaVu Sans Mono" w:cs="DejaVu Sans Mono"/>
          <w:b w:val="0"/>
          <w:i w:val="0"/>
          <w:color w:val="17212B"/>
          <w:sz w:val="15"/>
        </w:rPr>
        <w:t>(epsilon_b, epsilon_n, epsilon_d, v, h_s, E_w, M_drop)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-&gt; epsilon_phi -&gt; epsilon_c -&gt; delta -&gt; B</w:t>
      </w:r>
      <w:r>
        <w:br/>
      </w:r>
      <w:r>
        <w:rPr>
          <w:rFonts w:ascii="DejaVu Sans Mono" w:hAnsi="DejaVu Sans Mono" w:cs="DejaVu Sans Mono"/>
          <w:b w:val="0"/>
          <w:i w:val="0"/>
          <w:color w:val="17212B"/>
          <w:sz w:val="15"/>
        </w:rPr>
        <w:t xml:space="preserve">  -&gt; sqrt(2B/(alpha lambda_H))</w:t>
      </w:r>
    </w:p>
    <w:p>
      <w:r>
        <w:br w:type="page"/>
      </w:r>
    </w:p>
    <w:p>
      <w:pPr>
        <w:spacing w:before="80" w:after="200"/>
        <w:jc w:val="left"/>
      </w:pPr>
      <w:r>
        <w:rPr>
          <w:rFonts w:ascii="DejaVu Sans" w:hAnsi="DejaVu Sans" w:cs="DejaVu Sans"/>
          <w:b/>
          <w:i w:val="0"/>
          <w:color w:val="17324D"/>
          <w:sz w:val="32"/>
        </w:rPr>
        <w:t>Appendix B. Wolfram verification manifest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Connector: Wolfram (version not exposed). Local runtime: WolframScript 1.14.0. All nine included scripts executed with exit code 0. Exact connector outputs and assumptions are archived in theory/wolfram/results.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1584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4"/>
              </w:rPr>
              <w:t>ID</w:t>
            </w:r>
          </w:p>
        </w:tc>
        <w:tc>
          <w:tcPr>
            <w:tcW w:type="dxa" w:w="4104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4"/>
              </w:rPr>
              <w:t>Target</w:t>
            </w:r>
          </w:p>
        </w:tc>
        <w:tc>
          <w:tcPr>
            <w:tcW w:type="dxa" w:w="1656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4"/>
              </w:rPr>
              <w:t>Evidence</w:t>
            </w:r>
          </w:p>
        </w:tc>
        <w:tc>
          <w:tcPr>
            <w:tcW w:type="dxa" w:w="1656"/>
            <w:shd w:val="clear" w:color="auto" w:fill="17324D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/>
                <w:i w:val="0"/>
                <w:color w:val="FFFFFF"/>
                <w:sz w:val="14"/>
              </w:rPr>
              <w:t>Verdict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W-L1-01/02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Gaussian L1 integrals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EXACT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W-L1-03</w:t>
            </w:r>
          </w:p>
        </w:tc>
        <w:tc>
          <w:tcPr>
            <w:tcW w:type="dxa" w:w="410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gradient radial maximum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SYMBOLIC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W-L1-04/05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normal/step identities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SYMBOLIC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W-L2-01/02</w:t>
            </w:r>
          </w:p>
        </w:tc>
        <w:tc>
          <w:tcPr>
            <w:tcW w:type="dxa" w:w="410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ratio, monotonicity, mass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SYMBOLIC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W-P1-01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integrand and fixed-cell check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SYMBOLIC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W-P3-01</w:t>
            </w:r>
          </w:p>
        </w:tc>
        <w:tc>
          <w:tcPr>
            <w:tcW w:type="dxa" w:w="410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reference-rate algebra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SYMBOLIC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W-T1-01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Young and comparison ODE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SYMBOLIC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W-C1-01</w:t>
            </w:r>
          </w:p>
        </w:tc>
        <w:tc>
          <w:tcPr>
            <w:tcW w:type="dxa" w:w="410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sampled-data expansion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SYMBOLIC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W-M5-01</w:t>
            </w:r>
          </w:p>
        </w:tc>
        <w:tc>
          <w:tcPr>
            <w:tcW w:type="dxa" w:w="4104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generic quadratic implication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SYMBOLIC</w:t>
            </w:r>
          </w:p>
        </w:tc>
        <w:tc>
          <w:tcPr>
            <w:tcW w:type="dxa" w:w="1656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PASS</w:t>
            </w:r>
          </w:p>
        </w:tc>
      </w:tr>
      <w:tr>
        <w:tc>
          <w:tcPr>
            <w:tcW w:type="dxa" w:w="158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W-M5-02</w:t>
            </w:r>
          </w:p>
        </w:tc>
        <w:tc>
          <w:tcPr>
            <w:tcW w:type="dxa" w:w="4104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actual branch Hessian box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INTERVAL</w:t>
            </w:r>
          </w:p>
        </w:tc>
        <w:tc>
          <w:tcPr>
            <w:tcW w:type="dxa" w:w="1656"/>
            <w:shd w:val="clear" w:color="auto" w:fill="F6F8FA"/>
          </w:tcPr>
          <w:p>
            <w:pPr>
              <w:spacing w:before="40" w:after="40"/>
            </w:pPr>
            <w:r>
              <w:rPr>
                <w:rFonts w:ascii="DejaVu Sans" w:hAnsi="DejaVu Sans" w:cs="DejaVu Sans"/>
                <w:b w:val="0"/>
                <w:i w:val="0"/>
                <w:color w:val="17212B"/>
                <w:sz w:val="14"/>
              </w:rPr>
              <w:t>CONDITIONAL</w:t>
            </w:r>
          </w:p>
        </w:tc>
      </w:tr>
    </w:tbl>
    <w:p>
      <w:pPr>
        <w:spacing w:after="0"/>
      </w:pPr>
    </w:p>
    <w:p>
      <w:pPr>
        <w:spacing w:before="0" w:after="0"/>
      </w:pPr>
      <w:r>
        <w:rPr>
          <w:sz w:val="10"/>
        </w:rPr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Evidence rule: exact/symbolic output supports only the stated integral or algebra. Interval evidence would need to cover the complete selected tube. Numeric sanity is debugging evidence only. There are no numeric-sanity entries in this package.</w:t>
      </w:r>
    </w:p>
    <w:p>
      <w:pPr>
        <w:spacing w:before="180" w:after="100"/>
        <w:jc w:val="left"/>
      </w:pPr>
      <w:r>
        <w:rPr>
          <w:rFonts w:ascii="DejaVu Sans" w:hAnsi="DejaVu Sans" w:cs="DejaVu Sans"/>
          <w:b/>
          <w:i w:val="0"/>
          <w:color w:val="2A6F97"/>
          <w:sz w:val="23"/>
        </w:rPr>
        <w:t>Reference</w:t>
      </w:r>
    </w:p>
    <w:p>
      <w:pPr>
        <w:spacing w:before="0" w:after="120"/>
        <w:jc w:val="both"/>
      </w:pPr>
      <w:r>
        <w:rPr>
          <w:rFonts w:ascii="DejaVu Serif" w:hAnsi="DejaVu Serif" w:cs="DejaVu Serif"/>
          <w:b w:val="0"/>
          <w:i w:val="0"/>
          <w:color w:val="17212B"/>
          <w:sz w:val="18"/>
        </w:rPr>
        <w:t>J. Cortes, S. Martinez, and F. Bullo, 'Spatially-distributed coverage optimization and control with limited-range interactions,' ESAIM: COCV, 11(4):691-719, 2005. DOI 10.1051/cocv:2005024.</w:t>
      </w:r>
    </w:p>
    <w:sectPr w:rsidR="00FC693F" w:rsidRPr="0006063C" w:rsidSect="00034616">
      <w:headerReference w:type="default" r:id="rId9"/>
      <w:footerReference w:type="default" r:id="rId10"/>
      <w:footerReference w:type="first" r:id="rId11"/>
      <w:pgSz w:w="12240" w:h="15840"/>
      <w:pgMar w:top="1181" w:right="1080" w:bottom="1037" w:left="108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DejaVu Sans" w:hAnsi="DejaVu Sans" w:cs="DejaVu Sans"/>
        <w:b w:val="0"/>
        <w:i w:val="0"/>
        <w:color w:val="5C6B78"/>
        <w:sz w:val="14"/>
      </w:rPr>
      <w:t>Baseline HEAD 64e1905e092d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DejaVu Sans" w:hAnsi="DejaVu Sans" w:cs="DejaVu Sans"/>
        <w:b w:val="0"/>
        <w:i w:val="0"/>
        <w:color w:val="5C6B78"/>
        <w:sz w:val="14"/>
      </w:rPr>
      <w:t>Baseline HEAD 64e1905e092d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DejaVu Sans" w:hAnsi="DejaVu Sans" w:cs="DejaVu Sans"/>
        <w:b w:val="0"/>
        <w:i w:val="0"/>
        <w:color w:val="5C6B78"/>
        <w:sz w:val="14"/>
      </w:rPr>
      <w:t>DBACT THEOREM 1  /  PROOF SUPPLEMENT</w:t>
    </w:r>
    <w:r>
      <w:rPr>
        <w:rFonts w:ascii="DejaVu Sans" w:hAnsi="DejaVu Sans" w:cs="DejaVu Sans"/>
        <w:b w:val="0"/>
        <w:i w:val="0"/>
        <w:color w:val="5C6B78"/>
        <w:sz w:val="14"/>
      </w:rPr>
      <w:tab/>
      <w:tab/>
    </w:r>
    <w:r>
      <w:rPr>
        <w:rFonts w:ascii="DejaVu Sans" w:hAnsi="DejaVu Sans" w:cs="DejaVu Sans"/>
        <w:b w:val="0"/>
        <w:i w:val="0"/>
        <w:color w:val="5C6B78"/>
        <w:sz w:val="14"/>
      </w:rPr>
      <w:t>LOCAL - CONDITIONAL - AUDITABLE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erif" w:hAnsi="DejaVu Serif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DBACT Theorem 1 - Proofs and Supporting Results</dc:title>
  <dc:subject>Local conditional practical-stability theorem and verification record</dc:subject>
  <dc:creator>Boundary-aware cooperative transport project</dc:creator>
  <cp:keywords/>
  <dc:description>Local conditional theorem. No global PL, formal caging, finite-time phase completion, or unconditional transport/safety claim.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