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CB53C" w14:textId="77777777" w:rsidR="004B2EAA" w:rsidRDefault="00000000">
      <w:pPr>
        <w:spacing w:before="1080" w:after="280"/>
        <w:jc w:val="center"/>
      </w:pPr>
      <w:r>
        <w:rPr>
          <w:rFonts w:ascii="Segoe UI" w:hAnsi="Segoe UI" w:cs="Segoe UI"/>
          <w:b/>
          <w:color w:val="2A6F97"/>
          <w:sz w:val="24"/>
        </w:rPr>
        <w:t>DBACT THEOREM 1</w:t>
      </w:r>
    </w:p>
    <w:p w14:paraId="04717EDD" w14:textId="77777777" w:rsidR="004B2EAA" w:rsidRDefault="00000000">
      <w:pPr>
        <w:spacing w:after="320"/>
        <w:jc w:val="center"/>
      </w:pPr>
      <w:r>
        <w:rPr>
          <w:rFonts w:cs="Cambria"/>
          <w:b/>
          <w:color w:val="17324D"/>
          <w:sz w:val="56"/>
        </w:rPr>
        <w:t>Proofs and Supporting Results</w:t>
      </w:r>
    </w:p>
    <w:p w14:paraId="111CA361" w14:textId="77777777" w:rsidR="004B2EAA" w:rsidRDefault="00000000">
      <w:pPr>
        <w:spacing w:after="520"/>
        <w:jc w:val="center"/>
      </w:pPr>
      <w:r>
        <w:rPr>
          <w:rFonts w:cs="Cambria"/>
          <w:color w:val="5C6B78"/>
          <w:sz w:val="24"/>
        </w:rPr>
        <w:t>Boundary-measure-induced Local-CVT practical stability near a selected nondegenerate local branch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7488"/>
      </w:tblGrid>
      <w:tr w:rsidR="004B2EAA" w14:paraId="3B3A19D7" w14:textId="77777777">
        <w:trPr>
          <w:jc w:val="center"/>
        </w:trPr>
        <w:tc>
          <w:tcPr>
            <w:tcW w:w="1872" w:type="dxa"/>
            <w:shd w:val="clear" w:color="auto" w:fill="EAF2F8"/>
          </w:tcPr>
          <w:p w14:paraId="12B4717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7"/>
              </w:rPr>
              <w:t>Branch</w:t>
            </w:r>
          </w:p>
        </w:tc>
        <w:tc>
          <w:tcPr>
            <w:tcW w:w="7488" w:type="dxa"/>
            <w:shd w:val="clear" w:color="auto" w:fill="EAF2F8"/>
          </w:tcPr>
          <w:p w14:paraId="2F71C90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7"/>
              </w:rPr>
              <w:t>DBACT-research-v3</w:t>
            </w:r>
          </w:p>
        </w:tc>
      </w:tr>
      <w:tr w:rsidR="004B2EAA" w14:paraId="54CBA23A" w14:textId="77777777">
        <w:trPr>
          <w:jc w:val="center"/>
        </w:trPr>
        <w:tc>
          <w:tcPr>
            <w:tcW w:w="1872" w:type="dxa"/>
            <w:shd w:val="clear" w:color="auto" w:fill="EAF2F8"/>
          </w:tcPr>
          <w:p w14:paraId="3EFE1017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7"/>
              </w:rPr>
              <w:t>Baseline HEAD</w:t>
            </w:r>
          </w:p>
        </w:tc>
        <w:tc>
          <w:tcPr>
            <w:tcW w:w="7488" w:type="dxa"/>
            <w:shd w:val="clear" w:color="auto" w:fill="EAF2F8"/>
          </w:tcPr>
          <w:p w14:paraId="33BC2B0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7"/>
              </w:rPr>
              <w:t>64e1905e092d19fd9dcbf0e77fbd39f55f0562ba</w:t>
            </w:r>
          </w:p>
        </w:tc>
      </w:tr>
      <w:tr w:rsidR="004B2EAA" w14:paraId="7BE60493" w14:textId="77777777">
        <w:trPr>
          <w:jc w:val="center"/>
        </w:trPr>
        <w:tc>
          <w:tcPr>
            <w:tcW w:w="1872" w:type="dxa"/>
            <w:shd w:val="clear" w:color="auto" w:fill="EAF2F8"/>
          </w:tcPr>
          <w:p w14:paraId="231B807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7"/>
              </w:rPr>
              <w:t>Proof status</w:t>
            </w:r>
          </w:p>
        </w:tc>
        <w:tc>
          <w:tcPr>
            <w:tcW w:w="7488" w:type="dxa"/>
            <w:shd w:val="clear" w:color="auto" w:fill="EAF2F8"/>
          </w:tcPr>
          <w:p w14:paraId="711CE0B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7"/>
              </w:rPr>
              <w:t>Conditional local theorem; A8 interval certificate not supplied</w:t>
            </w:r>
          </w:p>
        </w:tc>
      </w:tr>
      <w:tr w:rsidR="004B2EAA" w14:paraId="3C7AF40B" w14:textId="77777777">
        <w:trPr>
          <w:jc w:val="center"/>
        </w:trPr>
        <w:tc>
          <w:tcPr>
            <w:tcW w:w="1872" w:type="dxa"/>
            <w:shd w:val="clear" w:color="auto" w:fill="EAF2F8"/>
          </w:tcPr>
          <w:p w14:paraId="424A86D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7"/>
              </w:rPr>
              <w:t>Wolfram</w:t>
            </w:r>
          </w:p>
        </w:tc>
        <w:tc>
          <w:tcPr>
            <w:tcW w:w="7488" w:type="dxa"/>
            <w:shd w:val="clear" w:color="auto" w:fill="EAF2F8"/>
          </w:tcPr>
          <w:p w14:paraId="4023E7A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7"/>
              </w:rPr>
              <w:t>Connector exact checks passed; 9 local scripts exit 0</w:t>
            </w:r>
          </w:p>
        </w:tc>
      </w:tr>
      <w:tr w:rsidR="004B2EAA" w14:paraId="3FFC42D6" w14:textId="77777777">
        <w:trPr>
          <w:jc w:val="center"/>
        </w:trPr>
        <w:tc>
          <w:tcPr>
            <w:tcW w:w="1872" w:type="dxa"/>
            <w:shd w:val="clear" w:color="auto" w:fill="EAF2F8"/>
          </w:tcPr>
          <w:p w14:paraId="53F125E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7"/>
              </w:rPr>
              <w:t>Regression</w:t>
            </w:r>
          </w:p>
        </w:tc>
        <w:tc>
          <w:tcPr>
            <w:tcW w:w="7488" w:type="dxa"/>
            <w:shd w:val="clear" w:color="auto" w:fill="EAF2F8"/>
          </w:tcPr>
          <w:p w14:paraId="654916C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7"/>
              </w:rPr>
              <w:t>477 passed, 3 skipped</w:t>
            </w:r>
          </w:p>
        </w:tc>
      </w:tr>
    </w:tbl>
    <w:p w14:paraId="4B9CE475" w14:textId="77777777" w:rsidR="004B2EAA" w:rsidRDefault="004B2EAA">
      <w:pPr>
        <w:spacing w:after="80"/>
      </w:pPr>
    </w:p>
    <w:p w14:paraId="5CF538BD" w14:textId="77777777" w:rsidR="004B2EAA" w:rsidRDefault="004B2EAA">
      <w:pPr>
        <w:spacing w:after="0"/>
      </w:pPr>
    </w:p>
    <w:p w14:paraId="468E9B81" w14:textId="77777777" w:rsidR="004B2EAA" w:rsidRDefault="00000000">
      <w:pPr>
        <w:spacing w:before="280" w:after="100"/>
        <w:jc w:val="center"/>
      </w:pPr>
      <w:r>
        <w:rPr>
          <w:rFonts w:ascii="Segoe UI" w:hAnsi="Segoe UI" w:cs="Segoe UI"/>
          <w:b/>
          <w:color w:val="2A6F97"/>
          <w:sz w:val="17"/>
        </w:rPr>
        <w:t>CLAIM BOUNDARY</w:t>
      </w:r>
    </w:p>
    <w:p w14:paraId="67F06C77" w14:textId="77777777" w:rsidR="004B2EAA" w:rsidRDefault="00000000">
      <w:pPr>
        <w:spacing w:after="120"/>
        <w:jc w:val="center"/>
      </w:pPr>
      <w:r>
        <w:rPr>
          <w:rFonts w:cs="Cambria"/>
          <w:b/>
          <w:color w:val="17324D"/>
          <w:sz w:val="21"/>
        </w:rPr>
        <w:t>No global PL. No formal caging. No finite-time phase completion. No unconditional safety or cooperative-transport success.</w:t>
      </w:r>
    </w:p>
    <w:p w14:paraId="0D7E11D0" w14:textId="77777777" w:rsidR="004B2EAA" w:rsidRDefault="00000000">
      <w:r>
        <w:br w:type="page"/>
      </w:r>
    </w:p>
    <w:p w14:paraId="387E005A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1. Scope and frozen claim</w:t>
      </w:r>
    </w:p>
    <w:p w14:paraId="54E0417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Bounded local-map disagreement and bounded reference variation imply practical stability of the boundary-induced Local-CVT allocation dynamics around a nondegenerate local CVT branch.</w:t>
      </w:r>
    </w:p>
    <w:p w14:paraId="3A3CDBC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agents are first-order,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, and the nominal ENCLOSE law is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nom</m:t>
            </m:r>
          </m:sup>
        </m:sSubSup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cs="Cambria"/>
          <w:color w:val="17212B"/>
        </w:rPr>
        <w:t xml:space="preserve">. The ideal objective is the </w:t>
      </w:r>
      <w:r>
        <w:rPr>
          <w:rFonts w:cs="Cambria"/>
          <w:i/>
          <w:color w:val="17212B"/>
        </w:rPr>
        <w:t>saturated</w:t>
      </w:r>
      <w:r>
        <w:rPr>
          <w:rFonts w:cs="Cambria"/>
          <w:color w:val="17212B"/>
        </w:rPr>
        <w:t xml:space="preserve"> limited-range coverage cost</w:t>
      </w:r>
    </w:p>
    <w:p w14:paraId="4BC8682A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(r)=min{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},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D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(‖q-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‖)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(q,t)dq</m:t>
          </m:r>
        </m:oMath>
      </m:oMathPara>
    </w:p>
    <w:p w14:paraId="6250EB4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Saturation is not cosmetic. With the unsaturated truncated cost </w:t>
      </w:r>
      <m:oMath>
        <m:nary>
          <m:naryPr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p>
            </m:sSubSup>
          </m:sub>
          <m:sup/>
          <m:e>
            <m:r>
              <w:rPr>
                <w:rFonts w:ascii="Cambria Math" w:hAnsi="Cambria Math"/>
              </w:rPr>
              <m:t>‖</m:t>
            </m:r>
          </m:e>
        </m:nary>
        <m:r>
          <w:rPr>
            <w:rFonts w:ascii="Cambria Math" w:hAnsi="Cambria Math"/>
          </w:rPr>
          <m:t>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‖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ϕ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dq</m:t>
        </m:r>
      </m:oMath>
      <w:r>
        <w:rPr>
          <w:rFonts w:cs="Cambria"/>
          <w:color w:val="17212B"/>
        </w:rPr>
        <w:t xml:space="preserve"> the integration domain moves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, and the Reynolds boundary term on the circle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 xml:space="preserve"> does not cancel; the standard CVT gradient identity is then false. Section 5 shows the cancellation that saturation buys.</w:t>
      </w:r>
    </w:p>
    <w:p w14:paraId="555FACDB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1.1 Deliberate exclusions</w:t>
      </w:r>
    </w:p>
    <w:p w14:paraId="52773D2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This supplement does not prove any of the following.</w:t>
      </w:r>
    </w:p>
    <w:p w14:paraId="4370E039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global CVT optimality, or convergence from arbitrary initial configurations;</w:t>
      </w:r>
    </w:p>
    <w:p w14:paraId="5C56BE40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finite-time SEARCH-to-HOLD completion;</w:t>
      </w:r>
    </w:p>
    <w:p w14:paraId="06CD8B66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geometric or topological caging;</w:t>
      </w:r>
    </w:p>
    <w:p w14:paraId="16697BFC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contact mechanics, or unconditional cooperative-transport success;</w:t>
      </w:r>
    </w:p>
    <w:p w14:paraId="67C6214D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CBF forward invariance when feasibility, speed-cap, or deviation contracts are violated;</w:t>
      </w:r>
    </w:p>
    <w:p w14:paraId="36F86E00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a uniform reduced-Hessian bound for an unspecified local branch.</w:t>
      </w:r>
    </w:p>
    <w:p w14:paraId="73A0C67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Collision safety is a separate result and is deliberately not a dependency of Theorem 1.</w:t>
      </w:r>
    </w:p>
    <w:p w14:paraId="79EAECF1" w14:textId="77777777" w:rsidR="004B2EAA" w:rsidRDefault="00000000">
      <w:r>
        <w:br w:type="page"/>
      </w:r>
    </w:p>
    <w:p w14:paraId="4490C36D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2. Notation</w:t>
      </w:r>
    </w:p>
    <w:p w14:paraId="00A5F967" w14:textId="77777777" w:rsidR="004B2EAA" w:rsidRDefault="00000000">
      <w:pPr>
        <w:spacing w:after="140" w:line="269" w:lineRule="auto"/>
        <w:jc w:val="both"/>
      </w:pPr>
      <m:oMath>
        <m:r>
          <w:rPr>
            <w:rFonts w:ascii="Cambria Math" w:hAnsi="Cambria Math"/>
          </w:rPr>
          <m:t>D⊂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cs="Cambria"/>
          <w:color w:val="17212B"/>
        </w:rPr>
        <w:t xml:space="preserve"> is a fixed compact rectangle of width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cs="Cambria"/>
          <w:color w:val="17212B"/>
        </w:rPr>
        <w:t xml:space="preserve"> and height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cs="Cambria"/>
          <w:color w:val="17212B"/>
        </w:rPr>
        <w:t xml:space="preserve">; </w:t>
      </w:r>
      <m:oMath>
        <m:r>
          <w:rPr>
            <w:rFonts w:ascii="Cambria Math" w:hAnsi="Cambria Math"/>
          </w:rPr>
          <m:t>P=(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2N</m:t>
            </m:r>
          </m:sup>
        </m:sSup>
      </m:oMath>
      <w:r>
        <w:rPr>
          <w:rFonts w:cs="Cambria"/>
          <w:color w:val="17212B"/>
        </w:rPr>
        <w:t xml:space="preserve"> stacks the agent positions. All spatial norms are Euclidean, and the stacked norm is the Euclidean product norm</w:t>
      </w:r>
    </w:p>
    <w:p w14:paraId="7A5D9EDC" w14:textId="77777777" w:rsidR="004B2EAA" w:rsidRDefault="00000000">
      <w:pPr>
        <w:spacing w:before="140" w:after="18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‖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chr m:val="∑"/>
                      <m:limLoc m:val="subSup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‖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4A451D6" w14:textId="77777777" w:rsidR="004B2EAA" w:rsidRDefault="00000000">
      <w:pPr>
        <w:spacing w:after="140" w:line="269" w:lineRule="auto"/>
        <w:jc w:val="both"/>
      </w:pPr>
      <m:oMath>
        <m:r>
          <w:rPr>
            <w:rFonts w:ascii="Cambria Math" w:hAnsi="Cambria Math"/>
          </w:rPr>
          <m:t>Γ(t)</m:t>
        </m:r>
      </m:oMath>
      <w:r>
        <w:rPr>
          <w:rFonts w:cs="Cambria"/>
          <w:color w:val="17212B"/>
        </w:rPr>
        <w:t xml:space="preserve"> is the true object boundary, with perimeter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Γ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, and </w:t>
      </w:r>
      <m:oMath>
        <m:r>
          <w:rPr>
            <w:rFonts w:ascii="Cambria Math" w:hAnsi="Cambria Math"/>
          </w:rPr>
          <m:t>ξ(s,t)</m:t>
        </m:r>
      </m:oMath>
      <w:r>
        <w:rPr>
          <w:rFonts w:cs="Cambria"/>
          <w:color w:val="17212B"/>
        </w:rPr>
        <w:t xml:space="preserve"> is the offset-boundary target parameterised by arc length </w:t>
      </w:r>
      <m:oMath>
        <m:r>
          <w:rPr>
            <w:rFonts w:ascii="Cambria Math" w:hAnsi="Cambria Math"/>
          </w:rPr>
          <m:t>s</m:t>
        </m:r>
      </m:oMath>
      <w:r>
        <w:rPr>
          <w:rFonts w:cs="Cambria"/>
          <w:color w:val="17212B"/>
        </w:rPr>
        <w:t>. The ideal boundary measure is the pushforward of arc length, and the ideal density is its Gaussian convolution above a positive floor:</w:t>
      </w:r>
    </w:p>
    <w:p w14:paraId="5EE4641E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=ξ(·,t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#</m:t>
              </m:r>
            </m:sub>
          </m:sSub>
          <m:r>
            <w:rPr>
              <w:rFonts w:ascii="Cambria Math" w:hAnsi="Cambria Math"/>
            </w:rPr>
            <m:t>ds,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(q,t)=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)(q)=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Γ(t)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</m:e>
          </m:nary>
          <m:r>
            <w:rPr>
              <w:rFonts w:ascii="Cambria Math" w:hAnsi="Cambria Math"/>
            </w:rPr>
            <m:t>(q-ξ(s,t))ds</m:t>
          </m:r>
        </m:oMath>
      </m:oMathPara>
    </w:p>
    <w:p w14:paraId="7AE1C9F5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kernel is the </w:t>
      </w:r>
      <w:r>
        <w:rPr>
          <w:rFonts w:cs="Cambria"/>
          <w:i/>
          <w:color w:val="17212B"/>
        </w:rPr>
        <w:t>unnormalised</w:t>
      </w:r>
      <w:r>
        <w:rPr>
          <w:rFonts w:cs="Cambria"/>
          <w:color w:val="17212B"/>
        </w:rPr>
        <w:t xml:space="preserve"> Gaussian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(x)=</m:t>
        </m:r>
        <m:r>
          <m:rPr>
            <m:sty m:val="p"/>
          </m:rPr>
          <w:rPr>
            <w:rFonts w:ascii="Cambria Math" w:hAnsi="Cambria Math"/>
          </w:rPr>
          <m:t>exp</m:t>
        </m:r>
        <m:r>
          <w:rPr>
            <w:rFonts w:ascii="Cambria Math" w:hAnsi="Cambria Math"/>
          </w:rPr>
          <m:t>(-‖x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‖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/(2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))</m:t>
        </m:r>
      </m:oMath>
      <w:r>
        <w:rPr>
          <w:rFonts w:cs="Cambria"/>
          <w:color w:val="17212B"/>
        </w:rPr>
        <w:t>. The local cell, its mass and its centroid are</w:t>
      </w:r>
    </w:p>
    <w:p w14:paraId="430DADE5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p>
          </m:sSubSup>
          <m:r>
            <w:rPr>
              <w:rFonts w:ascii="Cambria Math" w:hAnsi="Cambria Math"/>
            </w:rPr>
            <m:t>(P)=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Vor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(P)∩D∩B(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nary>
          <m:r>
            <w:rPr>
              <w:rFonts w:ascii="Cambria Math" w:hAnsi="Cambria Math"/>
            </w:rPr>
            <m:t>dq,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r>
                <w:rPr>
                  <w:rFonts w:ascii="Cambria Math" w:hAnsi="Cambria Math"/>
                </w:rPr>
                <m:t>q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(q,t)dq</m:t>
          </m:r>
        </m:oMath>
      </m:oMathPara>
    </w:p>
    <w:p w14:paraId="7ED507A0" w14:textId="77777777" w:rsidR="004B2EAA" w:rsidRDefault="00000000">
      <w:pPr>
        <w:spacing w:after="140" w:line="269" w:lineRule="auto"/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ϕ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 is agent </w:t>
      </w:r>
      <m:oMath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's mapped density,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 its numerically computed centroid,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(t)</m:t>
        </m:r>
      </m:oMath>
      <w:r>
        <w:rPr>
          <w:rFonts w:cs="Cambria"/>
          <w:color w:val="17212B"/>
        </w:rPr>
        <w:t xml:space="preserve"> the selected local minimiser branch inside a fixed compact regular tube </w:t>
      </w:r>
      <m:oMath>
        <m:r>
          <w:rPr>
            <w:rFonts w:ascii="Cambria Math" w:hAnsi="Cambria Math"/>
          </w:rPr>
          <m:t>X</m:t>
        </m:r>
      </m:oMath>
      <w:r>
        <w:rPr>
          <w:rFonts w:cs="Cambria"/>
          <w:color w:val="17212B"/>
        </w:rPr>
        <w:t>, and</w:t>
      </w:r>
    </w:p>
    <w:p w14:paraId="4D92725F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V(P,t)=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≥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sub>
              <m:r>
                <w:rPr>
                  <w:rFonts w:ascii="Cambria Math" w:hAnsi="Cambria Math"/>
                </w:rPr>
                <m:t>P∈X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</m:t>
          </m:r>
        </m:oMath>
      </m:oMathPara>
    </w:p>
    <w:p w14:paraId="063A7A10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2.1 Kernel constants</w:t>
      </w:r>
    </w:p>
    <w:p w14:paraId="0C69593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These three constants are used throughout; all are Wolfram-verified (entries W-RR-01 to W-RR-03) and derived in Step 1 of Lemma 1.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3B34A32E" w14:textId="77777777">
        <w:trPr>
          <w:jc w:val="center"/>
        </w:trPr>
        <w:tc>
          <w:tcPr>
            <w:tcW w:w="8928" w:type="dxa"/>
          </w:tcPr>
          <w:p w14:paraId="409106B9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=2π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r>
                  <w:rPr>
                    <w:rFonts w:ascii="Cambria Math" w:hAnsi="Cambria Math"/>
                  </w:rPr>
                  <m:t>‖∇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π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3/2</m:t>
                    </m:r>
                  </m:sup>
                </m:sSup>
                <m:r>
                  <w:rPr>
                    <w:rFonts w:ascii="Cambria Math" w:hAnsi="Cambria Math"/>
                  </w:rPr>
                  <m:t>σ,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r>
                  <w:rPr>
                    <w:rFonts w:ascii="Cambria Math" w:hAnsi="Cambria Math"/>
                  </w:rPr>
                  <m:t>‖∇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∞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-1/2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σ</m:t>
                    </m:r>
                  </m:den>
                </m:f>
              </m:oMath>
            </m:oMathPara>
          </w:p>
        </w:tc>
        <w:tc>
          <w:tcPr>
            <w:tcW w:w="1152" w:type="dxa"/>
          </w:tcPr>
          <w:p w14:paraId="16BBBC54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(K)</w:t>
            </w:r>
          </w:p>
        </w:tc>
      </w:tr>
    </w:tbl>
    <w:p w14:paraId="6D64EC2E" w14:textId="77777777" w:rsidR="004B2EAA" w:rsidRDefault="004B2EAA">
      <w:pPr>
        <w:spacing w:after="60"/>
      </w:pPr>
    </w:p>
    <w:p w14:paraId="53C5A40F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2.2 Units</w:t>
      </w:r>
    </w:p>
    <w:p w14:paraId="6033BD52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Arc length is in metres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</m:oMath>
      <w:r>
        <w:rPr>
          <w:rFonts w:cs="Cambria"/>
          <w:color w:val="17212B"/>
        </w:rPr>
        <w:t xml:space="preserve"> is dimensionless, so </w:t>
      </w:r>
      <m:oMath>
        <m:r>
          <w:rPr>
            <w:rFonts w:ascii="Cambria Math" w:hAnsi="Cambria Math"/>
          </w:rPr>
          <m:t>ϕ</m:t>
        </m:r>
      </m:oMath>
      <w:r>
        <w:rPr>
          <w:rFonts w:cs="Cambria"/>
          <w:color w:val="17212B"/>
        </w:rPr>
        <w:t xml:space="preserve"> has units of m, an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cs="Cambria"/>
          <w:color w:val="17212B"/>
        </w:rPr>
        <w:t xml:space="preserve"> density error and a cell mass have units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cs="Cambria"/>
          <w:color w:val="17212B"/>
        </w:rPr>
        <w:t xml:space="preserve">, a shifted first moment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cs="Cambria"/>
          <w:color w:val="17212B"/>
        </w:rPr>
        <w:t xml:space="preserve">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has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rPr>
          <w:rFonts w:cs="Cambria"/>
          <w:color w:val="17212B"/>
        </w:rPr>
        <w:t xml:space="preserve">, </w:t>
      </w:r>
      <m:oMath>
        <m:r>
          <w:rPr>
            <w:rFonts w:ascii="Cambria Math" w:hAnsi="Cambria Math"/>
          </w:rPr>
          <m:t>∇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has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rPr>
          <w:rFonts w:cs="Cambria"/>
          <w:color w:val="17212B"/>
        </w:rPr>
        <w:t xml:space="preserve">, and a command disturbance has </w:t>
      </w:r>
      <m:oMath>
        <m:r>
          <w:rPr>
            <w:rFonts w:ascii="Cambria Math" w:hAnsi="Cambria Math"/>
          </w:rPr>
          <m:t>m/s</m:t>
        </m:r>
      </m:oMath>
      <w:r>
        <w:rPr>
          <w:rFonts w:cs="Cambria"/>
          <w:color w:val="17212B"/>
        </w:rPr>
        <w:t>. The ledger in Appendix A carries the unit of every constant so that geometric length and density mass are never silently added.</w:t>
      </w:r>
    </w:p>
    <w:p w14:paraId="3BF2E5E1" w14:textId="77777777" w:rsidR="004B2EAA" w:rsidRDefault="00000000">
      <w:r>
        <w:br w:type="page"/>
      </w:r>
    </w:p>
    <w:p w14:paraId="7069C293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3. Assumptions A1-A10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"/>
        <w:gridCol w:w="5544"/>
        <w:gridCol w:w="3168"/>
      </w:tblGrid>
      <w:tr w:rsidR="004B2EAA" w14:paraId="4D02894F" w14:textId="77777777">
        <w:trPr>
          <w:tblHeader/>
          <w:jc w:val="center"/>
        </w:trPr>
        <w:tc>
          <w:tcPr>
            <w:tcW w:w="648" w:type="dxa"/>
            <w:shd w:val="clear" w:color="auto" w:fill="17324D"/>
          </w:tcPr>
          <w:p w14:paraId="245A7971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ID</w:t>
            </w:r>
          </w:p>
        </w:tc>
        <w:tc>
          <w:tcPr>
            <w:tcW w:w="5544" w:type="dxa"/>
            <w:shd w:val="clear" w:color="auto" w:fill="17324D"/>
          </w:tcPr>
          <w:p w14:paraId="3DF1973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Assumption</w:t>
            </w:r>
          </w:p>
        </w:tc>
        <w:tc>
          <w:tcPr>
            <w:tcW w:w="3168" w:type="dxa"/>
            <w:shd w:val="clear" w:color="auto" w:fill="17324D"/>
          </w:tcPr>
          <w:p w14:paraId="7843683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How it is discharged</w:t>
            </w:r>
          </w:p>
        </w:tc>
      </w:tr>
      <w:tr w:rsidR="004B2EAA" w14:paraId="67A4D403" w14:textId="77777777">
        <w:trPr>
          <w:jc w:val="center"/>
        </w:trPr>
        <w:tc>
          <w:tcPr>
            <w:tcW w:w="648" w:type="dxa"/>
          </w:tcPr>
          <w:p w14:paraId="755A687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A1</w:t>
            </w:r>
          </w:p>
        </w:tc>
        <w:tc>
          <w:tcPr>
            <w:tcW w:w="5544" w:type="dxa"/>
          </w:tcPr>
          <w:p w14:paraId="2867D74F" w14:textId="77777777" w:rsidR="004B2EAA" w:rsidRDefault="00000000">
            <w:pPr>
              <w:spacing w:before="60" w:after="60"/>
            </w:pPr>
            <m:oMath>
              <m:r>
                <w:rPr>
                  <w:rFonts w:ascii="Cambria Math" w:hAnsi="Cambria Math"/>
                </w:rPr>
                <m:t>D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is a fixed rectangle and the solution remains in a fixed compact configuration tube 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on the claimed interval.</w:t>
            </w:r>
          </w:p>
        </w:tc>
        <w:tc>
          <w:tcPr>
            <w:tcW w:w="3168" w:type="dxa"/>
          </w:tcPr>
          <w:p w14:paraId="32BBBF40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assumption / invariant-domain check</w:t>
            </w:r>
          </w:p>
        </w:tc>
      </w:tr>
      <w:tr w:rsidR="004B2EAA" w14:paraId="3EF9DF1B" w14:textId="77777777">
        <w:trPr>
          <w:jc w:val="center"/>
        </w:trPr>
        <w:tc>
          <w:tcPr>
            <w:tcW w:w="648" w:type="dxa"/>
            <w:shd w:val="clear" w:color="auto" w:fill="F6F8FA"/>
          </w:tcPr>
          <w:p w14:paraId="3966682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A2</w:t>
            </w:r>
          </w:p>
        </w:tc>
        <w:tc>
          <w:tcPr>
            <w:tcW w:w="5544" w:type="dxa"/>
            <w:shd w:val="clear" w:color="auto" w:fill="F6F8FA"/>
          </w:tcPr>
          <w:p w14:paraId="28B6A40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Pairwise separation is at least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&gt;0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and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comm</m:t>
                  </m:r>
                </m:sub>
              </m:sSub>
              <m:r>
                <w:rPr>
                  <w:rFonts w:ascii="Cambria Math" w:hAnsi="Cambria Math"/>
                </w:rPr>
                <m:t>≥2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>.</w:t>
            </w:r>
          </w:p>
        </w:tc>
        <w:tc>
          <w:tcPr>
            <w:tcW w:w="3168" w:type="dxa"/>
            <w:shd w:val="clear" w:color="auto" w:fill="F6F8FA"/>
          </w:tcPr>
          <w:p w14:paraId="01C007D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runtime certificate + config validator (fail-closed)</w:t>
            </w:r>
          </w:p>
        </w:tc>
      </w:tr>
      <w:tr w:rsidR="004B2EAA" w14:paraId="5ABAA586" w14:textId="77777777">
        <w:trPr>
          <w:jc w:val="center"/>
        </w:trPr>
        <w:tc>
          <w:tcPr>
            <w:tcW w:w="648" w:type="dxa"/>
          </w:tcPr>
          <w:p w14:paraId="12F0EF66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A3</w:t>
            </w:r>
          </w:p>
        </w:tc>
        <w:tc>
          <w:tcPr>
            <w:tcW w:w="5544" w:type="dxa"/>
          </w:tcPr>
          <w:p w14:paraId="401CC557" w14:textId="77777777" w:rsidR="004B2EAA" w:rsidRDefault="00000000">
            <w:pPr>
              <w:spacing w:before="60" w:after="60"/>
            </w:pPr>
            <m:oMath>
              <m:r>
                <w:rPr>
                  <w:rFonts w:ascii="Cambria Math" w:hAnsi="Cambria Math"/>
                </w:rPr>
                <m:t>Γ(t)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is closed and piecewise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with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>; version 1 uses a rigid boundary with bounded twist.</w:t>
            </w:r>
          </w:p>
        </w:tc>
        <w:tc>
          <w:tcPr>
            <w:tcW w:w="3168" w:type="dxa"/>
          </w:tcPr>
          <w:p w14:paraId="2ACB77A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assumption / scenario certificate</w:t>
            </w:r>
          </w:p>
        </w:tc>
      </w:tr>
      <w:tr w:rsidR="004B2EAA" w14:paraId="25E3B7AC" w14:textId="77777777">
        <w:trPr>
          <w:jc w:val="center"/>
        </w:trPr>
        <w:tc>
          <w:tcPr>
            <w:tcW w:w="648" w:type="dxa"/>
            <w:shd w:val="clear" w:color="auto" w:fill="F6F8FA"/>
          </w:tcPr>
          <w:p w14:paraId="456CEDA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A4</w:t>
            </w:r>
          </w:p>
        </w:tc>
        <w:tc>
          <w:tcPr>
            <w:tcW w:w="5544" w:type="dxa"/>
            <w:shd w:val="clear" w:color="auto" w:fill="F6F8FA"/>
          </w:tcPr>
          <w:p w14:paraId="7EE70A8B" w14:textId="77777777" w:rsidR="004B2EAA" w:rsidRDefault="00000000">
            <w:pPr>
              <w:spacing w:before="60" w:after="6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&gt;0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σ&gt;0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>, and the unnormalised Gaussian above is used.</w:t>
            </w:r>
          </w:p>
        </w:tc>
        <w:tc>
          <w:tcPr>
            <w:tcW w:w="3168" w:type="dxa"/>
            <w:shd w:val="clear" w:color="auto" w:fill="F6F8FA"/>
          </w:tcPr>
          <w:p w14:paraId="008C6AA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analytic + config</w:t>
            </w:r>
          </w:p>
        </w:tc>
      </w:tr>
      <w:tr w:rsidR="004B2EAA" w14:paraId="4B6565BD" w14:textId="77777777">
        <w:trPr>
          <w:jc w:val="center"/>
        </w:trPr>
        <w:tc>
          <w:tcPr>
            <w:tcW w:w="648" w:type="dxa"/>
          </w:tcPr>
          <w:p w14:paraId="2C0A0DC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A5</w:t>
            </w:r>
          </w:p>
        </w:tc>
        <w:tc>
          <w:tcPr>
            <w:tcW w:w="5544" w:type="dxa"/>
          </w:tcPr>
          <w:p w14:paraId="18BED3B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Map weights are nonnegative and a certificate supplies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voxel 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drop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and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as upper bounds.</w:t>
            </w:r>
          </w:p>
        </w:tc>
        <w:tc>
          <w:tcPr>
            <w:tcW w:w="3168" w:type="dxa"/>
          </w:tcPr>
          <w:p w14:paraId="6BCDA5F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runtime / offline certificate</w:t>
            </w:r>
          </w:p>
        </w:tc>
      </w:tr>
      <w:tr w:rsidR="004B2EAA" w14:paraId="0981753A" w14:textId="77777777">
        <w:trPr>
          <w:jc w:val="center"/>
        </w:trPr>
        <w:tc>
          <w:tcPr>
            <w:tcW w:w="648" w:type="dxa"/>
            <w:shd w:val="clear" w:color="auto" w:fill="F6F8FA"/>
          </w:tcPr>
          <w:p w14:paraId="0BFCD3E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A6</w:t>
            </w:r>
          </w:p>
        </w:tc>
        <w:tc>
          <w:tcPr>
            <w:tcW w:w="5544" w:type="dxa"/>
            <w:shd w:val="clear" w:color="auto" w:fill="F6F8FA"/>
          </w:tcPr>
          <w:p w14:paraId="7D5A59B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Local CVT uses a rectangular midpoint grid of side at most 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, and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>.</w:t>
            </w:r>
          </w:p>
        </w:tc>
        <w:tc>
          <w:tcPr>
            <w:tcW w:w="3168" w:type="dxa"/>
            <w:shd w:val="clear" w:color="auto" w:fill="F6F8FA"/>
          </w:tcPr>
          <w:p w14:paraId="0E31045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code contract + fail-closed test</w:t>
            </w:r>
          </w:p>
        </w:tc>
      </w:tr>
      <w:tr w:rsidR="004B2EAA" w14:paraId="1CD33A45" w14:textId="77777777">
        <w:trPr>
          <w:jc w:val="center"/>
        </w:trPr>
        <w:tc>
          <w:tcPr>
            <w:tcW w:w="648" w:type="dxa"/>
          </w:tcPr>
          <w:p w14:paraId="467AD4D6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A7</w:t>
            </w:r>
          </w:p>
        </w:tc>
        <w:tc>
          <w:tcPr>
            <w:tcW w:w="5544" w:type="dxa"/>
          </w:tcPr>
          <w:p w14:paraId="7143FA5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Gap, frontier and transport density biases are disabled in theorem mode, or their stacked command effect is included in </w:t>
            </w:r>
            <m:oMath>
              <m:r>
                <w:rPr>
                  <w:rFonts w:ascii="Cambria Math" w:hAnsi="Cambria Math"/>
                </w:rPr>
                <m:t>δ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>.</w:t>
            </w:r>
          </w:p>
        </w:tc>
        <w:tc>
          <w:tcPr>
            <w:tcW w:w="3168" w:type="dxa"/>
          </w:tcPr>
          <w:p w14:paraId="57E8E62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config + perturbation ledger</w:t>
            </w:r>
          </w:p>
        </w:tc>
      </w:tr>
      <w:tr w:rsidR="004B2EAA" w14:paraId="6B7822A5" w14:textId="77777777">
        <w:trPr>
          <w:jc w:val="center"/>
        </w:trPr>
        <w:tc>
          <w:tcPr>
            <w:tcW w:w="648" w:type="dxa"/>
            <w:shd w:val="clear" w:color="auto" w:fill="F6F8FA"/>
          </w:tcPr>
          <w:p w14:paraId="6E6F2E7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A8</w:t>
            </w:r>
          </w:p>
        </w:tc>
        <w:tc>
          <w:tcPr>
            <w:tcW w:w="5544" w:type="dxa"/>
            <w:shd w:val="clear" w:color="auto" w:fill="F6F8FA"/>
          </w:tcPr>
          <w:p w14:paraId="3A55D342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On a symmetry-reduced convex chart of the selected branch,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∇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red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hAnsi="Cambria Math"/>
                </w:rPr>
                <m:t>(z,t)⪰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uniformly,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&gt;0</m:t>
              </m:r>
            </m:oMath>
            <w:r>
              <w:rPr>
                <w:rFonts w:ascii="Segoe UI" w:hAnsi="Segoe UI" w:cs="Segoe UI"/>
                <w:color w:val="17212B"/>
                <w:sz w:val="16"/>
              </w:rPr>
              <w:t>.</w:t>
            </w:r>
          </w:p>
        </w:tc>
        <w:tc>
          <w:tcPr>
            <w:tcW w:w="3168" w:type="dxa"/>
            <w:shd w:val="clear" w:color="auto" w:fill="F6F8FA"/>
          </w:tcPr>
          <w:p w14:paraId="099670F5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CONDITIONAL - no interval certificate supplied</w:t>
            </w:r>
          </w:p>
        </w:tc>
      </w:tr>
      <w:tr w:rsidR="004B2EAA" w14:paraId="05AE672D" w14:textId="77777777">
        <w:trPr>
          <w:jc w:val="center"/>
        </w:trPr>
        <w:tc>
          <w:tcPr>
            <w:tcW w:w="648" w:type="dxa"/>
          </w:tcPr>
          <w:p w14:paraId="7AD60441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A9</w:t>
            </w:r>
          </w:p>
        </w:tc>
        <w:tc>
          <w:tcPr>
            <w:tcW w:w="5544" w:type="dxa"/>
          </w:tcPr>
          <w:p w14:paraId="7F6E3C9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Voronoi ties and the threshold set </w:t>
            </w:r>
            <m:oMath>
              <m:r>
                <w:rPr>
                  <w:rFonts w:ascii="Cambria Math" w:hAnsi="Cambria Math"/>
                </w:rPr>
                <m:t>‖q-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‖=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have measure zero, and the solution stays on one regular branch tube.</w:t>
            </w:r>
          </w:p>
        </w:tc>
        <w:tc>
          <w:tcPr>
            <w:tcW w:w="3168" w:type="dxa"/>
          </w:tcPr>
          <w:p w14:paraId="4317DE0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local theorem assumption</w:t>
            </w:r>
          </w:p>
        </w:tc>
      </w:tr>
      <w:tr w:rsidR="004B2EAA" w14:paraId="1E57E62D" w14:textId="77777777">
        <w:trPr>
          <w:jc w:val="center"/>
        </w:trPr>
        <w:tc>
          <w:tcPr>
            <w:tcW w:w="648" w:type="dxa"/>
            <w:shd w:val="clear" w:color="auto" w:fill="F6F8FA"/>
          </w:tcPr>
          <w:p w14:paraId="0EB8E3A5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17212B"/>
                <w:sz w:val="16"/>
              </w:rPr>
              <w:t>A10</w:t>
            </w:r>
          </w:p>
        </w:tc>
        <w:tc>
          <w:tcPr>
            <w:tcW w:w="5544" w:type="dxa"/>
            <w:shd w:val="clear" w:color="auto" w:fill="F6F8FA"/>
          </w:tcPr>
          <w:p w14:paraId="6601F08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ZOH, numerical, tracking and safety-filter deviations from the ideal field have certified stacked-norm bounds.</w:t>
            </w:r>
          </w:p>
        </w:tc>
        <w:tc>
          <w:tcPr>
            <w:tcW w:w="3168" w:type="dxa"/>
            <w:shd w:val="clear" w:color="auto" w:fill="F6F8FA"/>
          </w:tcPr>
          <w:p w14:paraId="73765997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analytic + runtime certificate</w:t>
            </w:r>
          </w:p>
        </w:tc>
      </w:tr>
    </w:tbl>
    <w:p w14:paraId="2D260A9D" w14:textId="77777777" w:rsidR="004B2EAA" w:rsidRDefault="004B2EAA">
      <w:pPr>
        <w:spacing w:after="80"/>
      </w:pPr>
    </w:p>
    <w:p w14:paraId="277200B4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STATUS OF THE ASSUMPTION SET</w:t>
      </w:r>
    </w:p>
    <w:p w14:paraId="5B91C0CC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 xml:space="preserve">The implication A1-A10 </w:t>
      </w:r>
      <m:oMath>
        <m:r>
          <w:rPr>
            <w:rFonts w:ascii="Cambria Math" w:hAnsi="Cambria Math"/>
          </w:rPr>
          <m:t>⇒</m:t>
        </m:r>
      </m:oMath>
      <w:r>
        <w:rPr>
          <w:rFonts w:cs="Cambria"/>
          <w:color w:val="17212B"/>
          <w:sz w:val="18"/>
        </w:rPr>
        <w:t xml:space="preserve"> Theorem 1 is proved. A5, A8, A9 and A10 are not facts about every run: they are explicit assumptions and certificate gates. The result is therefore a complete conditional local theorem, not an unconditional system-success claim.</w:t>
      </w:r>
    </w:p>
    <w:p w14:paraId="019E2FEC" w14:textId="77777777" w:rsidR="004B2EAA" w:rsidRDefault="00000000">
      <w:r>
        <w:br w:type="page"/>
      </w:r>
    </w:p>
    <w:p w14:paraId="2CA13419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4. Lemma 1 - boundary and map to density consistency</w:t>
      </w:r>
    </w:p>
    <w:p w14:paraId="3F5861E0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4.1 Statement</w:t>
      </w:r>
    </w:p>
    <w:p w14:paraId="3CAF959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Assume A3-A5, let the arc partition satisfy </w:t>
      </w:r>
      <m:oMath>
        <m:r>
          <w:rPr>
            <w:rFonts w:ascii="Cambria Math" w:hAnsi="Cambria Math"/>
          </w:rPr>
          <m:t>0≤Δ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cs="Cambria"/>
          <w:color w:val="17212B"/>
        </w:rPr>
        <w:t xml:space="preserve">, and suppose every source discarded by the restriction step is at least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σ</m:t>
        </m:r>
      </m:oMath>
      <w:r>
        <w:rPr>
          <w:rFonts w:cs="Cambria"/>
          <w:color w:val="17212B"/>
        </w:rPr>
        <w:t xml:space="preserve"> away from every query point in </w:t>
      </w:r>
      <m:oMath>
        <m:r>
          <w:rPr>
            <w:rFonts w:ascii="Cambria Math" w:hAnsi="Cambria Math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)∩D</m:t>
        </m:r>
      </m:oMath>
      <w:r>
        <w:rPr>
          <w:rFonts w:cs="Cambria"/>
          <w:color w:val="17212B"/>
        </w:rPr>
        <w:t>. Define the target, weight and tail errors</w:t>
      </w:r>
    </w:p>
    <w:p w14:paraId="370AC7D4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ξ,i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b,i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d,i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n,i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x,i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ξ,i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v</m:t>
          </m:r>
        </m:oMath>
      </m:oMathPara>
    </w:p>
    <w:p w14:paraId="33A0E12A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w,i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miss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spur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matched</m:t>
              </m:r>
            </m:sub>
            <m:sup/>
            <m:e>
              <m:r>
                <w:rPr>
                  <w:rFonts w:ascii="Cambria Math" w:hAnsi="Cambria Math"/>
                </w:rPr>
                <m:t>|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w:rPr>
              <w:rFonts w:ascii="Cambria Math" w:hAnsi="Cambria Math"/>
            </w:rPr>
            <m:t>-Δ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</m:t>
          </m:r>
        </m:oMath>
      </m:oMathPara>
    </w:p>
    <w:p w14:paraId="3DEAD73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34C8C0B0" w14:textId="77777777">
        <w:trPr>
          <w:jc w:val="center"/>
        </w:trPr>
        <w:tc>
          <w:tcPr>
            <w:tcW w:w="8928" w:type="dxa"/>
          </w:tcPr>
          <w:p w14:paraId="754FDD81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(B(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)∩D)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≤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ϕ,i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:=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K,1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ξ,i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v+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+2π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w,i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tail</m:t>
                    </m:r>
                    <m:r>
                      <w:rPr>
                        <w:rFonts w:ascii="Cambria Math" w:hAnsi="Cambria Math"/>
                      </w:rPr>
                      <m:t>,i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13F18D5C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(L1)</w:t>
            </w:r>
          </w:p>
        </w:tc>
      </w:tr>
    </w:tbl>
    <w:p w14:paraId="1494F79B" w14:textId="77777777" w:rsidR="004B2EAA" w:rsidRDefault="004B2EAA">
      <w:pPr>
        <w:spacing w:after="60"/>
      </w:pPr>
    </w:p>
    <w:p w14:paraId="31EBBCB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K,1</m:t>
            </m:r>
          </m:sub>
        </m:sSub>
        <m:r>
          <w:rPr>
            <w:rFonts w:ascii="Cambria Math" w:hAnsi="Cambria Math"/>
          </w:rPr>
          <m:t>:=‖∇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‖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cs="Cambria"/>
          <w:color w:val="17212B"/>
        </w:rPr>
        <w:t xml:space="preserve"> and</w:t>
      </w:r>
    </w:p>
    <w:p w14:paraId="3BB3964B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tail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drop</m:t>
              </m:r>
              <m:r>
                <w:rPr>
                  <w:rFonts w:ascii="Cambria Math" w:hAnsi="Cambria Math"/>
                </w:rPr>
                <m:t>,i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/2</m:t>
              </m:r>
            </m:sup>
          </m:sSup>
        </m:oMath>
      </m:oMathPara>
    </w:p>
    <w:p w14:paraId="73997E9B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WHY THREE MEASURES</w:t>
      </w:r>
    </w:p>
    <w:p w14:paraId="629AE576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>The comparison is made after convolution, through an exact discrete intermediate measure. It is never claimed that a continuous arc-length measure converges to a sum of Dirac masses in total variation - that statement is false.</w:t>
      </w:r>
    </w:p>
    <w:p w14:paraId="6B61C219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h,t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ξ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</m:sub>
          </m:sSub>
        </m:oMath>
      </m:oMathPara>
    </w:p>
    <w:p w14:paraId="206017F2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4.2 Proof</w:t>
      </w:r>
    </w:p>
    <w:p w14:paraId="218350E5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1. The three kernel constants</w:t>
      </w:r>
    </w:p>
    <w:p w14:paraId="45C31A96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 mass separates into one-dimensional Gaussians:</w:t>
      </w:r>
    </w:p>
    <w:p w14:paraId="68DFCB93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-‖x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‖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/(2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)</m:t>
                  </m:r>
                </m:sup>
              </m:sSup>
            </m:e>
          </m:nary>
          <m:r>
            <w:rPr>
              <w:rFonts w:ascii="Cambria Math" w:hAnsi="Cambria Math"/>
            </w:rPr>
            <m:t>dx=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nary>
                    <m:naryPr>
                      <m:limLoc m:val="subSup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R</m:t>
                      </m:r>
                    </m:sub>
                    <m:sup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/(2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sup>
                      </m:sSup>
                    </m:e>
                  </m:nary>
                  <m:r>
                    <w:rPr>
                      <w:rFonts w:ascii="Cambria Math" w:hAnsi="Cambria Math"/>
                    </w:rPr>
                    <m:t>dx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=(σ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2π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=2π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C91B37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Since </w:t>
      </w:r>
      <m:oMath>
        <m: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(x)=-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(x)</m:t>
        </m:r>
      </m:oMath>
      <w:r>
        <w:rPr>
          <w:rFonts w:cs="Cambria"/>
          <w:color w:val="17212B"/>
        </w:rPr>
        <w:t xml:space="preserve">, its magnitude is radial, </w:t>
      </w:r>
      <m:oMath>
        <m:r>
          <w:rPr>
            <w:rFonts w:ascii="Cambria Math" w:hAnsi="Cambria Math"/>
          </w:rPr>
          <m:t>‖∇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(x)‖=(r/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/(2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sup>
        </m:sSup>
      </m:oMath>
      <w:r>
        <w:rPr>
          <w:rFonts w:cs="Cambria"/>
          <w:color w:val="17212B"/>
        </w:rPr>
        <w:t xml:space="preserve"> with </w:t>
      </w:r>
      <m:oMath>
        <m:r>
          <w:rPr>
            <w:rFonts w:ascii="Cambria Math" w:hAnsi="Cambria Math"/>
          </w:rPr>
          <m:t>r=‖x‖</m:t>
        </m:r>
      </m:oMath>
      <w:r>
        <w:rPr>
          <w:rFonts w:cs="Cambria"/>
          <w:color w:val="17212B"/>
        </w:rPr>
        <w:t>. Integrating in polar coordinates,</w:t>
      </w:r>
    </w:p>
    <w:p w14:paraId="2C9FFAF6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‖∇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/(2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>2πrdr=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/(2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>dr=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π</m:t>
              </m:r>
            </m:e>
            <m:sup>
              <m:r>
                <w:rPr>
                  <w:rFonts w:ascii="Cambria Math" w:hAnsi="Cambria Math"/>
                </w:rPr>
                <m:t>3/2</m:t>
              </m:r>
            </m:sup>
          </m:sSup>
          <m:r>
            <w:rPr>
              <w:rFonts w:ascii="Cambria Math" w:hAnsi="Cambria Math"/>
            </w:rPr>
            <m:t>σ</m:t>
          </m:r>
        </m:oMath>
      </m:oMathPara>
    </w:p>
    <w:p w14:paraId="106B718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For the sup-norm, write </w:t>
      </w:r>
      <m:oMath>
        <m:r>
          <w:rPr>
            <w:rFonts w:ascii="Cambria Math" w:hAnsi="Cambria Math"/>
          </w:rPr>
          <m:t>g(r)=(r/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/(2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)</m:t>
            </m:r>
          </m:sup>
        </m:sSup>
      </m:oMath>
      <w:r>
        <w:rPr>
          <w:rFonts w:cs="Cambria"/>
          <w:color w:val="17212B"/>
        </w:rPr>
        <w:t>. Then</w:t>
      </w:r>
    </w:p>
    <w:p w14:paraId="04EF30CC" w14:textId="77777777" w:rsidR="004B2EAA" w:rsidRDefault="00000000">
      <w:pPr>
        <w:spacing w:before="140" w:after="18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(r)=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/(2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⟺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r=σ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(r&gt;0)</m:t>
          </m:r>
        </m:oMath>
      </m:oMathPara>
    </w:p>
    <w:p w14:paraId="672FB309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and </w:t>
      </w:r>
      <m:oMath>
        <m:r>
          <w:rPr>
            <w:rFonts w:ascii="Cambria Math" w:hAnsi="Cambria Math"/>
          </w:rPr>
          <m:t>g(0)=0</m:t>
        </m:r>
      </m:oMath>
      <w:r>
        <w:rPr>
          <w:rFonts w:cs="Cambria"/>
          <w:color w:val="17212B"/>
        </w:rPr>
        <w:t xml:space="preserve">, </w:t>
      </w:r>
      <m:oMath>
        <m:r>
          <w:rPr>
            <w:rFonts w:ascii="Cambria Math" w:hAnsi="Cambria Math"/>
          </w:rPr>
          <m:t>g(r)→0</m:t>
        </m:r>
      </m:oMath>
      <w:r>
        <w:rPr>
          <w:rFonts w:cs="Cambria"/>
          <w:color w:val="17212B"/>
        </w:rPr>
        <w:t xml:space="preserve"> as </w:t>
      </w:r>
      <m:oMath>
        <m:r>
          <w:rPr>
            <w:rFonts w:ascii="Cambria Math" w:hAnsi="Cambria Math"/>
          </w:rPr>
          <m:t>r→∞</m:t>
        </m:r>
      </m:oMath>
      <w:r>
        <w:rPr>
          <w:rFonts w:cs="Cambria"/>
          <w:color w:val="17212B"/>
        </w:rPr>
        <w:t>, so the interior stationary point is the maximum:</w:t>
      </w:r>
    </w:p>
    <w:p w14:paraId="2BF45190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‖∇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=g(σ)=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σ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-1/2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-1/2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14:paraId="56E9CD5D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lastRenderedPageBreak/>
        <w:t xml:space="preserve">Step 2. Translation inequality 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</w:p>
    <w:p w14:paraId="627850A2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This is the workhorse of the whole lemma: moving a source by a distance costs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∇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cs="Cambria"/>
          <w:color w:val="17212B"/>
        </w:rPr>
        <w:t xml:space="preserve"> times that distance, in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cs="Cambria"/>
          <w:color w:val="17212B"/>
        </w:rPr>
        <w:t xml:space="preserve">. For </w:t>
      </w:r>
      <m:oMath>
        <m:r>
          <w:rPr>
            <w:rFonts w:ascii="Cambria Math" w:hAnsi="Cambria Math"/>
          </w:rPr>
          <m:t>a,b∈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cs="Cambria"/>
          <w:color w:val="17212B"/>
        </w:rPr>
        <w:t xml:space="preserve"> the fundamental theorem of calculus along the segment </w:t>
      </w:r>
      <m:oMath>
        <m:r>
          <w:rPr>
            <w:rFonts w:ascii="Cambria Math" w:hAnsi="Cambria Math"/>
          </w:rPr>
          <m:t>τ↦b+τ(a-b)</m:t>
        </m:r>
      </m:oMath>
      <w:r>
        <w:rPr>
          <w:rFonts w:cs="Cambria"/>
          <w:color w:val="17212B"/>
        </w:rPr>
        <w:t xml:space="preserve"> gives</w:t>
      </w:r>
    </w:p>
    <w:p w14:paraId="3CBA4D9D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(x-a)-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(x-b)=-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r>
                <w:rPr>
                  <w:rFonts w:ascii="Cambria Math" w:hAnsi="Cambria Math"/>
                </w:rPr>
                <m:t>∇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(x-b-τ(a-b))·(a-b)dτ</m:t>
          </m:r>
        </m:oMath>
      </m:oMathPara>
    </w:p>
    <w:p w14:paraId="5240560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Taking absolute values, integrating in </w:t>
      </w:r>
      <m:oMath>
        <m:r>
          <w:rPr>
            <w:rFonts w:ascii="Cambria Math" w:hAnsi="Cambria Math"/>
          </w:rPr>
          <m:t>x</m:t>
        </m:r>
      </m:oMath>
      <w:r>
        <w:rPr>
          <w:rFonts w:cs="Cambria"/>
          <w:color w:val="17212B"/>
        </w:rPr>
        <w:t xml:space="preserve"> and exchanging the order of integration by Tonelli (the integrand is nonnegative),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231202A3" w14:textId="77777777">
        <w:trPr>
          <w:jc w:val="center"/>
        </w:trPr>
        <w:tc>
          <w:tcPr>
            <w:tcW w:w="8928" w:type="dxa"/>
          </w:tcPr>
          <w:p w14:paraId="09321EA5" w14:textId="77777777" w:rsidR="004B2EAA" w:rsidRDefault="00000000">
            <w:pPr>
              <w:spacing w:before="100" w:after="100"/>
              <w:jc w:val="center"/>
            </w:pPr>
            <m:oMathPara>
              <m:oMath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(·-a)-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(·-b)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‖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≤‖a-b‖</m:t>
                    </m:r>
                    <m:nary>
                      <m:naryPr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/>
                    </m:nary>
                    <m:nary>
                      <m:naryPr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cr m:val="double-struck"/>
                              </m:rP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‖</m:t>
                        </m:r>
                      </m:e>
                    </m:nary>
                    <m:r>
                      <w:rPr>
                        <w:rFonts w:ascii="Cambria Math" w:hAnsi="Cambria Math"/>
                      </w:rPr>
                      <m:t>∇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(x-b-τ(a-b))‖dxdτ=‖∇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‖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‖a-b</m:t>
                    </m:r>
                  </m:e>
                </m:d>
              </m:oMath>
            </m:oMathPara>
          </w:p>
        </w:tc>
        <w:tc>
          <w:tcPr>
            <w:tcW w:w="1152" w:type="dxa"/>
          </w:tcPr>
          <w:p w14:paraId="62CE6553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(T)</w:t>
            </w:r>
          </w:p>
        </w:tc>
      </w:tr>
    </w:tbl>
    <w:p w14:paraId="04FBE6C2" w14:textId="77777777" w:rsidR="004B2EAA" w:rsidRDefault="004B2EAA">
      <w:pPr>
        <w:spacing w:after="60"/>
      </w:pPr>
    </w:p>
    <w:p w14:paraId="4ED0552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inner integral being translation-invariant and therefore equal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∇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cs="Cambria"/>
          <w:color w:val="17212B"/>
        </w:rPr>
        <w:t xml:space="preserve"> for every </w:t>
      </w:r>
      <m:oMath>
        <m:r>
          <w:rPr>
            <w:rFonts w:ascii="Cambria Math" w:hAnsi="Cambria Math"/>
          </w:rPr>
          <m:t>τ</m:t>
        </m:r>
      </m:oMath>
      <w:r>
        <w:rPr>
          <w:rFonts w:cs="Cambria"/>
          <w:color w:val="17212B"/>
        </w:rPr>
        <w:t>.</w:t>
      </w:r>
    </w:p>
    <w:p w14:paraId="295F873F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3. Target error</w:t>
      </w:r>
    </w:p>
    <w:p w14:paraId="50D439B4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With </w:t>
      </w:r>
      <m:oMath>
        <m:r>
          <w:rPr>
            <w:rFonts w:ascii="Cambria Math" w:hAnsi="Cambria Math"/>
          </w:rPr>
          <m:t>ξ=b+dn</m:t>
        </m:r>
      </m:oMath>
      <w:r>
        <w:rPr>
          <w:rFonts w:cs="Cambria"/>
          <w:color w:val="17212B"/>
        </w:rPr>
        <w:t xml:space="preserve"> and the observed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ξ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+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d</m:t>
            </m:r>
          </m:e>
        </m:acc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n</m:t>
            </m:r>
          </m:e>
        </m:acc>
      </m:oMath>
      <w:r>
        <w:rPr>
          <w:rFonts w:cs="Cambria"/>
          <w:color w:val="17212B"/>
        </w:rPr>
        <w:t>, the triangle inequality gives</w:t>
      </w:r>
    </w:p>
    <w:p w14:paraId="78B6829B" w14:textId="77777777" w:rsidR="004B2EAA" w:rsidRDefault="00000000">
      <w:pPr>
        <w:spacing w:before="140" w:after="180"/>
        <w:jc w:val="center"/>
      </w:pPr>
      <m:oMathPara>
        <m:oMath>
          <m:d>
            <m:dPr>
              <m:begChr m:val="‖"/>
              <m:endChr m:val="‖"/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  <m:r>
                <w:rPr>
                  <w:rFonts w:ascii="Cambria Math" w:hAnsi="Cambria Math"/>
                </w:rPr>
                <m:t>-ξ‖≤‖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  <m:r>
                <w:rPr>
                  <w:rFonts w:ascii="Cambria Math" w:hAnsi="Cambria Math"/>
                </w:rPr>
                <m:t>-b‖+|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acc>
              <m:r>
                <w:rPr>
                  <w:rFonts w:ascii="Cambria Math" w:hAnsi="Cambria Math"/>
                </w:rPr>
                <m:t>-d|+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‖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  <m:r>
                <w:rPr>
                  <w:rFonts w:ascii="Cambria Math" w:hAnsi="Cambria Math"/>
                </w:rPr>
                <m:t>-n</m:t>
              </m:r>
            </m:e>
          </m:d>
        </m:oMath>
      </m:oMathPara>
    </w:p>
    <w:p w14:paraId="0CBD7AC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Both normals are unit vectors, so if they subtend an angle </w:t>
      </w:r>
      <m:oMath>
        <m:r>
          <w:rPr>
            <w:rFonts w:ascii="Cambria Math" w:hAnsi="Cambria Math"/>
          </w:rPr>
          <m:t>θ</m:t>
        </m:r>
      </m:oMath>
      <w:r>
        <w:rPr>
          <w:rFonts w:cs="Cambria"/>
          <w:color w:val="17212B"/>
        </w:rPr>
        <w:t xml:space="preserve"> then</w:t>
      </w:r>
    </w:p>
    <w:p w14:paraId="5C1D0C79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-n‖=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2-2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r>
                <w:rPr>
                  <w:rFonts w:ascii="Cambria Math" w:hAnsi="Cambria Math"/>
                </w:rPr>
                <m:t>θ</m:t>
              </m:r>
            </m:e>
          </m:rad>
          <m:r>
            <w:rPr>
              <w:rFonts w:ascii="Cambria Math" w:hAnsi="Cambria Math"/>
            </w:rPr>
            <m:t>=2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θ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0≤θ≤π</m:t>
          </m:r>
        </m:oMath>
      </m:oMathPara>
    </w:p>
    <w:p w14:paraId="61745D6A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which is monotone in </w:t>
      </w:r>
      <m:oMath>
        <m:r>
          <w:rPr>
            <w:rFonts w:ascii="Cambria Math" w:hAnsi="Cambria Math"/>
          </w:rPr>
          <m:t>θ</m:t>
        </m:r>
      </m:oMath>
      <w:r>
        <w:rPr>
          <w:rFonts w:cs="Cambria"/>
          <w:color w:val="17212B"/>
        </w:rPr>
        <w:t xml:space="preserve">; substituting </w:t>
      </w:r>
      <m:oMath>
        <m:r>
          <w:rPr>
            <w:rFonts w:ascii="Cambria Math" w:hAnsi="Cambria Math"/>
          </w:rPr>
          <m:t>θ≤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cs="Cambria"/>
          <w:color w:val="17212B"/>
        </w:rPr>
        <w:t xml:space="preserve"> yields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ξ</m:t>
            </m:r>
          </m:sub>
        </m:sSub>
      </m:oMath>
      <w:r>
        <w:rPr>
          <w:rFonts w:cs="Cambria"/>
          <w:color w:val="17212B"/>
        </w:rPr>
        <w:t xml:space="preserve">. Replacing a target by a representative of the same square voxel of side </w:t>
      </w:r>
      <m:oMath>
        <m:r>
          <w:rPr>
            <w:rFonts w:ascii="Cambria Math" w:hAnsi="Cambria Math"/>
          </w:rPr>
          <m:t>v</m:t>
        </m:r>
      </m:oMath>
      <w:r>
        <w:rPr>
          <w:rFonts w:cs="Cambria"/>
          <w:color w:val="17212B"/>
        </w:rPr>
        <w:t xml:space="preserve"> moves it by at most the voxel diagonal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w:rPr>
            <w:rFonts w:ascii="Cambria Math" w:hAnsi="Cambria Math"/>
          </w:rPr>
          <m:t>v</m:t>
        </m:r>
      </m:oMath>
      <w:r>
        <w:rPr>
          <w:rFonts w:cs="Cambria"/>
          <w:color w:val="17212B"/>
        </w:rPr>
        <w:t xml:space="preserve">, which gives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ξ</m:t>
            </m:r>
          </m:sub>
        </m:sSub>
        <m:r>
          <w:rPr>
            <w:rFonts w:ascii="Cambria Math" w:hAnsi="Cambria Math"/>
          </w:rPr>
          <m:t>+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w:rPr>
            <w:rFonts w:ascii="Cambria Math" w:hAnsi="Cambria Math"/>
          </w:rPr>
          <m:t>v</m:t>
        </m:r>
      </m:oMath>
      <w:r>
        <w:rPr>
          <w:rFonts w:cs="Cambria"/>
          <w:color w:val="17212B"/>
        </w:rPr>
        <w:t>.</w:t>
      </w:r>
    </w:p>
    <w:p w14:paraId="48309515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SCOPE OF THE VOXEL TERM</w:t>
      </w:r>
    </w:p>
    <w:p w14:paraId="0AD41DD9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r>
          <w:rPr>
            <w:rFonts w:ascii="Cambria Math" w:hAnsi="Cambria Math"/>
          </w:rPr>
          <m:t>v</m:t>
        </m:r>
      </m:oMath>
      <w:r>
        <w:rPr>
          <w:rFonts w:cs="Cambria"/>
          <w:color w:val="17212B"/>
          <w:sz w:val="18"/>
        </w:rPr>
        <w:t xml:space="preserve"> is valid only while the fused representative stays inside its own voxel. If the fusion law can move it outside, the bound must be re-derived from that law; it must not be reused as written.</w:t>
      </w:r>
    </w:p>
    <w:p w14:paraId="0689D1CC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4. Curve quadrature</w:t>
      </w:r>
    </w:p>
    <w:p w14:paraId="704228E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Compare the exact discrete measure with the continuous one. On arc </w:t>
      </w:r>
      <m:oMath>
        <m:r>
          <w:rPr>
            <w:rFonts w:ascii="Cambria Math" w:hAnsi="Cambria Math"/>
          </w:rPr>
          <m:t>k</m:t>
        </m:r>
      </m:oMath>
      <w:r>
        <w:rPr>
          <w:rFonts w:cs="Cambria"/>
          <w:color w:val="17212B"/>
        </w:rPr>
        <w:t xml:space="preserve">, of length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cs="Cambria"/>
          <w:color w:val="17212B"/>
        </w:rPr>
        <w:t xml:space="preserve"> and with representative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cs="Cambria"/>
          <w:color w:val="17212B"/>
        </w:rPr>
        <w:t>,</w:t>
      </w:r>
    </w:p>
    <w:p w14:paraId="3528A6D9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sub>
                <m:sup/>
                <m:e>
                  <m:r>
                    <w:rPr>
                      <w:rFonts w:ascii="Cambria Math" w:hAnsi="Cambria Math"/>
                    </w:rPr>
                    <m:t>[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(·-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(·-ξ(s))]ds</m:t>
          </m:r>
        </m:oMath>
      </m:oMathPara>
    </w:p>
    <w:p w14:paraId="7395A6D3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Apply (T) inside the sum. If </w:t>
      </w:r>
      <m:oMath>
        <m:r>
          <w:rPr>
            <w:rFonts w:ascii="Cambria Math" w:hAnsi="Cambria Math"/>
          </w:rPr>
          <m:t>ξ</m:t>
        </m:r>
      </m:oMath>
      <w:r>
        <w:rPr>
          <w:rFonts w:cs="Cambria"/>
          <w:color w:val="17212B"/>
        </w:rPr>
        <w:t xml:space="preserve"> is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cs="Cambria"/>
          <w:color w:val="17212B"/>
        </w:rPr>
        <w:t xml:space="preserve">-Lipschitz in arc length then </w:t>
      </w:r>
      <m:oMath>
        <m:r>
          <w:rPr>
            <w:rFonts w:ascii="Cambria Math" w:hAnsi="Cambria Math"/>
          </w:rPr>
          <m:t>‖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-ξ(s)‖≤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|s-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|</m:t>
        </m:r>
      </m:oMath>
      <w:r>
        <w:rPr>
          <w:rFonts w:cs="Cambria"/>
          <w:color w:val="17212B"/>
        </w:rPr>
        <w:t xml:space="preserve">, and for any representative in the arc </w:t>
      </w:r>
      <m:oMath>
        <m:nary>
          <m:naryPr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arc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|s-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|ds≤Δ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/2</m:t>
        </m:r>
      </m:oMath>
      <w:r>
        <w:rPr>
          <w:rFonts w:cs="Cambria"/>
          <w:color w:val="17212B"/>
        </w:rPr>
        <w:t>. Hence</w:t>
      </w:r>
    </w:p>
    <w:p w14:paraId="4F2DDE3E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K,1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nary>
        </m:oMath>
      </m:oMathPara>
    </w:p>
    <w:p w14:paraId="2DB3D873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Because </w:t>
      </w:r>
      <m:oMath>
        <m:r>
          <w:rPr>
            <w:rFonts w:ascii="Cambria Math" w:hAnsi="Cambria Math"/>
          </w:rPr>
          <m:t>0≤Δ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cs="Cambria"/>
          <w:color w:val="17212B"/>
        </w:rPr>
        <w:t xml:space="preserve"> we have </w:t>
      </w:r>
      <m:oMath>
        <m:r>
          <w:rPr>
            <w:rFonts w:ascii="Cambria Math" w:hAnsi="Cambria Math"/>
          </w:rPr>
          <m:t>Δ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cs="Cambria"/>
          <w:color w:val="17212B"/>
        </w:rPr>
        <w:t>, so the sum telescopes into the perimeter (Wolfram entry W-RR-05):</w:t>
      </w:r>
    </w:p>
    <w:p w14:paraId="67838B24" w14:textId="77777777" w:rsidR="004B2EAA" w:rsidRDefault="00000000">
      <w:pPr>
        <w:spacing w:before="140" w:after="180"/>
        <w:jc w:val="center"/>
      </w:pPr>
      <m:oMathPara>
        <m:oMath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ν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K,1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3C7DDC5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Choosing the arc midpoint would give the sharper factor </w:t>
      </w:r>
      <m:oMath>
        <m:r>
          <w:rPr>
            <w:rFonts w:ascii="Cambria Math" w:hAnsi="Cambria Math"/>
          </w:rPr>
          <m:t>Δ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/4</m:t>
        </m:r>
      </m:oMath>
      <w:r>
        <w:rPr>
          <w:rFonts w:cs="Cambria"/>
          <w:color w:val="17212B"/>
        </w:rPr>
        <w:t xml:space="preserve">; the certificate uses the conservative </w:t>
      </w:r>
      <m:oMath>
        <m:r>
          <w:rPr>
            <w:rFonts w:ascii="Cambria Math" w:hAnsi="Cambria Math"/>
          </w:rPr>
          <m:t>1/2</m:t>
        </m:r>
      </m:oMath>
      <w:r>
        <w:rPr>
          <w:rFonts w:cs="Cambria"/>
          <w:color w:val="17212B"/>
        </w:rPr>
        <w:t xml:space="preserve"> so that it stays valid for any registered representative inside the arc.</w:t>
      </w:r>
    </w:p>
    <w:p w14:paraId="437ABD89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lastRenderedPageBreak/>
        <w:t>Step 5. Map displacement and weight mismatch</w:t>
      </w:r>
    </w:p>
    <w:p w14:paraId="56C618FE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Match the observed atoms to the exact ones and split the difference into a displacement part, a matched-weight part, and missing/spurious mass:</w:t>
      </w:r>
    </w:p>
    <w:p w14:paraId="08B9BB84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nary>
                    <m:naryPr>
                      <m:chr m:val="∑"/>
                      <m:limLoc m:val="subSup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matched</m:t>
                      </m:r>
                    </m:sub>
                    <m:sup/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p>
                      </m:sSubSup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displacement</m:t>
              </m:r>
            </m:lim>
          </m:limLow>
          <m:r>
            <w:rPr>
              <w:rFonts w:ascii="Cambria Math" w:hAnsi="Cambria Math"/>
            </w:rPr>
            <m:t>+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nary>
                    <m:naryPr>
                      <m:chr m:val="∑"/>
                      <m:limLoc m:val="subSup"/>
                      <m:grow m:val="1"/>
                      <m:supHide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matched</m:t>
                      </m:r>
                    </m:sub>
                    <m:sup/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ξ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sub>
                  </m:sSub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weight</m:t>
              </m:r>
            </m:lim>
          </m:limLow>
          <m:r>
            <w:rPr>
              <w:rFonts w:ascii="Cambria Math" w:hAnsi="Cambria Math"/>
            </w:rPr>
            <m:t>-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missed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spurious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ξ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b>
          </m:sSub>
        </m:oMath>
      </m:oMathPara>
    </w:p>
    <w:p w14:paraId="585B785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Convolve and bound each group. By (T), the displacement group costs</w:t>
      </w:r>
    </w:p>
    <w:p w14:paraId="48257794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matched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(·-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(·-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K,1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</m:t>
              </m:r>
            </m:sub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K,1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</m:oMath>
      </m:oMathPara>
    </w:p>
    <w:p w14:paraId="606942E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remaining three groups are bounded by their total variation times the kernel mass, because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(·-y)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=|w|‖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cs="Cambria"/>
          <w:color w:val="17212B"/>
        </w:rPr>
        <w:t>:</w:t>
      </w:r>
    </w:p>
    <w:p w14:paraId="41388577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*(</m:t>
          </m:r>
          <m:r>
            <m:rPr>
              <m:nor/>
            </m:rPr>
            <m:t>weight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missed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spurious</m:t>
          </m:r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≤‖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‖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miss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spur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matched</m:t>
              </m:r>
            </m:sub>
            <m:sup/>
            <m:e>
              <m:r>
                <w:rPr>
                  <w:rFonts w:ascii="Cambria Math" w:hAnsi="Cambria Math"/>
                </w:rPr>
                <m:t>|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-Δ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|)=2π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</m:oMath>
      </m:oMathPara>
    </w:p>
    <w:p w14:paraId="3064EF23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6. Restriction tail</w:t>
      </w:r>
    </w:p>
    <w:p w14:paraId="2B36E17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restriction step discards far sources. It does not do so for free: the Gaussian has no compact support. A discarded atom of weight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w</m:t>
                </m:r>
              </m:e>
            </m:acc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cs="Cambria"/>
          <w:color w:val="17212B"/>
        </w:rPr>
        <w:t xml:space="preserve"> lies at distance at least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σ</m:t>
        </m:r>
      </m:oMath>
      <w:r>
        <w:rPr>
          <w:rFonts w:cs="Cambria"/>
          <w:color w:val="17212B"/>
        </w:rPr>
        <w:t xml:space="preserve"> from every query </w:t>
      </w:r>
      <m:oMath>
        <m:r>
          <w:rPr>
            <w:rFonts w:ascii="Cambria Math" w:hAnsi="Cambria Math"/>
          </w:rPr>
          <m:t>q</m:t>
        </m:r>
      </m:oMath>
      <w:r>
        <w:rPr>
          <w:rFonts w:cs="Cambria"/>
          <w:color w:val="17212B"/>
        </w:rPr>
        <w:t xml:space="preserve"> in the disk, so pointwise</w:t>
      </w:r>
    </w:p>
    <w:p w14:paraId="737369B7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q-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ξ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σ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14:paraId="2DAB7E2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Summing the discarded weights and integrating over an area no larger than </w:t>
      </w:r>
      <m:oMath>
        <m:r>
          <w:rPr>
            <w:rFonts w:ascii="Cambria Math" w:hAnsi="Cambria Math"/>
          </w:rPr>
          <m:t>π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>,</w:t>
      </w:r>
    </w:p>
    <w:p w14:paraId="27127A27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tail</m:t>
              </m:r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B(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)∩D</m:t>
              </m:r>
            </m:sub>
            <m:sup/>
            <m:e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dropped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nary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(q-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)dq≤π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drop</m:t>
              </m:r>
              <m:r>
                <w:rPr>
                  <w:rFonts w:ascii="Cambria Math" w:hAnsi="Cambria Math"/>
                </w:rPr>
                <m:t>,i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/2</m:t>
              </m:r>
            </m:sup>
          </m:sSup>
        </m:oMath>
      </m:oMathPara>
    </w:p>
    <w:p w14:paraId="0AE4EC8F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7. Assembly</w:t>
      </w:r>
    </w:p>
    <w:p w14:paraId="0B53DAE2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common base density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cs="Cambria"/>
          <w:color w:val="17212B"/>
        </w:rPr>
        <w:t xml:space="preserve"> appears in 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ϕ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ϕ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and cancels. Adding Steps 4, 5 and 6 by the triangle inequality and restricting the global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cs="Cambria"/>
          <w:color w:val="17212B"/>
        </w:rPr>
        <w:t xml:space="preserve"> estimate to </w:t>
      </w:r>
      <m:oMath>
        <m:r>
          <w:rPr>
            <w:rFonts w:ascii="Cambria Math" w:hAnsi="Cambria Math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)∩D</m:t>
        </m:r>
      </m:oMath>
      <w:r>
        <w:rPr>
          <w:rFonts w:cs="Cambria"/>
          <w:color w:val="17212B"/>
        </w:rPr>
        <w:t>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528"/>
      </w:tblGrid>
      <w:tr w:rsidR="004B2EAA" w14:paraId="40820FD6" w14:textId="77777777">
        <w:trPr>
          <w:jc w:val="center"/>
        </w:trPr>
        <w:tc>
          <w:tcPr>
            <w:tcW w:w="6552" w:type="dxa"/>
          </w:tcPr>
          <w:p w14:paraId="2B00B4AB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>≤‖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tail</m:t>
                    </m:r>
                    <m:r>
                      <w:rPr>
                        <w:rFonts w:ascii="Cambria Math" w:hAnsi="Cambria Math"/>
                      </w:rPr>
                      <m:t>,i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551FD02C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triangle inequality</w:t>
            </w:r>
          </w:p>
        </w:tc>
      </w:tr>
      <w:tr w:rsidR="004B2EAA" w14:paraId="77CBB2A3" w14:textId="77777777">
        <w:trPr>
          <w:jc w:val="center"/>
        </w:trPr>
        <w:tc>
          <w:tcPr>
            <w:tcW w:w="6552" w:type="dxa"/>
          </w:tcPr>
          <w:p w14:paraId="58A65524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K,1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x,i</m:t>
                    </m:r>
                  </m:sub>
                </m:sSub>
                <m:r>
                  <w:rPr>
                    <w:rFonts w:ascii="Cambria Math" w:hAnsi="Cambria Math"/>
                  </w:rPr>
                  <m:t>+2π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w,i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K,1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tail</m:t>
                    </m:r>
                    <m:r>
                      <w:rPr>
                        <w:rFonts w:ascii="Cambria Math" w:hAnsi="Cambria Math"/>
                      </w:rPr>
                      <m:t>,i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001D1C1A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Steps 4-6</w:t>
            </w:r>
          </w:p>
        </w:tc>
      </w:tr>
      <w:tr w:rsidR="004B2EAA" w14:paraId="1AEFE9E8" w14:textId="77777777">
        <w:trPr>
          <w:jc w:val="center"/>
        </w:trPr>
        <w:tc>
          <w:tcPr>
            <w:tcW w:w="6552" w:type="dxa"/>
          </w:tcPr>
          <w:p w14:paraId="5C9102F6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K,1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ξ,i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v+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+2π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w,i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tail</m:t>
                    </m:r>
                    <m:r>
                      <w:rPr>
                        <w:rFonts w:ascii="Cambria Math" w:hAnsi="Cambria Math"/>
                      </w:rPr>
                      <m:t>,i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ϕ,i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422B873C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definition of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x,i</m:t>
                  </m:r>
                </m:sub>
              </m:sSub>
            </m:oMath>
          </w:p>
        </w:tc>
      </w:tr>
    </w:tbl>
    <w:p w14:paraId="00ED2C59" w14:textId="77777777" w:rsidR="004B2EAA" w:rsidRDefault="004B2EAA">
      <w:pPr>
        <w:spacing w:after="40"/>
      </w:pPr>
    </w:p>
    <w:p w14:paraId="25CAF540" w14:textId="677DA5A5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which is (L1).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762F6473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4.3 Evidence boundary</w:t>
      </w:r>
    </w:p>
    <w:p w14:paraId="132D9112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Wolfram checked the two kernel integrals exactly, and the sup-norm, the normal-angle identity and the bounded-step inequality symbolically. The pushforward construction, the translation inequality (T), the curve quadrature, the atom matching of Step 5 and the tail decomposition are the analytic argument above; no computer-algebra output is offered in their place.</w:t>
      </w:r>
    </w:p>
    <w:p w14:paraId="56231004" w14:textId="77777777" w:rsidR="004B2EAA" w:rsidRDefault="00000000">
      <w:r>
        <w:br w:type="page"/>
      </w:r>
    </w:p>
    <w:p w14:paraId="1A2A574D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5. Lemma 2 - mass, quadrature and centroid perturbation</w:t>
      </w:r>
    </w:p>
    <w:p w14:paraId="6563E363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5.1 Statement</w:t>
      </w:r>
    </w:p>
    <w:p w14:paraId="4417329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Assume A1-A6 and the exact-cell contract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comm</m:t>
            </m:r>
          </m:sub>
        </m:sSub>
        <m:r>
          <w:rPr>
            <w:rFonts w:ascii="Cambria Math" w:hAnsi="Cambria Math"/>
          </w:rPr>
          <m:t>≥2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>. Put</w:t>
      </w:r>
    </w:p>
    <w:p w14:paraId="48FBCA34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=min{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},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π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&gt;0,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E890B72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w,i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r>
            <w:rPr>
              <w:rFonts w:ascii="Cambria Math" w:hAnsi="Cambria Math"/>
            </w:rPr>
            <m:t>≤(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w,i</m:t>
              </m:r>
            </m:sub>
          </m:sSub>
          <m:r>
            <w:rPr>
              <w:rFonts w:ascii="Cambria Math" w:hAnsi="Cambria Math"/>
            </w:rPr>
            <m:t>)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-1/2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</m:oMath>
      </m:oMathPara>
    </w:p>
    <w:p w14:paraId="6A891D75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For a midpoint mesh of side at most </w:t>
      </w:r>
      <m:oMath>
        <m:r>
          <w:rPr>
            <w:rFonts w:ascii="Cambria Math" w:hAnsi="Cambria Math"/>
          </w:rPr>
          <m:t>h</m:t>
        </m:r>
      </m:oMath>
      <w:r>
        <w:rPr>
          <w:rFonts w:cs="Cambria"/>
          <w:color w:val="17212B"/>
        </w:rPr>
        <w:t xml:space="preserve"> set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=h/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cs="Cambria"/>
          <w:color w:val="17212B"/>
        </w:rPr>
        <w:t xml:space="preserve"> (the half-diagonal),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≤π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≤2π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>, and define</w:t>
      </w:r>
    </w:p>
    <w:p w14:paraId="293BF3E3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+π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7C0811E5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η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+π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5CA3748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If the gate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cs="Cambria"/>
          <w:color w:val="17212B"/>
        </w:rPr>
        <w:t xml:space="preserve"> holds, set</w:t>
      </w:r>
    </w:p>
    <w:p w14:paraId="05B94B83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den>
          </m:f>
        </m:oMath>
      </m:oMathPara>
    </w:p>
    <w:p w14:paraId="3092A17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Then the implementation centroid obeys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71167C3A" w14:textId="77777777">
        <w:trPr>
          <w:jc w:val="center"/>
        </w:trPr>
        <w:tc>
          <w:tcPr>
            <w:tcW w:w="8928" w:type="dxa"/>
          </w:tcPr>
          <w:p w14:paraId="0449AAB4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‖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≤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c,i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:=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ϕ,i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q,i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G,i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192665A7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(L2)</w:t>
            </w:r>
          </w:p>
        </w:tc>
      </w:tr>
    </w:tbl>
    <w:p w14:paraId="06A89EA1" w14:textId="77777777" w:rsidR="004B2EAA" w:rsidRDefault="004B2EAA">
      <w:pPr>
        <w:spacing w:after="60"/>
      </w:pPr>
    </w:p>
    <w:p w14:paraId="0DDA4D26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In strict synchronised theorem mode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G,i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cs="Cambria"/>
          <w:color w:val="17212B"/>
        </w:rPr>
        <w:t xml:space="preserve">. Delayed or missing neighbour positions require a separate geometric cell-error certificate; that error must not be hidden inside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ϕ,i</m:t>
            </m:r>
          </m:sub>
        </m:sSub>
      </m:oMath>
      <w:r>
        <w:rPr>
          <w:rFonts w:cs="Cambria"/>
          <w:color w:val="17212B"/>
        </w:rPr>
        <w:t>.</w:t>
      </w:r>
    </w:p>
    <w:p w14:paraId="0ACE694C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5.2 Proof</w:t>
      </w:r>
    </w:p>
    <w:p w14:paraId="2BAA4ED2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1. Mass floor</w:t>
      </w:r>
    </w:p>
    <w:p w14:paraId="3F9E8955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First, separation alone puts a whole disk inside agent </w:t>
      </w:r>
      <m:oMath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's Voronoi cell. Let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>
        <w:rPr>
          <w:rFonts w:cs="Cambria"/>
          <w:color w:val="17212B"/>
        </w:rPr>
        <w:t xml:space="preserve">. For any </w:t>
      </w:r>
      <m:oMath>
        <m:r>
          <w:rPr>
            <w:rFonts w:ascii="Cambria Math" w:hAnsi="Cambria Math"/>
          </w:rPr>
          <m:t>j≠i</m:t>
        </m:r>
      </m:oMath>
      <w:r>
        <w:rPr>
          <w:rFonts w:cs="Cambria"/>
          <w:color w:val="17212B"/>
        </w:rPr>
        <w:t>,</w:t>
      </w:r>
    </w:p>
    <w:p w14:paraId="400760D0" w14:textId="77777777" w:rsidR="004B2EAA" w:rsidRDefault="00000000">
      <w:pPr>
        <w:spacing w:before="140" w:after="180"/>
        <w:jc w:val="center"/>
      </w:pPr>
      <m:oMathPara>
        <m:oMath>
          <m:d>
            <m:dPr>
              <m:begChr m:val="‖"/>
              <m:endChr m:val="‖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q-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‖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≥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‖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‖-‖q-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‖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≥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&gt;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‖q-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7619EAB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so </w:t>
      </w:r>
      <m:oMath>
        <m:r>
          <w:rPr>
            <w:rFonts w:ascii="Cambria Math" w:hAnsi="Cambria Math"/>
          </w:rPr>
          <m:t>q</m:t>
        </m:r>
      </m:oMath>
      <w:r>
        <w:rPr>
          <w:rFonts w:cs="Cambria"/>
          <w:color w:val="17212B"/>
        </w:rPr>
        <w:t xml:space="preserve"> is strictly closer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, i.e. </w:t>
      </w:r>
      <m:oMath>
        <m:r>
          <w:rPr>
            <w:rFonts w:ascii="Cambria Math" w:hAnsi="Cambria Math"/>
          </w:rPr>
          <m:t>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/2)⊂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Vor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(P)</m:t>
        </m:r>
      </m:oMath>
      <w:r>
        <w:rPr>
          <w:rFonts w:cs="Cambria"/>
          <w:color w:val="17212B"/>
        </w:rPr>
        <w:t xml:space="preserve">. Intersecting with the local disk and the rectangle,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  <m:r>
          <w:rPr>
            <w:rFonts w:ascii="Cambria Math" w:hAnsi="Cambria Math"/>
          </w:rPr>
          <m:t>⊇B(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)∩D</m:t>
        </m:r>
      </m:oMath>
      <w:r>
        <w:rPr>
          <w:rFonts w:cs="Cambria"/>
          <w:color w:val="17212B"/>
        </w:rPr>
        <w:t xml:space="preserve">. The worst placement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 in a rectangle is a corner, which retains a quarter disk, so </w:t>
      </w:r>
      <m:oMath>
        <m: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  <m:r>
          <w:rPr>
            <w:rFonts w:ascii="Cambria Math" w:hAnsi="Cambria Math"/>
          </w:rPr>
          <m:t>|≥π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/4</m:t>
        </m:r>
      </m:oMath>
      <w:r>
        <w:rPr>
          <w:rFonts w:cs="Cambria"/>
          <w:color w:val="17212B"/>
        </w:rPr>
        <w:t xml:space="preserve">. Since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ϕ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cs="Cambria"/>
          <w:color w:val="17212B"/>
        </w:rPr>
        <w:t>,</w:t>
      </w:r>
    </w:p>
    <w:p w14:paraId="5B4E88E8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nary>
          <m:r>
            <w:rPr>
              <w:rFonts w:ascii="Cambria Math" w:hAnsi="Cambria Math"/>
            </w:rPr>
            <m:t>dq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≥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&gt;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</m:t>
          </m:r>
        </m:oMath>
      </m:oMathPara>
    </w:p>
    <w:p w14:paraId="6EE7140E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NON-RECTANGULAR WORKSPACES</w:t>
      </w:r>
    </w:p>
    <w:p w14:paraId="31F94CE1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>The quarter-disk constant is specific to a rectangle. For another workspace, replace it with a uniform interior-cone constant; the quarter-disk value must not be carried over.</w:t>
      </w:r>
    </w:p>
    <w:p w14:paraId="44072DE1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2. Mass ceiling and mapped-density bounds</w:t>
      </w:r>
    </w:p>
    <w:p w14:paraId="6277D7E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Since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≤1</m:t>
        </m:r>
      </m:oMath>
      <w:r>
        <w:rPr>
          <w:rFonts w:cs="Cambria"/>
          <w:color w:val="17212B"/>
        </w:rPr>
        <w:t xml:space="preserve"> pointwise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Γ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>,</w:t>
      </w:r>
    </w:p>
    <w:p w14:paraId="2AA341A4" w14:textId="77777777" w:rsidR="004B2EAA" w:rsidRDefault="00000000">
      <w:pPr>
        <w:spacing w:before="140" w:after="18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(q,t)=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Γ(t)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</m:e>
          </m:nary>
          <m:r>
            <w:rPr>
              <w:rFonts w:ascii="Cambria Math" w:hAnsi="Cambria Math"/>
            </w:rPr>
            <m:t>(q-ξ)ds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</m:oMath>
      </m:oMathPara>
    </w:p>
    <w:p w14:paraId="541A004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and </w:t>
      </w:r>
      <m:oMath>
        <m: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  <m:r>
          <w:rPr>
            <w:rFonts w:ascii="Cambria Math" w:hAnsi="Cambria Math"/>
          </w:rPr>
          <m:t>|≤|B(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)|=π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>, hence</w:t>
      </w:r>
    </w:p>
    <w:p w14:paraId="048A6E02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π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</m:oMath>
      </m:oMathPara>
    </w:p>
    <w:p w14:paraId="4DAAE2A5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measure decomposition of Lemma 1 bounds the mapped total weight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>
        <w:rPr>
          <w:rFonts w:cs="Cambria"/>
          <w:color w:val="17212B"/>
        </w:rPr>
        <w:t xml:space="preserve">, which gives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ϕ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 by the same argument. Differentiating under the integral sign and using </w:t>
      </w:r>
      <m:oMath>
        <m:r>
          <w:rPr>
            <w:rFonts w:ascii="Cambria Math" w:hAnsi="Cambria Math"/>
          </w:rPr>
          <m:t>‖∇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σ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‖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-1/2</m:t>
            </m:r>
          </m:sup>
        </m:sSup>
        <m:r>
          <w:rPr>
            <w:rFonts w:ascii="Cambria Math" w:hAnsi="Cambria Math"/>
          </w:rPr>
          <m:t>/σ</m:t>
        </m:r>
      </m:oMath>
      <w:r>
        <w:rPr>
          <w:rFonts w:cs="Cambria"/>
          <w:color w:val="17212B"/>
        </w:rPr>
        <w:t xml:space="preserve"> gives the Lipschitz constant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cs="Cambria"/>
          <w:color w:val="17212B"/>
        </w:rPr>
        <w:t>.</w:t>
      </w:r>
    </w:p>
    <w:p w14:paraId="2FC5BC51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3. Midpoint mass error</w:t>
      </w:r>
    </w:p>
    <w:p w14:paraId="4FD64A3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Split the midpoint cells into those lying wholly inside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</m:oMath>
      <w:r>
        <w:rPr>
          <w:rFonts w:cs="Cambria"/>
          <w:color w:val="17212B"/>
        </w:rPr>
        <w:t xml:space="preserve"> and those cut by its boundary. For an interior cell </w:t>
      </w:r>
      <m:oMath>
        <m:r>
          <w:rPr>
            <w:rFonts w:ascii="Cambria Math" w:hAnsi="Cambria Math"/>
          </w:rPr>
          <m:t>Q</m:t>
        </m:r>
      </m:oMath>
      <w:r>
        <w:rPr>
          <w:rFonts w:cs="Cambria"/>
          <w:color w:val="17212B"/>
        </w:rPr>
        <w:t xml:space="preserve"> with midpoint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cs="Cambria"/>
          <w:color w:val="17212B"/>
        </w:rPr>
        <w:t>, Lipschitz continuity gives</w:t>
      </w:r>
    </w:p>
    <w:p w14:paraId="6AEAE5B1" w14:textId="77777777" w:rsidR="004B2EAA" w:rsidRDefault="00000000">
      <w:pPr>
        <w:spacing w:before="140" w:after="180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nary>
              <m:r>
                <w:rPr>
                  <w:rFonts w:ascii="Cambria Math" w:hAnsi="Cambria Math"/>
                </w:rPr>
                <m:t>dq-ϕ(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</m:sSub>
              <m:r>
                <w:rPr>
                  <w:rFonts w:ascii="Cambria Math" w:hAnsi="Cambria Math"/>
                </w:rPr>
                <m:t>)|Q|</m:t>
              </m:r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q∈Q</m:t>
              </m:r>
            </m:sub>
          </m:sSub>
          <m:r>
            <w:rPr>
              <w:rFonts w:ascii="Cambria Math" w:hAnsi="Cambria Math"/>
            </w:rPr>
            <m:t>‖q-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‖|Q|=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|Q|</m:t>
          </m:r>
        </m:oMath>
      </m:oMathPara>
    </w:p>
    <w:p w14:paraId="507AA7D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because the farthest point of a cell from its midpoint is a corner, at distance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=h/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</m:oMath>
      <w:r>
        <w:rPr>
          <w:rFonts w:cs="Cambria"/>
          <w:color w:val="17212B"/>
        </w:rPr>
        <w:t xml:space="preserve">. Summing over interior cells contributes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ϕ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cs="Cambria"/>
          <w:color w:val="17212B"/>
        </w:rPr>
        <w:t>.</w:t>
      </w:r>
    </w:p>
    <w:p w14:paraId="0C85DCB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cut cells all lie within distance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rPr>
          <w:rFonts w:cs="Cambria"/>
          <w:color w:val="17212B"/>
        </w:rPr>
        <w:t xml:space="preserve"> of </w:t>
      </w:r>
      <m:oMath>
        <m:r>
          <w:rPr>
            <w:rFonts w:ascii="Cambria Math" w:hAnsi="Cambria Math"/>
          </w:rPr>
          <m:t>∂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</m:oMath>
      <w:r>
        <w:rPr>
          <w:rFonts w:cs="Cambria"/>
          <w:color w:val="17212B"/>
        </w:rPr>
        <w:t xml:space="preserve">.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</m:oMath>
      <w:r>
        <w:rPr>
          <w:rFonts w:cs="Cambria"/>
          <w:color w:val="17212B"/>
        </w:rPr>
        <w:t xml:space="preserve"> is convex, being an intersection of half-planes, a disk and a rectangle, so the inner and outer parallel sets of that width have combined area at most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+π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 xml:space="preserve">. Bounding the density there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ϕ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 and adding the two groups gives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rPr>
          <w:rFonts w:cs="Cambria"/>
          <w:color w:val="17212B"/>
        </w:rPr>
        <w:t xml:space="preserve">. Convexity also justifies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≤2π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>, the perimeter of the enclosing disk.</w:t>
      </w:r>
    </w:p>
    <w:p w14:paraId="06712AC1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4. First-moment error</w:t>
      </w:r>
    </w:p>
    <w:p w14:paraId="3E81F286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Repeat Step 3 for the </w:t>
      </w:r>
      <w:r>
        <w:rPr>
          <w:rFonts w:cs="Cambria"/>
          <w:i/>
          <w:color w:val="17212B"/>
        </w:rPr>
        <w:t>shifted</w:t>
      </w:r>
      <w:r>
        <w:rPr>
          <w:rFonts w:cs="Cambria"/>
          <w:color w:val="17212B"/>
        </w:rPr>
        <w:t xml:space="preserve"> first moment, which is what the centroid actually needs:</w:t>
      </w:r>
    </w:p>
    <w:p w14:paraId="1A41D24D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a=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r>
                <w:rPr>
                  <w:rFonts w:ascii="Cambria Math" w:hAnsi="Cambria Math"/>
                </w:rPr>
                <m:t>(q-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)ϕ(q)dq</m:t>
          </m:r>
        </m:oMath>
      </m:oMathPara>
    </w:p>
    <w:p w14:paraId="6A2DA2B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Its integrand </w:t>
      </w:r>
      <m:oMath>
        <m:r>
          <w:rPr>
            <w:rFonts w:ascii="Cambria Math" w:hAnsi="Cambria Math"/>
          </w:rPr>
          <m:t>f(q)=(q-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)ϕ(q)</m:t>
        </m:r>
      </m:oMath>
      <w:r>
        <w:rPr>
          <w:rFonts w:cs="Cambria"/>
          <w:color w:val="17212B"/>
        </w:rPr>
        <w:t xml:space="preserve"> satisfies, on the cell,</w:t>
      </w:r>
    </w:p>
    <w:p w14:paraId="73C8695F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‖f(q)‖≤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Lip</m:t>
          </m:r>
          <m:r>
            <w:rPr>
              <w:rFonts w:ascii="Cambria Math" w:hAnsi="Cambria Math"/>
            </w:rPr>
            <m:t>(f)≤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</m:oMath>
      </m:oMathPara>
    </w:p>
    <w:p w14:paraId="6A7F5D5E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since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 xml:space="preserve"> there. Substituting these two constants for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cs="Cambria"/>
          <w:color w:val="17212B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ϕ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 in Step 3 yields </w:t>
      </w:r>
      <m:oMath>
        <m:r>
          <w:rPr>
            <w:rFonts w:ascii="Cambria Math" w:hAnsi="Cambria Math"/>
          </w:rPr>
          <m:t>‖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-a‖≤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rPr>
          <w:rFonts w:cs="Cambria"/>
          <w:color w:val="17212B"/>
        </w:rPr>
        <w:t>.</w:t>
      </w:r>
    </w:p>
    <w:p w14:paraId="332DC2BB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5. Ratio perturbation</w:t>
      </w:r>
    </w:p>
    <w:p w14:paraId="7D9442C4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centroid is a ratio, so the two errors must be combined through a quotient bound rather than added. Write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/</m:t>
        </m:r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</m:oMath>
      <w:r>
        <w:rPr>
          <w:rFonts w:cs="Cambria"/>
          <w:color w:val="17212B"/>
        </w:rPr>
        <w:t xml:space="preserve"> and </w:t>
      </w:r>
      <m:oMath>
        <m:r>
          <w:rPr>
            <w:rFonts w:ascii="Cambria Math" w:hAnsi="Cambria Math"/>
          </w:rPr>
          <m:t>c-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=a/m</m:t>
        </m:r>
      </m:oMath>
      <w:r>
        <w:rPr>
          <w:rFonts w:cs="Cambria"/>
          <w:color w:val="17212B"/>
        </w:rPr>
        <w:t>. Then</w:t>
      </w:r>
    </w:p>
    <w:p w14:paraId="3BD25A4E" w14:textId="77777777" w:rsidR="004B2EAA" w:rsidRDefault="00000000">
      <w:pPr>
        <w:spacing w:before="140" w:after="18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num>
            <m:den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  <m:r>
                <w:rPr>
                  <w:rFonts w:ascii="Cambria Math" w:hAnsi="Cambria Math"/>
                </w:rPr>
                <m:t>-a</m:t>
              </m:r>
            </m:num>
            <m:den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  <m:r>
                <w:rPr>
                  <w:rFonts w:ascii="Cambria Math" w:hAnsi="Cambria Math"/>
                </w:rPr>
                <m:t>-a</m:t>
              </m:r>
            </m:num>
            <m:den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a(m-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m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den>
          </m:f>
        </m:oMath>
      </m:oMathPara>
    </w:p>
    <w:p w14:paraId="0FDF3AF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gate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cs="Cambria"/>
          <w:color w:val="17212B"/>
        </w:rPr>
        <w:t xml:space="preserve"> makes the denominator safely positive,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≥m-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&gt;0</m:t>
        </m:r>
      </m:oMath>
      <w:r>
        <w:rPr>
          <w:rFonts w:cs="Cambria"/>
          <w:color w:val="17212B"/>
        </w:rPr>
        <w:t xml:space="preserve">, and </w:t>
      </w:r>
      <m:oMath>
        <m:r>
          <w:rPr>
            <w:rFonts w:ascii="Cambria Math" w:hAnsi="Cambria Math"/>
          </w:rPr>
          <m:t>‖a‖≤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m</m:t>
        </m:r>
      </m:oMath>
      <w:r>
        <w:rPr>
          <w:rFonts w:cs="Cambria"/>
          <w:color w:val="17212B"/>
        </w:rPr>
        <w:t xml:space="preserve"> because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 xml:space="preserve"> on the cell. Therefore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528"/>
      </w:tblGrid>
      <w:tr w:rsidR="004B2EAA" w14:paraId="0CDE8D3E" w14:textId="77777777">
        <w:trPr>
          <w:jc w:val="center"/>
        </w:trPr>
        <w:tc>
          <w:tcPr>
            <w:tcW w:w="6552" w:type="dxa"/>
          </w:tcPr>
          <w:p w14:paraId="01E65E18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‖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acc>
                  </m:num>
                  <m:den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‖≤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>-a</m:t>
                        </m:r>
                      </m:e>
                    </m:d>
                  </m:num>
                  <m:den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d>
                      <m:dPr>
                        <m:begChr m:val="|"/>
                        <m:sepChr m:val="−"/>
                        <m:endChr m:val="|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</m:acc>
                      </m:e>
                    </m:d>
                  </m:num>
                  <m:den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acc>
                  </m:den>
                </m:f>
              </m:oMath>
            </m:oMathPara>
          </w:p>
        </w:tc>
        <w:tc>
          <w:tcPr>
            <w:tcW w:w="3528" w:type="dxa"/>
          </w:tcPr>
          <w:p w14:paraId="7DB466F4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triangle inequality</w:t>
            </w:r>
          </w:p>
        </w:tc>
      </w:tr>
      <w:tr w:rsidR="004B2EAA" w14:paraId="3450DC7E" w14:textId="77777777">
        <w:trPr>
          <w:jc w:val="center"/>
        </w:trPr>
        <w:tc>
          <w:tcPr>
            <w:tcW w:w="6552" w:type="dxa"/>
          </w:tcPr>
          <w:p w14:paraId="50DD2B9C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3528" w:type="dxa"/>
          </w:tcPr>
          <w:p w14:paraId="4FDEE054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Steps 3-4 and </w:t>
            </w:r>
            <m:oMath>
              <m:r>
                <w:rPr>
                  <w:rFonts w:ascii="Cambria Math" w:hAnsi="Cambria Math"/>
                </w:rPr>
                <m:t>‖a‖≤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</m:oMath>
          </w:p>
        </w:tc>
      </w:tr>
      <w:tr w:rsidR="004B2EAA" w14:paraId="13D4263B" w14:textId="77777777">
        <w:trPr>
          <w:jc w:val="center"/>
        </w:trPr>
        <w:tc>
          <w:tcPr>
            <w:tcW w:w="6552" w:type="dxa"/>
          </w:tcPr>
          <w:p w14:paraId="1D27AFC8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q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168F559D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definition</w:t>
            </w:r>
          </w:p>
        </w:tc>
      </w:tr>
    </w:tbl>
    <w:p w14:paraId="4CCB4FC5" w14:textId="77777777" w:rsidR="004B2EAA" w:rsidRDefault="004B2EAA">
      <w:pPr>
        <w:spacing w:after="40"/>
      </w:pPr>
    </w:p>
    <w:p w14:paraId="2EC00418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lastRenderedPageBreak/>
        <w:t>Step 6. Density perturbation on the same cell</w:t>
      </w:r>
    </w:p>
    <w:p w14:paraId="1769EA2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Now hold the cell fixed and change only the density. Lemma 1 gives</w:t>
      </w:r>
    </w:p>
    <w:p w14:paraId="5548C76A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|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|=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</m:sub>
                <m:sup/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ϕ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)dq</m:t>
              </m:r>
            </m:e>
          </m: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‖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‖=‖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r>
                <w:rPr>
                  <w:rFonts w:ascii="Cambria Math" w:hAnsi="Cambria Math"/>
                </w:rPr>
                <m:t>(q-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)dq‖≤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</m:oMath>
      </m:oMathPara>
    </w:p>
    <w:p w14:paraId="641700E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Both densities keep the base-density floor, so both masses are at least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cs="Cambria"/>
          <w:color w:val="17212B"/>
        </w:rPr>
        <w:t>. Applying the same ratio identity as in Step 5,</w:t>
      </w:r>
    </w:p>
    <w:p w14:paraId="618A7E20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acc>
            <m:accPr>
              <m:chr m:val="̃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‖≤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</m:oMath>
      </m:oMathPara>
    </w:p>
    <w:p w14:paraId="19157429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7. Assembly</w:t>
      </w:r>
    </w:p>
    <w:p w14:paraId="6715F6E6" w14:textId="5A48AC0B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Adding the density error of Step 6, the midpoint error of Step 5 and the separately certified geometric cell error gives (L2).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50ADC3A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denominator gate is fail-closed in the certificate generator: a configuration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cs="Cambria"/>
          <w:color w:val="17212B"/>
        </w:rPr>
        <w:t xml:space="preserve"> produces no certificate at </w:t>
      </w:r>
      <w:proofErr w:type="gramStart"/>
      <w:r>
        <w:rPr>
          <w:rFonts w:cs="Cambria"/>
          <w:color w:val="17212B"/>
        </w:rPr>
        <w:t>all</w:t>
      </w:r>
      <w:proofErr w:type="gramEnd"/>
      <w:r>
        <w:rPr>
          <w:rFonts w:cs="Cambria"/>
          <w:color w:val="17212B"/>
        </w:rPr>
        <w:t xml:space="preserve"> rather than a large one.</w:t>
      </w:r>
    </w:p>
    <w:p w14:paraId="3536A472" w14:textId="77777777" w:rsidR="004B2EAA" w:rsidRDefault="00000000">
      <w:r>
        <w:br w:type="page"/>
      </w:r>
    </w:p>
    <w:p w14:paraId="0C4F82A8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6. Proposition 1 - ideal Local-CVT gradient and descent</w:t>
      </w:r>
    </w:p>
    <w:p w14:paraId="61542751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6.1 Statement</w:t>
      </w:r>
    </w:p>
    <w:p w14:paraId="747548C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At every regular configuration covered by A1-A4 and A9,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1B581CEE" w14:textId="77777777">
        <w:trPr>
          <w:jc w:val="center"/>
        </w:trPr>
        <w:tc>
          <w:tcPr>
            <w:tcW w:w="8928" w:type="dxa"/>
          </w:tcPr>
          <w:p w14:paraId="5276123F" w14:textId="77777777" w:rsidR="004B2EAA" w:rsidRDefault="00000000">
            <w:pPr>
              <w:spacing w:before="100" w:after="10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(P,t)=2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</w:tcPr>
          <w:p w14:paraId="16A6E2D1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(P1-a)</w:t>
            </w:r>
          </w:p>
        </w:tc>
      </w:tr>
    </w:tbl>
    <w:p w14:paraId="1E5AA85C" w14:textId="77777777" w:rsidR="004B2EAA" w:rsidRDefault="004B2EAA">
      <w:pPr>
        <w:spacing w:after="60"/>
      </w:pPr>
    </w:p>
    <w:p w14:paraId="16F9995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so the ideal Lloyd command is a scaled gradient step,</w:t>
      </w:r>
    </w:p>
    <w:p w14:paraId="007CF9ED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∇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</m:oMath>
      </m:oMathPara>
    </w:p>
    <w:p w14:paraId="558C9F9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and, with </w:t>
      </w:r>
      <m:oMath>
        <m:r>
          <w:rPr>
            <w:rFonts w:ascii="Cambria Math" w:hAnsi="Cambria Math"/>
          </w:rPr>
          <m:t>A(P,t)=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diag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cs="Cambria"/>
          <w:color w:val="17212B"/>
        </w:rPr>
        <w:t>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510E0B9B" w14:textId="77777777">
        <w:trPr>
          <w:jc w:val="center"/>
        </w:trPr>
        <w:tc>
          <w:tcPr>
            <w:tcW w:w="8928" w:type="dxa"/>
          </w:tcPr>
          <w:p w14:paraId="0ED40B74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A(P,t)⪰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I,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=-∇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*⊤</m:t>
                    </m:r>
                  </m:sup>
                </m:sSup>
                <m:r>
                  <w:rPr>
                    <w:rFonts w:ascii="Cambria Math" w:hAnsi="Cambria Math"/>
                  </w:rPr>
                  <m:t>A∇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≤-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152" w:type="dxa"/>
          </w:tcPr>
          <w:p w14:paraId="77C80FAB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(P1-b)</w:t>
            </w:r>
          </w:p>
        </w:tc>
      </w:tr>
    </w:tbl>
    <w:p w14:paraId="22E01626" w14:textId="77777777" w:rsidR="004B2EAA" w:rsidRDefault="004B2EAA">
      <w:pPr>
        <w:spacing w:after="60"/>
      </w:pPr>
    </w:p>
    <w:p w14:paraId="09BE654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 last identity holding with the reference frozen.</w:t>
      </w:r>
    </w:p>
    <w:p w14:paraId="68412F56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6.2 Proof</w:t>
      </w:r>
    </w:p>
    <w:p w14:paraId="27C1D374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1. Partition the integral</w:t>
      </w:r>
    </w:p>
    <w:p w14:paraId="51D9E17B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Away from the zero-measure tie and threshold sets of A9, the domain splits into the local cells and the saturated remainder </w:t>
      </w:r>
      <m:oMath>
        <m:r>
          <w:rPr>
            <w:rFonts w:ascii="Cambria Math" w:hAnsi="Cambria Math"/>
          </w:rPr>
          <m:t>U=D⧵</m:t>
        </m:r>
        <m:nary>
          <m:naryPr>
            <m:chr m:val="⋃"/>
            <m:limLoc m:val="subSup"/>
            <m:grow m:val="1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r>
              <w:rPr>
                <w:rFonts w:ascii="Cambria Math" w:hAnsi="Cambria Math"/>
              </w:rPr>
              <m:t>B(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cs="Cambria"/>
          <w:color w:val="17212B"/>
        </w:rPr>
        <w:t xml:space="preserve">, on which the running minimum equals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>:</w:t>
      </w:r>
    </w:p>
    <w:p w14:paraId="2EAC0B71" w14:textId="77777777" w:rsidR="004B2EAA" w:rsidRDefault="00000000">
      <w:pPr>
        <w:spacing w:before="140" w:after="18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</m:sub>
                <m:sup/>
                <m:e>
                  <m:r>
                    <w:rPr>
                      <w:rFonts w:ascii="Cambria Math" w:hAnsi="Cambria Math"/>
                    </w:rPr>
                    <m:t>‖</m:t>
                  </m:r>
                </m:e>
              </m:nary>
            </m:e>
          </m:nary>
          <m:r>
            <w:rPr>
              <w:rFonts w:ascii="Cambria Math" w:hAnsi="Cambria Math"/>
            </w:rPr>
            <m:t>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‖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dq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U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</m:nary>
          <m:r>
            <w:rPr>
              <w:rFonts w:ascii="Cambria Math" w:hAnsi="Cambria Math"/>
            </w:rPr>
            <m:t>dq</m:t>
          </m:r>
        </m:oMath>
      </m:oMathPara>
    </w:p>
    <w:p w14:paraId="193FCD23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2. Volume term</w:t>
      </w:r>
    </w:p>
    <w:p w14:paraId="3FAD7E73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Differentiating the integrand of the </w:t>
      </w:r>
      <m:oMath>
        <m:r>
          <w:rPr>
            <w:rFonts w:ascii="Cambria Math" w:hAnsi="Cambria Math"/>
          </w:rPr>
          <m:t>j=i</m:t>
        </m:r>
      </m:oMath>
      <w:r>
        <w:rPr>
          <w:rFonts w:cs="Cambria"/>
          <w:color w:val="17212B"/>
        </w:rPr>
        <w:t xml:space="preserve"> term with respect to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>,</w:t>
      </w:r>
    </w:p>
    <w:p w14:paraId="7DD8C73C" w14:textId="77777777" w:rsidR="004B2EAA" w:rsidRDefault="00000000">
      <w:pPr>
        <w:spacing w:before="140" w:after="18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‖q-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‖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=2(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-q)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p>
              </m:sSubSup>
            </m:sub>
            <m:sup/>
            <m:e>
              <m:r>
                <w:rPr>
                  <w:rFonts w:ascii="Cambria Math" w:hAnsi="Cambria Math"/>
                </w:rPr>
                <m:t>2(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-q)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dq=2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l</m:t>
                      </m:r>
                    </m:sup>
                  </m:sSubSup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nary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dq</m:t>
              </m:r>
            </m:e>
          </m:d>
          <m:r>
            <w:rPr>
              <w:rFonts w:ascii="Cambria Math" w:hAnsi="Cambria Math"/>
            </w:rPr>
            <m:t>=2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</m:t>
          </m:r>
        </m:oMath>
      </m:oMathPara>
    </w:p>
    <w:p w14:paraId="0060314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No other volume term depends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: for </w:t>
      </w:r>
      <m:oMath>
        <m:r>
          <w:rPr>
            <w:rFonts w:ascii="Cambria Math" w:hAnsi="Cambria Math"/>
          </w:rPr>
          <m:t>j≠i</m:t>
        </m:r>
      </m:oMath>
      <w:r>
        <w:rPr>
          <w:rFonts w:cs="Cambria"/>
          <w:color w:val="17212B"/>
        </w:rPr>
        <w:t xml:space="preserve"> the integrand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q-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cs="Cambria"/>
          <w:color w:val="17212B"/>
        </w:rPr>
        <w:t xml:space="preserve"> does not involve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, and the </w:t>
      </w:r>
      <m:oMath>
        <m:r>
          <w:rPr>
            <w:rFonts w:ascii="Cambria Math" w:hAnsi="Cambria Math"/>
          </w:rPr>
          <m:t>U</m:t>
        </m:r>
      </m:oMath>
      <w:r>
        <w:rPr>
          <w:rFonts w:cs="Cambria"/>
          <w:color w:val="17212B"/>
        </w:rPr>
        <w:t xml:space="preserve"> integrand is the constant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>.</w:t>
      </w:r>
    </w:p>
    <w:p w14:paraId="054E1FD2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3. The moving-boundary terms cancel</w:t>
      </w:r>
    </w:p>
    <w:p w14:paraId="21277E4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This is the step that the saturated cost exists to make work. Moving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cs="Cambria"/>
          <w:color w:val="17212B"/>
        </w:rPr>
        <w:t xml:space="preserve"> deforms </w:t>
      </w:r>
      <m:oMath>
        <m:r>
          <w:rPr>
            <w:rFonts w:ascii="Cambria Math" w:hAnsi="Cambria Math"/>
          </w:rPr>
          <m:t>∂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</m:oMath>
      <w:r>
        <w:rPr>
          <w:rFonts w:cs="Cambria"/>
          <w:color w:val="17212B"/>
        </w:rPr>
        <w:t>, so Reynolds' transport theorem contributes a flux for each moving piece of boundary. There are three kinds, and each vanishes for its own reason.</w:t>
      </w:r>
    </w:p>
    <w:p w14:paraId="03243A7B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</w:t>
      </w:r>
      <w:r>
        <w:rPr>
          <w:rFonts w:cs="Cambria"/>
          <w:i/>
          <w:color w:val="17212B"/>
        </w:rPr>
        <w:t>Shared Voronoi faces.</w:t>
      </w:r>
      <w:r>
        <w:rPr>
          <w:rFonts w:cs="Cambria"/>
          <w:color w:val="17212B"/>
        </w:rPr>
        <w:t xml:space="preserve"> On the face between cells </w:t>
      </w:r>
      <m:oMath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 and </w:t>
      </w:r>
      <m:oMath>
        <m:r>
          <w:rPr>
            <w:rFonts w:ascii="Cambria Math" w:hAnsi="Cambria Math"/>
          </w:rPr>
          <m:t>j</m:t>
        </m:r>
      </m:oMath>
      <w:r>
        <w:rPr>
          <w:rFonts w:cs="Cambria"/>
          <w:color w:val="17212B"/>
        </w:rPr>
        <w:t xml:space="preserve"> we have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q-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‖=‖q-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>
        <w:rPr>
          <w:rFonts w:cs="Cambria"/>
          <w:color w:val="17212B"/>
        </w:rPr>
        <w:t xml:space="preserve">, so the two cells carry the same integrand value there. Whatever area cell </w:t>
      </w:r>
      <m:oMath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 gains, cell </w:t>
      </w:r>
      <m:oMath>
        <m:r>
          <w:rPr>
            <w:rFonts w:ascii="Cambria Math" w:hAnsi="Cambria Math"/>
          </w:rPr>
          <m:t>j</m:t>
        </m:r>
      </m:oMath>
      <w:r>
        <w:rPr>
          <w:rFonts w:cs="Cambria"/>
          <w:color w:val="17212B"/>
        </w:rPr>
        <w:t xml:space="preserve"> loses, with equal and opposite normal velocity; the two fluxes cancel exactly.</w:t>
      </w:r>
    </w:p>
    <w:p w14:paraId="1FE43553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lastRenderedPageBreak/>
        <w:t xml:space="preserve">•  </w:t>
      </w:r>
      <w:r>
        <w:rPr>
          <w:rFonts w:cs="Cambria"/>
          <w:i/>
          <w:color w:val="17212B"/>
        </w:rPr>
        <w:t>The moving circle</w:t>
      </w:r>
      <w:r>
        <w:rPr>
          <w:rFonts w:cs="Cambria"/>
          <w:color w:val="17212B"/>
        </w:rPr>
        <w:t xml:space="preserve">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 xml:space="preserve">. Just inside, the integrand is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‖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 xml:space="preserve">; just outside, the saturated value is also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 xml:space="preserve">. The integrand is continuous across the circle, so the flux cancels. Without saturation the outer value would be </w:t>
      </w:r>
      <m:oMath>
        <m:r>
          <w:rPr>
            <w:rFonts w:ascii="Cambria Math" w:hAnsi="Cambria Math"/>
          </w:rPr>
          <m:t>0</m:t>
        </m:r>
      </m:oMath>
      <w:r>
        <w:rPr>
          <w:rFonts w:cs="Cambria"/>
          <w:color w:val="17212B"/>
        </w:rPr>
        <w:t xml:space="preserve">, the jump would be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 xml:space="preserve">, and a term proportional to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∮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ϕ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would survive.</w:t>
      </w:r>
    </w:p>
    <w:p w14:paraId="10DE6891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</w:t>
      </w:r>
      <w:r>
        <w:rPr>
          <w:rFonts w:cs="Cambria"/>
          <w:i/>
          <w:color w:val="17212B"/>
        </w:rPr>
        <w:t>The workspace boundary</w:t>
      </w:r>
      <w:r>
        <w:rPr>
          <w:rFonts w:cs="Cambria"/>
          <w:color w:val="17212B"/>
        </w:rPr>
        <w:t xml:space="preserve"> </w:t>
      </w:r>
      <m:oMath>
        <m:r>
          <w:rPr>
            <w:rFonts w:ascii="Cambria Math" w:hAnsi="Cambria Math"/>
          </w:rPr>
          <m:t>∂D</m:t>
        </m:r>
      </m:oMath>
      <w:r>
        <w:rPr>
          <w:rFonts w:cs="Cambria"/>
          <w:color w:val="17212B"/>
        </w:rPr>
        <w:t xml:space="preserve"> is fixed, so its normal velocity is zero.</w:t>
      </w:r>
    </w:p>
    <w:p w14:paraId="3F5E466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Only the volume derivative survives, which is (P1-a).</w:t>
      </w:r>
    </w:p>
    <w:p w14:paraId="1EBE9BD8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4. Descent</w:t>
      </w:r>
    </w:p>
    <w:p w14:paraId="116D69D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By Lemma 2,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, so every diagonal block satisfies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</m:den>
        </m:f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cs="Cambria"/>
          <w:color w:val="17212B"/>
        </w:rPr>
        <w:t xml:space="preserve">, i.e. </w:t>
      </w:r>
      <m:oMath>
        <m:r>
          <w:rPr>
            <w:rFonts w:ascii="Cambria Math" w:hAnsi="Cambria Math"/>
          </w:rPr>
          <m:t>A⪰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. Substituting 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=-A∇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with the reference frozen,</w:t>
      </w:r>
    </w:p>
    <w:p w14:paraId="2D830633" w14:textId="77777777" w:rsidR="004B2EAA" w:rsidRDefault="00000000">
      <w:pPr>
        <w:spacing w:before="140" w:after="18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*⊤</m:t>
              </m:r>
            </m:sup>
          </m:sSup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P</m:t>
              </m:r>
            </m:e>
          </m:acc>
          <m:r>
            <w:rPr>
              <w:rFonts w:ascii="Cambria Math" w:hAnsi="Cambria Math"/>
            </w:rPr>
            <m:t>=-∇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*⊤</m:t>
              </m:r>
            </m:sup>
          </m:sSup>
          <m:r>
            <w:rPr>
              <w:rFonts w:ascii="Cambria Math" w:hAnsi="Cambria Math"/>
            </w:rPr>
            <m:t>A∇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≤-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‖∇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‖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</m:t>
          </m:r>
        </m:oMath>
      </m:oMathPara>
    </w:p>
    <w:p w14:paraId="16918DE0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5. The implemented cell is exact, not approximate</w:t>
      </w:r>
    </w:p>
    <w:p w14:paraId="68FC7874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Suppose </w:t>
      </w:r>
      <m:oMath>
        <m:r>
          <w:rPr>
            <w:rFonts w:ascii="Cambria Math" w:hAnsi="Cambria Math"/>
          </w:rPr>
          <m:t>q∈B(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cs="Cambria"/>
          <w:color w:val="17212B"/>
        </w:rPr>
        <w:t xml:space="preserve"> and agent </w:t>
      </w:r>
      <m:oMath>
        <m:r>
          <w:rPr>
            <w:rFonts w:ascii="Cambria Math" w:hAnsi="Cambria Math"/>
          </w:rPr>
          <m:t>j</m:t>
        </m:r>
      </m:oMath>
      <w:r>
        <w:rPr>
          <w:rFonts w:cs="Cambria"/>
          <w:color w:val="17212B"/>
        </w:rPr>
        <w:t xml:space="preserve"> beats agent </w:t>
      </w:r>
      <m:oMath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 at </w:t>
      </w:r>
      <m:oMath>
        <m:r>
          <w:rPr>
            <w:rFonts w:ascii="Cambria Math" w:hAnsi="Cambria Math"/>
          </w:rPr>
          <m:t>q</m:t>
        </m:r>
      </m:oMath>
      <w:r>
        <w:rPr>
          <w:rFonts w:cs="Cambria"/>
          <w:color w:val="17212B"/>
        </w:rPr>
        <w:t xml:space="preserve">, i.e. </w:t>
      </w:r>
      <m:oMath>
        <m:r>
          <w:rPr>
            <w:rFonts w:ascii="Cambria Math" w:hAnsi="Cambria Math"/>
          </w:rPr>
          <m:t>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‖≤‖q-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>. Then</w:t>
      </w:r>
    </w:p>
    <w:p w14:paraId="38A5EF2E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‖≤‖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-q‖+‖q-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‖≤2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comm</m:t>
              </m:r>
            </m:sub>
          </m:sSub>
        </m:oMath>
      </m:oMathPara>
    </w:p>
    <w:p w14:paraId="50D586E9" w14:textId="30FCFA90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so every possible local competitor is already inside the communication neighbourhood. Under A2 the implemented cell therefore </w:t>
      </w:r>
      <w:r>
        <w:rPr>
          <w:rFonts w:cs="Cambria"/>
          <w:i/>
          <w:color w:val="17212B"/>
        </w:rPr>
        <w:t>equals</w:t>
      </w:r>
      <w:r>
        <w:rPr>
          <w:rFonts w:cs="Cambria"/>
          <w:color w:val="17212B"/>
        </w:rP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p>
        </m:sSubSup>
      </m:oMath>
      <w:r>
        <w:rPr>
          <w:rFonts w:cs="Cambria"/>
          <w:color w:val="17212B"/>
        </w:rPr>
        <w:t xml:space="preserve">; this is an identity, not an approximation.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2AA57243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IF $R_{\mathrm{comm}} = R_\ell$</w:t>
      </w:r>
    </w:p>
    <w:p w14:paraId="281D311C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 xml:space="preserve">The argument above needs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  <w:sz w:val="18"/>
        </w:rPr>
        <w:t xml:space="preserve">. A theorem-mode configuration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comm</m:t>
            </m:r>
          </m:sub>
        </m:sSub>
        <m:r>
          <w:rPr>
            <w:rFonts w:ascii="Cambria Math" w:hAnsi="Cambria Math"/>
          </w:rPr>
          <m:t>&lt;2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  <w:sz w:val="18"/>
        </w:rPr>
        <w:t xml:space="preserve"> is rejected by the validator, and the exact-cell claim would have to be marked BLOCKED rather than weakened silently.</w:t>
      </w:r>
    </w:p>
    <w:p w14:paraId="02F1BE9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Wolfram checked the integrand derivative and one exact fixed-square example. Those are sanity checks; the shape-derivative cancellation in Step 3 is the proof.</w:t>
      </w:r>
    </w:p>
    <w:p w14:paraId="0F28676B" w14:textId="77777777" w:rsidR="004B2EAA" w:rsidRDefault="00000000">
      <w:r>
        <w:br w:type="page"/>
      </w:r>
    </w:p>
    <w:p w14:paraId="1C1423D4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7. Proposition 2 - aggregate implementation disturbance</w:t>
      </w:r>
    </w:p>
    <w:p w14:paraId="4BAF5016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7.1 Statement</w:t>
      </w:r>
    </w:p>
    <w:p w14:paraId="1FA02E3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Write the realised stacked dynamics as an ideal field plus a disturbance:</w:t>
      </w:r>
    </w:p>
    <w:p w14:paraId="5F18CB3E" w14:textId="77777777" w:rsidR="004B2EAA" w:rsidRDefault="00000000">
      <w:pPr>
        <w:spacing w:before="140" w:after="180"/>
        <w:jc w:val="center"/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P</m:t>
              </m:r>
            </m:e>
          </m:acc>
          <m:r>
            <w:rPr>
              <w:rFonts w:ascii="Cambria Math" w:hAnsi="Cambria Math"/>
            </w:rPr>
            <m:t>=-A(P,t)∇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(P,t)+d(t),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‖d(t)‖≤δ</m:t>
          </m:r>
        </m:oMath>
      </m:oMathPara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60D324F4" w14:textId="77777777">
        <w:trPr>
          <w:jc w:val="center"/>
        </w:trPr>
        <w:tc>
          <w:tcPr>
            <w:tcW w:w="8928" w:type="dxa"/>
          </w:tcPr>
          <w:p w14:paraId="5539E143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c,i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nary>
                  </m:e>
                </m:rad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zoh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num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trk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sf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2883BC14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(P2)</w:t>
            </w:r>
          </w:p>
        </w:tc>
      </w:tr>
    </w:tbl>
    <w:p w14:paraId="1F3D8EBE" w14:textId="77777777" w:rsidR="004B2EAA" w:rsidRDefault="004B2EAA">
      <w:pPr>
        <w:spacing w:after="60"/>
      </w:pPr>
    </w:p>
    <w:p w14:paraId="1799CA4B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7.2 Proof</w:t>
      </w:r>
    </w:p>
    <w:p w14:paraId="01F26CBA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1. Centroid component</w:t>
      </w:r>
    </w:p>
    <w:p w14:paraId="4C41C80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 nominal law and the ideal field differ only through the centroid each uses, so the gain multiplies the Lemma 2 error directly:</w:t>
      </w:r>
    </w:p>
    <w:p w14:paraId="12A29D31" w14:textId="77777777" w:rsidR="004B2EAA" w:rsidRDefault="00000000">
      <w:pPr>
        <w:spacing w:before="140" w:after="18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nom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‖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nom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‖≤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c,i</m:t>
              </m:r>
            </m:sub>
          </m:sSub>
        </m:oMath>
      </m:oMathPara>
    </w:p>
    <w:p w14:paraId="03752E95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Stacking over the </w:t>
      </w:r>
      <m:oMath>
        <m:r>
          <w:rPr>
            <w:rFonts w:ascii="Cambria Math" w:hAnsi="Cambria Math"/>
          </w:rPr>
          <m:t>N</m:t>
        </m:r>
      </m:oMath>
      <w:r>
        <w:rPr>
          <w:rFonts w:cs="Cambria"/>
          <w:color w:val="17212B"/>
        </w:rPr>
        <w:t xml:space="preserve"> agents in the frozen product norm,</w:t>
      </w:r>
    </w:p>
    <w:p w14:paraId="4188AC12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‖=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‖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c,i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e>
          </m:rad>
        </m:oMath>
      </m:oMathPara>
    </w:p>
    <w:p w14:paraId="333E133E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2. Remaining deviations</w:t>
      </w:r>
    </w:p>
    <w:p w14:paraId="6F75102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Sample-and-hold, solver/integration, low-level tracking and safety-projection deviations are each bounded in the same stacked norm and added by the triangle inequality, which gives (P2).</w:t>
      </w:r>
    </w:p>
    <w:p w14:paraId="78F9B82D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Step 3. Analytic ceiling for the safety filter</w:t>
      </w:r>
    </w:p>
    <w:p w14:paraId="1F1B9B0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safety term admits a bound that needs no model of the filter at all, only the speed cap that both the nominal and the filtered command respect. If </w:t>
      </w:r>
      <m:oMath>
        <m:r>
          <w:rPr>
            <w:rFonts w:ascii="Cambria Math" w:hAnsi="Cambria Math"/>
          </w:rPr>
          <m:t>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‖≤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 for both, then</w:t>
      </w:r>
    </w:p>
    <w:p w14:paraId="0117E937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sf</m:t>
              </m:r>
            </m:sup>
          </m:sSubSup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nom</m:t>
              </m:r>
            </m:sup>
          </m:sSubSup>
          <m:r>
            <w:rPr>
              <w:rFonts w:ascii="Cambria Math" w:hAnsi="Cambria Math"/>
            </w:rPr>
            <m:t>‖≤‖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sf</m:t>
              </m:r>
            </m:sup>
          </m:sSubSup>
          <m:r>
            <w:rPr>
              <w:rFonts w:ascii="Cambria Math" w:hAnsi="Cambria Math"/>
            </w:rPr>
            <m:t>‖+‖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nom</m:t>
              </m:r>
            </m:sup>
          </m:sSubSup>
          <m:r>
            <w:rPr>
              <w:rFonts w:ascii="Cambria Math" w:hAnsi="Cambria Math"/>
            </w:rPr>
            <m:t>‖≤2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sf</m:t>
              </m:r>
            </m:sub>
          </m:sSub>
          <m:r>
            <w:rPr>
              <w:rFonts w:ascii="Cambria Math" w:hAnsi="Cambria Math"/>
            </w:rPr>
            <m:t>≤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N(2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=2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</m:oMath>
      </m:oMathPara>
    </w:p>
    <w:p w14:paraId="0D5A8BE5" w14:textId="7425349C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The norm convention is read from the implementation, never guessed from the symbol. If the cap were componentwise, </w:t>
      </w:r>
      <m:oMath>
        <m:r>
          <w:rPr>
            <w:rFonts w:ascii="Cambria Math" w:hAnsi="Cambria Math"/>
          </w:rPr>
          <m:t>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‖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, then </w:t>
      </w:r>
      <m:oMath>
        <m:r>
          <w:rPr>
            <w:rFonts w:ascii="Cambria Math" w:hAnsi="Cambria Math"/>
          </w:rPr>
          <m:t>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‖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</m:e>
        </m:ra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 and the stacked ceiling would instead be </w:t>
      </w:r>
      <m:oMath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2N</m:t>
            </m:r>
          </m:e>
        </m:ra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</w:rPr>
        <w:t xml:space="preserve">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65B58A69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THIS CEILING IS DELIBERATELY CRUDE</w:t>
      </w:r>
    </w:p>
    <w:p w14:paraId="008BC8A9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m:oMath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rPr>
          <w:rFonts w:cs="Cambria"/>
          <w:color w:val="17212B"/>
          <w:sz w:val="18"/>
        </w:rPr>
        <w:t xml:space="preserve"> assumes the filter may reverse every command. A measured tightening may replace it only when its provenance and coverage interval are recorded in the ledger. Any theorem-mode gap, frontier or lead-side bias must be zero or appear as a further term in (P2).</w:t>
      </w:r>
    </w:p>
    <w:p w14:paraId="0D9DA369" w14:textId="77777777" w:rsidR="004B2EAA" w:rsidRDefault="00000000">
      <w:r>
        <w:br w:type="page"/>
      </w:r>
    </w:p>
    <w:p w14:paraId="7392A678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8. Proposition 3 - reference rate and local regularity</w:t>
      </w:r>
    </w:p>
    <w:p w14:paraId="5C093F31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8.1 Target and density rate</w:t>
      </w:r>
    </w:p>
    <w:p w14:paraId="69CA2B1E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Differentiating the offset target </w:t>
      </w:r>
      <m:oMath>
        <m:r>
          <w:rPr>
            <w:rFonts w:ascii="Cambria Math" w:hAnsi="Cambria Math"/>
          </w:rPr>
          <m:t>ξ=b+dn</m:t>
        </m:r>
      </m:oMath>
      <w:r>
        <w:rPr>
          <w:rFonts w:cs="Cambria"/>
          <w:color w:val="17212B"/>
        </w:rPr>
        <w:t xml:space="preserve"> by the product rule,</w:t>
      </w:r>
    </w:p>
    <w:p w14:paraId="0BE50275" w14:textId="77777777" w:rsidR="004B2EAA" w:rsidRDefault="00000000">
      <w:pPr>
        <w:spacing w:before="140" w:after="180"/>
        <w:jc w:val="center"/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ξ</m:t>
              </m:r>
            </m:e>
          </m:acc>
          <m:r>
            <w:rPr>
              <w:rFonts w:ascii="Cambria Math" w:hAnsi="Cambria Math"/>
            </w:rPr>
            <m:t>=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b</m:t>
              </m:r>
            </m:e>
          </m:acc>
          <m:r>
            <w:rPr>
              <w:rFonts w:ascii="Cambria Math" w:hAnsi="Cambria Math"/>
            </w:rPr>
            <m:t>+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d</m:t>
              </m:r>
            </m:e>
          </m:acc>
          <m:r>
            <w:rPr>
              <w:rFonts w:ascii="Cambria Math" w:hAnsi="Cambria Math"/>
            </w:rPr>
            <m:t>n+d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</m:oMath>
      </m:oMathPara>
    </w:p>
    <w:p w14:paraId="6B9BECD6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Under the rigid-body certificate A3, a point of the boundary at radius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rFonts w:cs="Cambria"/>
          <w:color w:val="17212B"/>
        </w:rPr>
        <w:t xml:space="preserve"> from the object centre moves at speed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v</m:t>
                </m:r>
              </m:e>
            </m:ba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ω</m:t>
                </m:r>
              </m:e>
            </m:ba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rFonts w:cs="Cambria"/>
          <w:color w:val="17212B"/>
        </w:rPr>
        <w:t xml:space="preserve">, the unit normal rotates at rate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ω</m:t>
                </m:r>
              </m:e>
            </m:ba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rPr>
          <w:rFonts w:cs="Cambria"/>
          <w:color w:val="17212B"/>
        </w:rPr>
        <w:t xml:space="preserve">, and the offset varies at rate at most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ω</m:t>
                </m:r>
              </m:e>
            </m:ba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cs="Cambria"/>
          <w:color w:val="17212B"/>
        </w:rPr>
        <w:t>. Hence</w:t>
      </w:r>
    </w:p>
    <w:p w14:paraId="57D9BFA2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‖</m:t>
          </m:r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ξ</m:t>
              </m:r>
            </m:e>
          </m:acc>
          <m:r>
            <w:rPr>
              <w:rFonts w:ascii="Cambria Math" w:hAnsi="Cambria Math"/>
            </w:rPr>
            <m:t>‖≤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)=: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ξ,max</m:t>
              </m:r>
            </m:sub>
          </m:sSub>
        </m:oMath>
      </m:oMathPara>
    </w:p>
    <w:p w14:paraId="57998749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cs="Cambria"/>
          <w:color w:val="17212B"/>
        </w:rPr>
        <w:t xml:space="preserve"> for the constant offset used in version 1. Differentiating the density under the integral sign and applying (T),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70411FCA" w14:textId="77777777">
        <w:trPr>
          <w:jc w:val="center"/>
        </w:trPr>
        <w:tc>
          <w:tcPr>
            <w:tcW w:w="8928" w:type="dxa"/>
          </w:tcPr>
          <w:p w14:paraId="37E7E8C4" w14:textId="77777777" w:rsidR="004B2EAA" w:rsidRDefault="00000000">
            <w:pPr>
              <w:spacing w:before="100" w:after="10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(q,t)=-</m:t>
                </m:r>
                <m:nary>
                  <m:naryPr>
                    <m:limLoc m:val="subSup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Γ(t)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∇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σ</m:t>
                    </m:r>
                  </m:sub>
                </m:sSub>
                <m:r>
                  <w:rPr>
                    <w:rFonts w:ascii="Cambria Math" w:hAnsi="Cambria Math"/>
                  </w:rPr>
                  <m:t>(q-ξ(s,t))·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acc>
                <m:r>
                  <w:rPr>
                    <w:rFonts w:ascii="Cambria Math" w:hAnsi="Cambria Math"/>
                  </w:rPr>
                  <m:t>(s,t)ds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</m:t>
                </m:r>
                <m:r>
                  <w:rPr>
                    <w:rFonts w:ascii="Cambria Math" w:hAnsi="Cambria Math"/>
                  </w:rPr>
                  <m:t>⟹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ϕ</m:t>
                    </m:r>
                  </m:sub>
                </m:sSub>
                <m:r>
                  <w:rPr>
                    <w:rFonts w:ascii="Cambria Math" w:hAnsi="Cambria Math"/>
                  </w:rPr>
                  <m:t>:=‖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K,1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ξ,max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56D97A99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(P3-a)</w:t>
            </w:r>
          </w:p>
        </w:tc>
      </w:tr>
    </w:tbl>
    <w:p w14:paraId="0D6D6AEB" w14:textId="77777777" w:rsidR="004B2EAA" w:rsidRDefault="004B2EAA">
      <w:pPr>
        <w:spacing w:after="60"/>
      </w:pPr>
    </w:p>
    <w:p w14:paraId="39AB6774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8.2 Cost and optimal-value rate</w:t>
      </w:r>
    </w:p>
    <w:p w14:paraId="7FAC9BD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Because the saturated integrand is bounded, </w:t>
      </w:r>
      <m:oMath>
        <m:r>
          <w:rPr>
            <w:rFonts w:ascii="Cambria Math" w:hAnsi="Cambria Math"/>
          </w:rPr>
          <m:t>0≤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≤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rPr>
          <w:rFonts w:cs="Cambria"/>
          <w:color w:val="17212B"/>
        </w:rPr>
        <w:t>, the cost rate inherits the density rate:</w:t>
      </w:r>
    </w:p>
    <w:p w14:paraId="1BE27021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(P,t)|=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limLoc m:val="subSup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min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(‖q-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‖)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∂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ϕ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(q,t)dq</m:t>
              </m:r>
            </m:e>
          </m:d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D</m:t>
              </m:r>
            </m:sub>
            <m:sup/>
            <m:e>
              <m:r>
                <w:rPr>
                  <w:rFonts w:ascii="Cambria Math" w:hAnsi="Cambria Math"/>
                </w:rPr>
                <m:t>|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∂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ϕ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|dq=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</m:oMath>
      </m:oMathPara>
    </w:p>
    <w:p w14:paraId="58F4555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optimal value inherits it too. For a fixed compact </w:t>
      </w:r>
      <m:oMath>
        <m:r>
          <w:rPr>
            <w:rFonts w:ascii="Cambria Math" w:hAnsi="Cambria Math"/>
          </w:rPr>
          <m:t>X</m:t>
        </m:r>
      </m:oMath>
      <w:r>
        <w:rPr>
          <w:rFonts w:cs="Cambria"/>
          <w:color w:val="17212B"/>
        </w:rPr>
        <w:t xml:space="preserve"> and any two times, the elementary inequality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r>
              <w:rPr>
                <w:rFonts w:ascii="Cambria Math" w:hAnsi="Cambria Math"/>
              </w:rPr>
              <m:t>f-</m:t>
            </m:r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r>
              <w:rPr>
                <w:rFonts w:ascii="Cambria Math" w:hAnsi="Cambria Math"/>
              </w:rPr>
              <m:t>g|≤</m:t>
            </m:r>
            <m:r>
              <m:rPr>
                <m:sty m:val="p"/>
              </m:rPr>
              <w:rPr>
                <w:rFonts w:ascii="Cambria Math" w:hAnsi="Cambria Math"/>
              </w:rPr>
              <m:t>sup</m:t>
            </m:r>
            <m:r>
              <w:rPr>
                <w:rFonts w:ascii="Cambria Math" w:hAnsi="Cambria Math"/>
              </w:rPr>
              <m:t>|f-g</m:t>
            </m:r>
          </m:e>
        </m:d>
      </m:oMath>
      <w:r>
        <w:rPr>
          <w:rFonts w:cs="Cambria"/>
          <w:color w:val="17212B"/>
        </w:rPr>
        <w:t xml:space="preserve"> gives</w:t>
      </w:r>
    </w:p>
    <w:p w14:paraId="3079C82A" w14:textId="77777777" w:rsidR="004B2EAA" w:rsidRDefault="00000000">
      <w:pPr>
        <w:spacing w:before="140" w:after="180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)|≤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sup</m:t>
                  </m:r>
                </m:e>
                <m:sub>
                  <m:r>
                    <w:rPr>
                      <w:rFonts w:ascii="Cambria Math" w:hAnsi="Cambria Math"/>
                    </w:rPr>
                    <m:t>P∈X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(P,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(P,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)|≤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</w:rPr>
                    <m:t>ϕ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</m:oMath>
      </m:oMathPara>
    </w:p>
    <w:p w14:paraId="4B00AE87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so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cs="Cambria"/>
          <w:color w:val="17212B"/>
        </w:rPr>
        <w:t xml:space="preserve"> is Lipschitz and, being Lipschitz, differentiable almost everywhere with </w:t>
      </w:r>
      <m:oMath>
        <m: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|≤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cs="Cambria"/>
          <w:color w:val="17212B"/>
        </w:rPr>
        <w:t xml:space="preserve">. Adding the two contributions bounds the drift of </w:t>
      </w:r>
      <m:oMath>
        <m:r>
          <w:rPr>
            <w:rFonts w:ascii="Cambria Math" w:hAnsi="Cambria Math"/>
          </w:rPr>
          <m:t>V=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cs="Cambria"/>
          <w:color w:val="17212B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6367F26F" w14:textId="77777777">
        <w:trPr>
          <w:jc w:val="center"/>
        </w:trPr>
        <w:tc>
          <w:tcPr>
            <w:tcW w:w="8928" w:type="dxa"/>
          </w:tcPr>
          <w:p w14:paraId="74343E84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|≤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:=2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ϕ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134F471D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(P3-b)</w:t>
            </w:r>
          </w:p>
        </w:tc>
      </w:tr>
    </w:tbl>
    <w:p w14:paraId="25CC706E" w14:textId="77777777" w:rsidR="004B2EAA" w:rsidRDefault="004B2EAA">
      <w:pPr>
        <w:spacing w:after="60"/>
      </w:pPr>
    </w:p>
    <w:p w14:paraId="2F01F937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RIGID BOUNDARIES ONLY</w:t>
      </w:r>
    </w:p>
    <w:p w14:paraId="79C270DE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 xml:space="preserve">This derivation uses a rigid twist. Deformation, a time-varying perimeter, or split/merge events break it; those cases need a direct measure-rate assumption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∂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cs="Cambria"/>
          <w:color w:val="17212B"/>
          <w:sz w:val="18"/>
        </w:rPr>
        <w:t xml:space="preserve"> instead.</w:t>
      </w:r>
    </w:p>
    <w:p w14:paraId="3370F633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8.3 Local PL and quadratic growth (M5)</w:t>
      </w:r>
    </w:p>
    <w:p w14:paraId="0FA1DE9E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Suppose A8 holds: on a convex, symmetry-reduced chart of the selected branch,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red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(z,t)⪰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I</m:t>
        </m:r>
      </m:oMath>
      <w:r>
        <w:rPr>
          <w:rFonts w:cs="Cambria"/>
          <w:color w:val="17212B"/>
        </w:rPr>
        <w:t xml:space="preserve">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&gt;0</m:t>
        </m:r>
      </m:oMath>
      <w:r>
        <w:rPr>
          <w:rFonts w:cs="Cambria"/>
          <w:color w:val="17212B"/>
        </w:rPr>
        <w:t xml:space="preserve">. Write </w:t>
      </w:r>
      <m:oMath>
        <m:r>
          <w:rPr>
            <w:rFonts w:ascii="Cambria Math" w:hAnsi="Cambria Math"/>
          </w:rPr>
          <m:t>f</m:t>
        </m:r>
      </m:oMath>
      <w:r>
        <w:rPr>
          <w:rFonts w:cs="Cambria"/>
          <w:color w:val="17212B"/>
        </w:rPr>
        <w:t xml:space="preserve"> for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in those coordinates and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for a minimiser. Integrating the Hessian twice along the segment from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to </w:t>
      </w:r>
      <m:oMath>
        <m:r>
          <w:rPr>
            <w:rFonts w:ascii="Cambria Math" w:hAnsi="Cambria Math"/>
          </w:rPr>
          <m:t>z</m:t>
        </m:r>
      </m:oMath>
      <w:r>
        <w:rPr>
          <w:rFonts w:cs="Cambria"/>
          <w:color w:val="17212B"/>
        </w:rPr>
        <w:t xml:space="preserve"> gives the standard strong-convexity inequality</w:t>
      </w:r>
    </w:p>
    <w:p w14:paraId="4FE60FF1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f(y)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≥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f(z)+∇f(z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(y-z)+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‖y-z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‖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∀y,z</m:t>
          </m:r>
        </m:oMath>
      </m:oMathPara>
    </w:p>
    <w:p w14:paraId="47FE6166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Putting </w:t>
      </w: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gives quadratic growth,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55E9D738" w14:textId="77777777">
        <w:trPr>
          <w:jc w:val="center"/>
        </w:trPr>
        <w:tc>
          <w:tcPr>
            <w:tcW w:w="8928" w:type="dxa"/>
          </w:tcPr>
          <w:p w14:paraId="04EB5F86" w14:textId="77777777" w:rsidR="004B2EAA" w:rsidRDefault="00000000">
            <w:pPr>
              <w:spacing w:before="100" w:after="10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dist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(P,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(t)),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r>
                  <w:rPr>
                    <w:rFonts w:ascii="Cambria Math" w:hAnsi="Cambria Math"/>
                  </w:rPr>
                  <m:t>α=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1152" w:type="dxa"/>
          </w:tcPr>
          <w:p w14:paraId="54BC4682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(QG)</w:t>
            </w:r>
          </w:p>
        </w:tc>
      </w:tr>
    </w:tbl>
    <w:p w14:paraId="06F27210" w14:textId="77777777" w:rsidR="004B2EAA" w:rsidRDefault="004B2EAA">
      <w:pPr>
        <w:spacing w:after="60"/>
      </w:pPr>
    </w:p>
    <w:p w14:paraId="1E0E86D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and minimising the right-hand side over </w:t>
      </w:r>
      <m:oMath>
        <m:r>
          <w:rPr>
            <w:rFonts w:ascii="Cambria Math" w:hAnsi="Cambria Math"/>
          </w:rPr>
          <m:t>y</m:t>
        </m:r>
      </m:oMath>
      <w:r>
        <w:rPr>
          <w:rFonts w:cs="Cambria"/>
          <w:color w:val="17212B"/>
        </w:rPr>
        <w:t xml:space="preserve"> instead, at </w:t>
      </w:r>
      <m:oMath>
        <m:r>
          <w:rPr>
            <w:rFonts w:ascii="Cambria Math" w:hAnsi="Cambria Math"/>
          </w:rPr>
          <m:t>y=z-∇f(z)/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rPr>
          <w:rFonts w:cs="Cambria"/>
          <w:color w:val="17212B"/>
        </w:rPr>
        <w:t>, gives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528"/>
      </w:tblGrid>
      <w:tr w:rsidR="004B2EAA" w14:paraId="0C085594" w14:textId="77777777">
        <w:trPr>
          <w:jc w:val="center"/>
        </w:trPr>
        <w:tc>
          <w:tcPr>
            <w:tcW w:w="6552" w:type="dxa"/>
          </w:tcPr>
          <w:p w14:paraId="2E56997A" w14:textId="77777777" w:rsidR="004B2EAA" w:rsidRDefault="00000000">
            <w:pPr>
              <w:spacing w:before="60" w:after="6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(z)-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∇f(z)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3528" w:type="dxa"/>
          </w:tcPr>
          <w:p w14:paraId="4B4AB4D6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minimise the quadratic lower bound over </w:t>
            </w:r>
            <m:oMath>
              <m:r>
                <w:rPr>
                  <w:rFonts w:ascii="Cambria Math" w:hAnsi="Cambria Math"/>
                </w:rPr>
                <m:t>y</m:t>
              </m:r>
            </m:oMath>
          </w:p>
        </w:tc>
      </w:tr>
      <w:tr w:rsidR="004B2EAA" w14:paraId="2C2B41BC" w14:textId="77777777">
        <w:trPr>
          <w:jc w:val="center"/>
        </w:trPr>
        <w:tc>
          <w:tcPr>
            <w:tcW w:w="6552" w:type="dxa"/>
          </w:tcPr>
          <w:p w14:paraId="36C7CE75" w14:textId="77777777" w:rsidR="004B2EAA" w:rsidRDefault="00000000">
            <w:pPr>
              <w:spacing w:before="60" w:after="60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μ[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],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r>
                  <w:rPr>
                    <w:rFonts w:ascii="Cambria Math" w:hAnsi="Cambria Math"/>
                  </w:rPr>
                  <m:t>μ=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2A48211E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rearrange</w:t>
            </w:r>
          </w:p>
        </w:tc>
      </w:tr>
    </w:tbl>
    <w:p w14:paraId="128587DD" w14:textId="77777777" w:rsidR="004B2EAA" w:rsidRDefault="004B2EAA">
      <w:pPr>
        <w:spacing w:after="40"/>
      </w:pPr>
    </w:p>
    <w:p w14:paraId="27B9F677" w14:textId="52603DC1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which is the local Polyak-Lojasiewicz inequality used in Theorem 1.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2430EA28" w14:textId="77777777" w:rsidR="004B2EAA" w:rsidRDefault="00000000">
      <w:pPr>
        <w:keepNext/>
        <w:pBdr>
          <w:left w:val="single" w:sz="18" w:space="10" w:color="2A6F97"/>
        </w:pBdr>
        <w:shd w:val="clear" w:color="auto" w:fill="F4F8FB"/>
        <w:spacing w:before="180" w:after="60"/>
        <w:ind w:left="240"/>
      </w:pPr>
      <w:r>
        <w:rPr>
          <w:rFonts w:ascii="Segoe UI" w:hAnsi="Segoe UI" w:cs="Segoe UI"/>
          <w:b/>
          <w:color w:val="2A6F97"/>
          <w:sz w:val="16"/>
        </w:rPr>
        <w:t>A8 IS CONDITIONAL, AND THAT IS THE HONEST STATUS</w:t>
      </w:r>
    </w:p>
    <w:p w14:paraId="0393B97B" w14:textId="77777777" w:rsidR="004B2EAA" w:rsidRDefault="00000000">
      <w:pPr>
        <w:pBdr>
          <w:left w:val="single" w:sz="18" w:space="10" w:color="2A6F97"/>
        </w:pBdr>
        <w:shd w:val="clear" w:color="auto" w:fill="F4F8FB"/>
        <w:spacing w:after="180"/>
        <w:ind w:left="240"/>
        <w:jc w:val="both"/>
      </w:pPr>
      <w:r>
        <w:rPr>
          <w:rFonts w:cs="Cambria"/>
          <w:color w:val="17212B"/>
          <w:sz w:val="18"/>
        </w:rPr>
        <w:t>The implication above is proved. Its premise is not established here: no specific nondegenerate branch, cell combinatorics, reduced gauge, or complete parameter tube was supplied, so no validated interval enclosure of the reduced Hessian exists. A floating-point eigenvalue at one configuration would be NUMERIC-SANITY evidence and is not presented as proof. No global PL claim is made for a nonconvex CVT cost.</w:t>
      </w:r>
    </w:p>
    <w:p w14:paraId="553F58F5" w14:textId="77777777" w:rsidR="004B2EAA" w:rsidRDefault="00000000">
      <w:r>
        <w:br w:type="page"/>
      </w:r>
    </w:p>
    <w:p w14:paraId="7A448E76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9. Theorem 1 - local practical stability</w:t>
      </w:r>
    </w:p>
    <w:p w14:paraId="331A2E71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9.1 Statement</w:t>
      </w:r>
    </w:p>
    <w:p w14:paraId="0E747C5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Assume A1-A10, Lemmas 1-2 and Propositions 1-3, on an interval throughout which the solution remains in the regular tube </w:t>
      </w:r>
      <m:oMath>
        <m:r>
          <w:rPr>
            <w:rFonts w:ascii="Cambria Math" w:hAnsi="Cambria Math"/>
          </w:rPr>
          <m:t>X</m:t>
        </m:r>
      </m:oMath>
      <w:r>
        <w:rPr>
          <w:rFonts w:cs="Cambria"/>
          <w:color w:val="17212B"/>
        </w:rPr>
        <w:t>. Define</w:t>
      </w:r>
    </w:p>
    <w:p w14:paraId="25D306E6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V(P,t)=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(P,t)-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sub>
            <m:sup>
              <m:r>
                <w:rPr>
                  <w:rFonts w:ascii="Cambria Math" w:hAnsi="Cambria Math"/>
                </w:rPr>
                <m:t>*</m:t>
              </m:r>
            </m:sup>
          </m:sSubSup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≥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0,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μ,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</m:oMath>
      </m:oMathPara>
    </w:p>
    <w:p w14:paraId="2BBC719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Then for every </w:t>
      </w:r>
      <m:oMath>
        <m:r>
          <w:rPr>
            <w:rFonts w:ascii="Cambria Math" w:hAnsi="Cambria Math"/>
          </w:rPr>
          <m:t>t≥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cs="Cambria"/>
          <w:color w:val="17212B"/>
        </w:rPr>
        <w:t xml:space="preserve"> in that interval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51C7FB57" w14:textId="77777777">
        <w:trPr>
          <w:jc w:val="center"/>
        </w:trPr>
        <w:tc>
          <w:tcPr>
            <w:tcW w:w="8928" w:type="dxa"/>
          </w:tcPr>
          <w:p w14:paraId="775F2F28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V(t)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≤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(t-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r>
                  <w:rPr>
                    <w:rFonts w:ascii="Cambria Math" w:hAnsi="Cambria Math"/>
                  </w:rPr>
                  <m:t>V(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(1-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(t-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</w:tcPr>
          <w:p w14:paraId="19A1084C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(T1-a)</w:t>
            </w:r>
          </w:p>
        </w:tc>
      </w:tr>
    </w:tbl>
    <w:p w14:paraId="00020722" w14:textId="77777777" w:rsidR="004B2EAA" w:rsidRDefault="004B2EAA">
      <w:pPr>
        <w:spacing w:after="60"/>
      </w:pPr>
    </w:p>
    <w:p w14:paraId="68D8649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and, if the regular-tube hypotheses persist for all future time,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47E5FB20" w14:textId="77777777">
        <w:trPr>
          <w:jc w:val="center"/>
        </w:trPr>
        <w:tc>
          <w:tcPr>
            <w:tcW w:w="8928" w:type="dxa"/>
          </w:tcPr>
          <w:p w14:paraId="5098BCE4" w14:textId="77777777" w:rsidR="004B2EAA" w:rsidRDefault="00000000">
            <w:pPr>
              <w:spacing w:before="100" w:after="10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lim sup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t→∞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dist</m:t>
                </m:r>
                <m:r>
                  <w:rPr>
                    <w:rFonts w:ascii="Cambria Math" w:hAnsi="Cambria Math"/>
                  </w:rPr>
                  <m:t>(P(t),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(t))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≤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2B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1152" w:type="dxa"/>
          </w:tcPr>
          <w:p w14:paraId="0E936713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(T1-b)</w:t>
            </w:r>
          </w:p>
        </w:tc>
      </w:tr>
    </w:tbl>
    <w:p w14:paraId="5CDFCF71" w14:textId="77777777" w:rsidR="004B2EAA" w:rsidRDefault="004B2EAA">
      <w:pPr>
        <w:spacing w:after="60"/>
      </w:pPr>
    </w:p>
    <w:p w14:paraId="11261392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9.2 Proof - every inequality named</w:t>
      </w:r>
    </w:p>
    <w:p w14:paraId="7CC982A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Differentiate </w:t>
      </w:r>
      <m:oMath>
        <m:r>
          <w:rPr>
            <w:rFonts w:ascii="Cambria Math" w:hAnsi="Cambria Math"/>
          </w:rPr>
          <m:t>V</m:t>
        </m:r>
      </m:oMath>
      <w:r>
        <w:rPr>
          <w:rFonts w:cs="Cambria"/>
          <w:color w:val="17212B"/>
        </w:rPr>
        <w:t xml:space="preserve"> along the solution at an almost-every regular time and bound each term by the result that produces it.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528"/>
      </w:tblGrid>
      <w:tr w:rsidR="004B2EAA" w14:paraId="65BC684F" w14:textId="77777777">
        <w:trPr>
          <w:jc w:val="center"/>
        </w:trPr>
        <w:tc>
          <w:tcPr>
            <w:tcW w:w="6552" w:type="dxa"/>
          </w:tcPr>
          <w:p w14:paraId="59A55C56" w14:textId="77777777" w:rsidR="004B2EAA" w:rsidRDefault="00000000">
            <w:pPr>
              <w:spacing w:before="60" w:after="60"/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  <m:r>
                  <w:rPr>
                    <w:rFonts w:ascii="Cambria Math" w:hAnsi="Cambria Math"/>
                  </w:rPr>
                  <m:t>=∇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*⊤</m:t>
                    </m:r>
                  </m:sup>
                </m:sSup>
                <m:acc>
                  <m:accPr>
                    <m:chr m:val="̇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</m:acc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3528" w:type="dxa"/>
          </w:tcPr>
          <w:p w14:paraId="37D44734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chain rule; 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bSup>
            </m:oMath>
            <w:r>
              <w:rPr>
                <w:rFonts w:cs="Cambria"/>
                <w:color w:val="5C6B78"/>
                <w:sz w:val="16"/>
              </w:rPr>
              <w:t xml:space="preserve"> differentiable a.e. by Prop. 3</w:t>
            </w:r>
          </w:p>
        </w:tc>
      </w:tr>
      <w:tr w:rsidR="004B2EAA" w14:paraId="1EC37E2E" w14:textId="77777777">
        <w:trPr>
          <w:jc w:val="center"/>
        </w:trPr>
        <w:tc>
          <w:tcPr>
            <w:tcW w:w="6552" w:type="dxa"/>
          </w:tcPr>
          <w:p w14:paraId="07FA976A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*⊤</m:t>
                    </m:r>
                  </m:sup>
                </m:sSup>
                <m:r>
                  <w:rPr>
                    <w:rFonts w:ascii="Cambria Math" w:hAnsi="Cambria Math"/>
                  </w:rPr>
                  <m:t>(-A∇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+d)+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∂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3528" w:type="dxa"/>
          </w:tcPr>
          <w:p w14:paraId="338F6286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substitute the dynamics</w:t>
            </w:r>
          </w:p>
        </w:tc>
      </w:tr>
      <w:tr w:rsidR="004B2EAA" w14:paraId="2D229238" w14:textId="77777777">
        <w:trPr>
          <w:jc w:val="center"/>
        </w:trPr>
        <w:tc>
          <w:tcPr>
            <w:tcW w:w="6552" w:type="dxa"/>
          </w:tcPr>
          <w:p w14:paraId="4CCC79D6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≤-∇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*⊤</m:t>
                    </m:r>
                  </m:sup>
                </m:sSup>
                <m:r>
                  <w:rPr>
                    <w:rFonts w:ascii="Cambria Math" w:hAnsi="Cambria Math"/>
                  </w:rPr>
                  <m:t>A∇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+‖∇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‖‖d‖+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5B6AD963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Cauchy-Schwarz, and (P3-b)</w:t>
            </w:r>
          </w:p>
        </w:tc>
      </w:tr>
      <w:tr w:rsidR="004B2EAA" w14:paraId="1BC0D7EC" w14:textId="77777777">
        <w:trPr>
          <w:jc w:val="center"/>
        </w:trPr>
        <w:tc>
          <w:tcPr>
            <w:tcW w:w="6552" w:type="dxa"/>
          </w:tcPr>
          <w:p w14:paraId="22502D5C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+δ‖∇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w:rPr>
                    <w:rFonts w:ascii="Cambria Math" w:hAnsi="Cambria Math"/>
                  </w:rPr>
                  <m:t>‖+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78E8F30B" w14:textId="77777777" w:rsidR="004B2EAA" w:rsidRDefault="00000000">
            <w:pPr>
              <w:spacing w:before="80" w:after="60"/>
              <w:jc w:val="right"/>
            </w:pPr>
            <m:oMath>
              <m:r>
                <w:rPr>
                  <w:rFonts w:ascii="Cambria Math" w:hAnsi="Cambria Math"/>
                </w:rPr>
                <m:t>A⪰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cs="Cambria"/>
                <w:color w:val="5C6B78"/>
                <w:sz w:val="16"/>
              </w:rPr>
              <w:t xml:space="preserve"> by (P1-b); </w:t>
            </w:r>
            <m:oMath>
              <m:r>
                <w:rPr>
                  <w:rFonts w:ascii="Cambria Math" w:hAnsi="Cambria Math"/>
                </w:rPr>
                <m:t>‖d‖≤δ</m:t>
              </m:r>
            </m:oMath>
            <w:r>
              <w:rPr>
                <w:rFonts w:cs="Cambria"/>
                <w:color w:val="5C6B78"/>
                <w:sz w:val="16"/>
              </w:rPr>
              <w:t xml:space="preserve"> by (P2)</w:t>
            </w:r>
          </w:p>
        </w:tc>
      </w:tr>
      <w:tr w:rsidR="004B2EAA" w14:paraId="44E825E7" w14:textId="77777777">
        <w:trPr>
          <w:jc w:val="center"/>
        </w:trPr>
        <w:tc>
          <w:tcPr>
            <w:tcW w:w="6552" w:type="dxa"/>
          </w:tcPr>
          <w:p w14:paraId="50283401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3528" w:type="dxa"/>
          </w:tcPr>
          <w:p w14:paraId="315FD7D7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Young: </w:t>
            </w:r>
            <m:oMath>
              <m:r>
                <w:rPr>
                  <w:rFonts w:ascii="Cambria Math" w:hAnsi="Cambria Math"/>
                </w:rPr>
                <m:t>δx≤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δ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</m:oMath>
          </w:p>
        </w:tc>
      </w:tr>
      <w:tr w:rsidR="004B2EAA" w14:paraId="3F43B944" w14:textId="77777777">
        <w:trPr>
          <w:jc w:val="center"/>
        </w:trPr>
        <w:tc>
          <w:tcPr>
            <w:tcW w:w="6552" w:type="dxa"/>
          </w:tcPr>
          <w:p w14:paraId="1902DDBF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‖∇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+B</m:t>
                </m:r>
              </m:oMath>
            </m:oMathPara>
          </w:p>
        </w:tc>
        <w:tc>
          <w:tcPr>
            <w:tcW w:w="3528" w:type="dxa"/>
          </w:tcPr>
          <w:p w14:paraId="1E019F29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definition of 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</w:tr>
      <w:tr w:rsidR="004B2EAA" w14:paraId="0B1F7D5D" w14:textId="77777777">
        <w:trPr>
          <w:jc w:val="center"/>
        </w:trPr>
        <w:tc>
          <w:tcPr>
            <w:tcW w:w="6552" w:type="dxa"/>
          </w:tcPr>
          <w:p w14:paraId="24274996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μV+B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</m:t>
                </m:r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V+B</m:t>
                </m:r>
              </m:oMath>
            </m:oMathPara>
          </w:p>
        </w:tc>
        <w:tc>
          <w:tcPr>
            <w:tcW w:w="3528" w:type="dxa"/>
          </w:tcPr>
          <w:p w14:paraId="123EB7D7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local PL: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‖∇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≥μV</m:t>
              </m:r>
            </m:oMath>
          </w:p>
        </w:tc>
      </w:tr>
    </w:tbl>
    <w:p w14:paraId="52190C7C" w14:textId="77777777" w:rsidR="004B2EAA" w:rsidRDefault="004B2EAA">
      <w:pPr>
        <w:spacing w:after="40"/>
      </w:pPr>
    </w:p>
    <w:p w14:paraId="2600D7A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The scalar comparison lemma applied to 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≤-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V+B</m:t>
        </m:r>
      </m:oMath>
      <w:r>
        <w:rPr>
          <w:rFonts w:cs="Cambria"/>
          <w:color w:val="17212B"/>
        </w:rPr>
        <w:t xml:space="preserve"> integrates this to (T1-a): the solution of the corresponding equality is exactly the right-hand side of (T1-a), and a differential inequality is dominated by it. Letting </w:t>
      </w:r>
      <m:oMath>
        <m:r>
          <w:rPr>
            <w:rFonts w:ascii="Cambria Math" w:hAnsi="Cambria Math"/>
          </w:rPr>
          <m:t>t→∞</m:t>
        </m:r>
      </m:oMath>
      <w:r>
        <w:rPr>
          <w:rFonts w:cs="Cambria"/>
          <w:color w:val="17212B"/>
        </w:rPr>
        <w:t xml:space="preserve"> in (T1-a), the exponential terms vanish and</w:t>
      </w:r>
    </w:p>
    <w:p w14:paraId="095CE228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lim sup</m:t>
              </m:r>
            </m:e>
            <m:sub>
              <m:r>
                <w:rPr>
                  <w:rFonts w:ascii="Cambria Math" w:hAnsi="Cambria Math"/>
                </w:rPr>
                <m:t>t→∞</m:t>
              </m:r>
            </m:sub>
          </m:sSub>
          <m:r>
            <w:rPr>
              <w:rFonts w:ascii="Cambria Math" w:hAnsi="Cambria Math"/>
            </w:rPr>
            <m:t>V(t)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≤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den>
          </m:f>
        </m:oMath>
      </m:oMathPara>
    </w:p>
    <w:p w14:paraId="4B5CC184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Finally, quadratic growth (QG) converts the Lyapunov level into a distance,</w:t>
      </w:r>
    </w:p>
    <w:p w14:paraId="4078CC81" w14:textId="77777777" w:rsidR="004B2EAA" w:rsidRDefault="00000000">
      <w:pPr>
        <w:spacing w:before="140" w:after="18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dist</m:t>
          </m:r>
          <m:r>
            <w:rPr>
              <w:rFonts w:ascii="Cambria Math" w:hAnsi="Cambria Math"/>
            </w:rPr>
            <m:t>(P,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)≤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2V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lim sup</m:t>
              </m:r>
            </m:e>
            <m:sub>
              <m:r>
                <w:rPr>
                  <w:rFonts w:ascii="Cambria Math" w:hAnsi="Cambria Math"/>
                </w:rPr>
                <m:t>t→∞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dist</m:t>
          </m:r>
          <m:r>
            <w:rPr>
              <w:rFonts w:ascii="Cambria Math" w:hAnsi="Cambria Math"/>
            </w:rPr>
            <m:t>(P(t),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(t))≤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2B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den>
              </m:f>
            </m:e>
          </m:rad>
        </m:oMath>
      </m:oMathPara>
    </w:p>
    <w:p w14:paraId="754A4BC0" w14:textId="512E0355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lastRenderedPageBreak/>
        <w:t xml:space="preserve">which is (T1-b).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3E48EB41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9.3 Status</w:t>
      </w:r>
    </w:p>
    <w:p w14:paraId="0E75E2A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 implication is analytically complete and its scalar algebra is Wolfram-verified (Young, the comparison solution, and the strong convexity to PL step). The theorem remains CONDITIONAL on A5 and A8-A10 and on the run/tube certificates. It is local. It is not a global PL theorem, and it says nothing about caging or transport success.</w:t>
      </w:r>
    </w:p>
    <w:p w14:paraId="5B85B3F4" w14:textId="77777777" w:rsidR="004B2EAA" w:rsidRDefault="00000000">
      <w:r>
        <w:br w:type="page"/>
      </w:r>
    </w:p>
    <w:p w14:paraId="33557ED1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10. Corollaries</w:t>
      </w:r>
    </w:p>
    <w:p w14:paraId="71EEF655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10.1 Frozen perfect information</w:t>
      </w:r>
    </w:p>
    <w:p w14:paraId="776D15F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If every implementation error vanishes and the reference is frozen, then </w:t>
      </w:r>
      <m:oMath>
        <m:r>
          <w:rPr>
            <w:rFonts w:ascii="Cambria Math" w:hAnsi="Cambria Math"/>
          </w:rPr>
          <m:t>δ=0</m:t>
        </m:r>
      </m:oMath>
      <w:r>
        <w:rPr>
          <w:rFonts w:cs="Cambria"/>
          <w:color w:val="17212B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cs="Cambria"/>
          <w:color w:val="17212B"/>
        </w:rPr>
        <w:t xml:space="preserve">, so </w:t>
      </w:r>
      <m:oMath>
        <m:r>
          <w:rPr>
            <w:rFonts w:ascii="Cambria Math" w:hAnsi="Cambria Math"/>
          </w:rPr>
          <m:t>B=0</m:t>
        </m:r>
      </m:oMath>
      <w:r>
        <w:rPr>
          <w:rFonts w:cs="Cambria"/>
          <w:color w:val="17212B"/>
        </w:rPr>
        <w:t xml:space="preserve"> and (T1-a) collapses to pure exponential decay:</w:t>
      </w:r>
    </w:p>
    <w:p w14:paraId="2EF14F2C" w14:textId="77777777" w:rsidR="004B2EAA" w:rsidRDefault="00000000">
      <w:pPr>
        <w:spacing w:before="140" w:after="180"/>
        <w:jc w:val="center"/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V</m:t>
              </m:r>
            </m:e>
          </m:acc>
          <m:r>
            <w:rPr>
              <w:rFonts w:ascii="Cambria Math" w:hAnsi="Cambria Math"/>
            </w:rPr>
            <m:t>≤-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V(t)≤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(t-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>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r>
            <w:rPr>
              <w:rFonts w:ascii="Cambria Math" w:hAnsi="Cambria Math"/>
            </w:rPr>
            <m:t>⟹</m:t>
          </m:r>
          <m:r>
            <m:rPr>
              <m:sty m:val="p"/>
            </m:rPr>
            <w:rPr>
              <w:rFonts w:ascii="Cambria Math" w:hAnsi="Cambria Math"/>
            </w:rPr>
            <m:t>  dist</m:t>
          </m:r>
          <m:r>
            <w:rPr>
              <w:rFonts w:ascii="Cambria Math" w:hAnsi="Cambria Math"/>
            </w:rPr>
            <m:t>(P(t),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)→0</m:t>
          </m:r>
        </m:oMath>
      </m:oMathPara>
    </w:p>
    <w:p w14:paraId="7A7710BD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This is a sanity gate, not a decoration: the constant generator and the unit tests require exactly </w:t>
      </w:r>
      <m:oMath>
        <m:r>
          <w:rPr>
            <w:rFonts w:ascii="Cambria Math" w:hAnsi="Cambria Math"/>
          </w:rPr>
          <m:t>B=0</m:t>
        </m:r>
      </m:oMath>
      <w:r>
        <w:rPr>
          <w:rFonts w:cs="Cambria"/>
          <w:color w:val="17212B"/>
        </w:rPr>
        <w:t xml:space="preserve"> and a zero ultimate radius in this case. If they did not, the formulas or their wiring would be wrong and Theorem 1 could not be marked complete.</w:t>
      </w:r>
    </w:p>
    <w:p w14:paraId="44CA26FC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10.2 Sampled-data corollary (M7)</w:t>
      </w:r>
    </w:p>
    <w:p w14:paraId="1A4662F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Let the implementation take explicit steps of size </w:t>
      </w:r>
      <m:oMath>
        <m:r>
          <w:rPr>
            <w:rFonts w:ascii="Cambria Math" w:hAnsi="Cambria Math"/>
          </w:rPr>
          <m:t>Δt</m:t>
        </m:r>
      </m:oMath>
      <w:r>
        <w:rPr>
          <w:rFonts w:cs="Cambria"/>
          <w:color w:val="17212B"/>
        </w:rPr>
        <w:t>,</w:t>
      </w:r>
    </w:p>
    <w:p w14:paraId="19509520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+Δt[-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],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I⪯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⪯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I,</m:t>
          </m:r>
          <m:r>
            <m:rPr>
              <m:sty m:val="p"/>
            </m:rPr>
            <w:rPr>
              <w:rFonts w:ascii="Cambria Math" w:hAnsi="Cambria Math"/>
            </w:rPr>
            <m:t>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</m:oMath>
      </m:oMathPara>
    </w:p>
    <w:p w14:paraId="4375A0DA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with </w:t>
      </w:r>
      <m:oMath>
        <m:r>
          <w:rPr>
            <w:rFonts w:ascii="Cambria Math" w:hAnsi="Cambria Math"/>
          </w:rPr>
          <m:t>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‖≤δ</m:t>
        </m:r>
      </m:oMath>
      <w:r>
        <w:rPr>
          <w:rFonts w:cs="Cambria"/>
          <w:color w:val="17212B"/>
        </w:rPr>
        <w:t xml:space="preserve"> and </w:t>
      </w:r>
      <m:oMath>
        <m:r>
          <w:rPr>
            <w:rFonts w:ascii="Cambria Math" w:hAnsi="Cambria Math"/>
          </w:rPr>
          <m:t>∇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cs="Cambria"/>
          <w:color w:val="17212B"/>
        </w:rPr>
        <w:t xml:space="preserve"> spatially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rPr>
          <w:rFonts w:cs="Cambria"/>
          <w:color w:val="17212B"/>
        </w:rPr>
        <w:t xml:space="preserve">-Lipschitz on </w:t>
      </w:r>
      <m:oMath>
        <m:r>
          <w:rPr>
            <w:rFonts w:ascii="Cambria Math" w:hAnsi="Cambria Math"/>
          </w:rPr>
          <m:t>X</m:t>
        </m:r>
      </m:oMath>
      <w:r>
        <w:rPr>
          <w:rFonts w:cs="Cambria"/>
          <w:color w:val="17212B"/>
        </w:rPr>
        <w:t>. Define</w:t>
      </w:r>
    </w:p>
    <w:p w14:paraId="12A895D4" w14:textId="77777777" w:rsidR="004B2EAA" w:rsidRDefault="00000000">
      <w:pPr>
        <w:spacing w:before="140" w:after="180"/>
        <w:jc w:val="center"/>
      </w:pPr>
      <m:oMathPara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Δt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=δ(1+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Δt),</m:t>
          </m:r>
          <m:r>
            <m:rPr>
              <m:sty m:val="p"/>
            </m:rPr>
            <w:rPr>
              <w:rFonts w:ascii="Cambria Math" w:hAnsi="Cambria Math"/>
            </w:rPr>
            <m:t>   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δ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Δt+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</m:oMath>
      </m:oMathPara>
    </w:p>
    <w:p w14:paraId="68889631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Then, under the step gates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727EE223" w14:textId="77777777">
        <w:trPr>
          <w:jc w:val="center"/>
        </w:trPr>
        <w:tc>
          <w:tcPr>
            <w:tcW w:w="8928" w:type="dxa"/>
          </w:tcPr>
          <w:p w14:paraId="5AF6CE22" w14:textId="77777777" w:rsidR="004B2EAA" w:rsidRDefault="00000000">
            <w:pPr>
              <w:spacing w:before="100" w:after="10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Δt&lt;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r>
                  <w:rPr>
                    <w:rFonts w:ascii="Cambria Math" w:hAnsi="Cambria Math"/>
                  </w:rPr>
                  <m:t>0&lt;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bar>
                <m:r>
                  <w:rPr>
                    <w:rFonts w:ascii="Cambria Math" w:hAnsi="Cambria Math"/>
                  </w:rPr>
                  <m:t>μΔt≤1</m:t>
                </m:r>
              </m:oMath>
            </m:oMathPara>
          </w:p>
        </w:tc>
        <w:tc>
          <w:tcPr>
            <w:tcW w:w="1152" w:type="dxa"/>
          </w:tcPr>
          <w:p w14:paraId="494EE39D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(M7-gate)</w:t>
            </w:r>
          </w:p>
        </w:tc>
      </w:tr>
    </w:tbl>
    <w:p w14:paraId="08B64C55" w14:textId="77777777" w:rsidR="004B2EAA" w:rsidRDefault="004B2EAA">
      <w:pPr>
        <w:spacing w:after="60"/>
      </w:pPr>
    </w:p>
    <w:p w14:paraId="549B16D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the Lyapunov level contracts geometrically,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28"/>
        <w:gridCol w:w="1152"/>
      </w:tblGrid>
      <w:tr w:rsidR="004B2EAA" w14:paraId="5F986DC3" w14:textId="77777777">
        <w:trPr>
          <w:jc w:val="center"/>
        </w:trPr>
        <w:tc>
          <w:tcPr>
            <w:tcW w:w="8928" w:type="dxa"/>
          </w:tcPr>
          <w:p w14:paraId="5CC83EA0" w14:textId="77777777" w:rsidR="004B2EAA" w:rsidRDefault="00000000">
            <w:pPr>
              <w:spacing w:before="100" w:after="10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≤(1-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bar>
                <m:r>
                  <w:rPr>
                    <w:rFonts w:ascii="Cambria Math" w:hAnsi="Cambria Math"/>
                  </w:rPr>
                  <m:t>μΔt)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Δt,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   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lim sup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k→∞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dist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*</m:t>
                    </m:r>
                  </m:sup>
                </m:sSubSup>
                <m:r>
                  <w:rPr>
                    <w:rFonts w:ascii="Cambria Math" w:hAnsi="Cambria Math"/>
                  </w:rPr>
                  <m:t>)≤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bar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1152" w:type="dxa"/>
          </w:tcPr>
          <w:p w14:paraId="09175805" w14:textId="77777777" w:rsidR="004B2EAA" w:rsidRDefault="00000000">
            <w:pPr>
              <w:spacing w:before="180"/>
              <w:jc w:val="right"/>
            </w:pPr>
            <w:r>
              <w:rPr>
                <w:rFonts w:ascii="Segoe UI" w:hAnsi="Segoe UI" w:cs="Segoe UI"/>
                <w:color w:val="5C6B78"/>
                <w:sz w:val="18"/>
              </w:rPr>
              <w:t>(M7)</w:t>
            </w:r>
          </w:p>
        </w:tc>
      </w:tr>
    </w:tbl>
    <w:p w14:paraId="75B7C9A6" w14:textId="77777777" w:rsidR="004B2EAA" w:rsidRDefault="004B2EAA">
      <w:pPr>
        <w:spacing w:after="60"/>
      </w:pPr>
    </w:p>
    <w:p w14:paraId="26BFD028" w14:textId="77777777" w:rsidR="004B2EAA" w:rsidRDefault="00000000">
      <w:pPr>
        <w:keepNext/>
        <w:spacing w:before="180" w:after="80"/>
      </w:pPr>
      <w:r>
        <w:rPr>
          <w:rFonts w:ascii="Segoe UI" w:hAnsi="Segoe UI" w:cs="Segoe UI"/>
          <w:b/>
          <w:color w:val="17324D"/>
        </w:rPr>
        <w:t>Proof</w:t>
      </w:r>
    </w:p>
    <w:p w14:paraId="27A142E8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Apply the descent lemma to the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rPr>
          <w:rFonts w:cs="Cambria"/>
          <w:color w:val="17212B"/>
        </w:rPr>
        <w:t xml:space="preserve">-Lipschitz gradient, add the reference drift over one step, and write </w:t>
      </w:r>
      <m:oMath>
        <m:r>
          <w:rPr>
            <w:rFonts w:ascii="Cambria Math" w:hAnsi="Cambria Math"/>
          </w:rPr>
          <m:t>x=‖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‖</m:t>
        </m:r>
      </m:oMath>
      <w:r>
        <w:rPr>
          <w:rFonts w:cs="Cambria"/>
          <w:color w:val="17212B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52"/>
        <w:gridCol w:w="3528"/>
      </w:tblGrid>
      <w:tr w:rsidR="004B2EAA" w14:paraId="3F1ED826" w14:textId="77777777">
        <w:trPr>
          <w:jc w:val="center"/>
        </w:trPr>
        <w:tc>
          <w:tcPr>
            <w:tcW w:w="6552" w:type="dxa"/>
          </w:tcPr>
          <w:p w14:paraId="709096D8" w14:textId="77777777" w:rsidR="004B2EAA" w:rsidRDefault="00000000">
            <w:pPr>
              <w:spacing w:before="60" w:after="6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≤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⊤</m:t>
                    </m:r>
                  </m:sup>
                </m:sSubSup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‖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Δt</m:t>
                </m:r>
              </m:oMath>
            </m:oMathPara>
          </w:p>
        </w:tc>
        <w:tc>
          <w:tcPr>
            <w:tcW w:w="3528" w:type="dxa"/>
          </w:tcPr>
          <w:p w14:paraId="75F7D121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>descent lemma and (P3-b)</w:t>
            </w:r>
          </w:p>
        </w:tc>
      </w:tr>
      <w:tr w:rsidR="004B2EAA" w14:paraId="29C9D664" w14:textId="77777777">
        <w:trPr>
          <w:jc w:val="center"/>
        </w:trPr>
        <w:tc>
          <w:tcPr>
            <w:tcW w:w="6552" w:type="dxa"/>
          </w:tcPr>
          <w:p w14:paraId="1D56F8B5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Δt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+δΔtx+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Δ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x+δ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</w:rPr>
                  <m:t>Δt</m:t>
                </m:r>
              </m:oMath>
            </m:oMathPara>
          </w:p>
        </w:tc>
        <w:tc>
          <w:tcPr>
            <w:tcW w:w="3528" w:type="dxa"/>
          </w:tcPr>
          <w:p w14:paraId="2C8FF57F" w14:textId="77777777" w:rsidR="004B2EAA" w:rsidRDefault="00000000">
            <w:pPr>
              <w:spacing w:before="80" w:after="60"/>
              <w:jc w:val="righ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I⪯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⪯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I</m:t>
              </m:r>
            </m:oMath>
            <w:r>
              <w:rPr>
                <w:rFonts w:cs="Cambria"/>
                <w:color w:val="5C6B78"/>
                <w:sz w:val="16"/>
              </w:rPr>
              <w:t xml:space="preserve">, </w:t>
            </w:r>
            <m:oMath>
              <m:r>
                <w:rPr>
                  <w:rFonts w:ascii="Cambria Math" w:hAnsi="Cambria Math"/>
                </w:rPr>
                <m:t>‖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‖≤δ</m:t>
              </m:r>
            </m:oMath>
          </w:p>
        </w:tc>
      </w:tr>
      <w:tr w:rsidR="004B2EAA" w14:paraId="026B586C" w14:textId="77777777">
        <w:trPr>
          <w:jc w:val="center"/>
        </w:trPr>
        <w:tc>
          <w:tcPr>
            <w:tcW w:w="6552" w:type="dxa"/>
          </w:tcPr>
          <w:p w14:paraId="3F327838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=Δt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ba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x+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Δt+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3528" w:type="dxa"/>
          </w:tcPr>
          <w:p w14:paraId="0E3AD789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expand the square and collect powers of </w:t>
            </w:r>
            <m:oMath>
              <m:r>
                <w:rPr>
                  <w:rFonts w:ascii="Cambria Math" w:hAnsi="Cambria Math"/>
                </w:rPr>
                <m:t>x</m:t>
              </m:r>
            </m:oMath>
          </w:p>
        </w:tc>
      </w:tr>
      <w:tr w:rsidR="004B2EAA" w14:paraId="27394FCA" w14:textId="77777777">
        <w:trPr>
          <w:jc w:val="center"/>
        </w:trPr>
        <w:tc>
          <w:tcPr>
            <w:tcW w:w="6552" w:type="dxa"/>
          </w:tcPr>
          <w:p w14:paraId="6B2BDCCE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≤Δt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ba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ba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Δt+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3528" w:type="dxa"/>
          </w:tcPr>
          <w:p w14:paraId="0CC2C62C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Young, with </w:t>
            </w:r>
            <m:oMath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>&gt;0</m:t>
              </m:r>
            </m:oMath>
          </w:p>
        </w:tc>
      </w:tr>
      <w:tr w:rsidR="004B2EAA" w14:paraId="0A46E755" w14:textId="77777777">
        <w:trPr>
          <w:jc w:val="center"/>
        </w:trPr>
        <w:tc>
          <w:tcPr>
            <w:tcW w:w="6552" w:type="dxa"/>
          </w:tcPr>
          <w:p w14:paraId="5CB6CF00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m:t>=Δt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ba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3528" w:type="dxa"/>
          </w:tcPr>
          <w:p w14:paraId="6C300BF0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definition of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oMath>
          </w:p>
        </w:tc>
      </w:tr>
      <w:tr w:rsidR="004B2EAA" w14:paraId="041C0695" w14:textId="77777777">
        <w:trPr>
          <w:jc w:val="center"/>
        </w:trPr>
        <w:tc>
          <w:tcPr>
            <w:tcW w:w="6552" w:type="dxa"/>
          </w:tcPr>
          <w:p w14:paraId="5D256625" w14:textId="77777777" w:rsidR="004B2EAA" w:rsidRDefault="00000000">
            <w:pPr>
              <w:spacing w:before="60" w:after="60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>≤Δt[-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bar>
                <m:r>
                  <w:rPr>
                    <w:rFonts w:ascii="Cambria Math" w:hAnsi="Cambria Math"/>
                  </w:rPr>
                  <m:t>μ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528" w:type="dxa"/>
          </w:tcPr>
          <w:p w14:paraId="7ECC711B" w14:textId="77777777" w:rsidR="004B2EAA" w:rsidRDefault="00000000">
            <w:pPr>
              <w:spacing w:before="80" w:after="60"/>
              <w:jc w:val="right"/>
            </w:pPr>
            <w:r>
              <w:rPr>
                <w:rFonts w:cs="Cambria"/>
                <w:color w:val="5C6B78"/>
                <w:sz w:val="16"/>
              </w:rPr>
              <w:t xml:space="preserve">local PL: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≥μ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oMath>
          </w:p>
        </w:tc>
      </w:tr>
    </w:tbl>
    <w:p w14:paraId="423539A7" w14:textId="77777777" w:rsidR="004B2EAA" w:rsidRDefault="004B2EAA">
      <w:pPr>
        <w:spacing w:after="40"/>
      </w:pPr>
    </w:p>
    <w:p w14:paraId="0EF18600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 xml:space="preserve">Rearranging gives the recursion in (M7). The first gate is exactly the condition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</m:e>
        </m:bar>
        <m:r>
          <w:rPr>
            <w:rFonts w:ascii="Cambria Math" w:hAnsi="Cambria Math"/>
          </w:rPr>
          <m:t>&gt;0</m:t>
        </m:r>
      </m:oMath>
      <w:r>
        <w:rPr>
          <w:rFonts w:cs="Cambria"/>
          <w:color w:val="17212B"/>
        </w:rPr>
        <w:t xml:space="preserve"> needed for the Young step; the second keeps the contraction factor in </w:t>
      </w:r>
      <m:oMath>
        <m:r>
          <w:rPr>
            <w:rFonts w:ascii="Cambria Math" w:hAnsi="Cambria Math"/>
          </w:rPr>
          <m:t>[0,1)</m:t>
        </m:r>
      </m:oMath>
      <w:r>
        <w:rPr>
          <w:rFonts w:cs="Cambria"/>
          <w:color w:val="17212B"/>
        </w:rPr>
        <w:t>. Summing the resulting geometric series,</w:t>
      </w:r>
    </w:p>
    <w:p w14:paraId="62AE68AB" w14:textId="77777777" w:rsidR="004B2EAA" w:rsidRDefault="00000000">
      <w:pPr>
        <w:spacing w:before="140" w:after="18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lim sup</m:t>
              </m:r>
            </m:e>
            <m:sub>
              <m:r>
                <w:rPr>
                  <w:rFonts w:ascii="Cambria Math" w:hAnsi="Cambria Math"/>
                </w:rPr>
                <m:t>k→∞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Δt</m:t>
              </m:r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>μΔt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>μ</m:t>
              </m:r>
            </m:den>
          </m:f>
        </m:oMath>
      </m:oMathPara>
    </w:p>
    <w:p w14:paraId="57F24A93" w14:textId="6D42B522" w:rsidR="004B2EAA" w:rsidRPr="005204AF" w:rsidRDefault="00000000">
      <w:pPr>
        <w:spacing w:after="140" w:line="269" w:lineRule="auto"/>
        <w:jc w:val="both"/>
        <w:rPr>
          <w:rFonts w:eastAsia="宋体" w:hint="eastAsia"/>
          <w:lang w:eastAsia="zh-CN"/>
        </w:rPr>
      </w:pPr>
      <w:r>
        <w:rPr>
          <w:rFonts w:cs="Cambria"/>
          <w:color w:val="17212B"/>
        </w:rPr>
        <w:t xml:space="preserve">and quadratic growth converts this to the stated ultimate radius. </w:t>
      </w:r>
      <m:oMath>
        <m:r>
          <m:rPr>
            <m:sty m:val="p"/>
          </m:rPr>
          <w:rPr>
            <w:rFonts w:ascii="Cambria Math" w:hAnsi="Cambria Math"/>
          </w:rPr>
          <m:t>    </m:t>
        </m:r>
      </m:oMath>
    </w:p>
    <w:p w14:paraId="0523DD2C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Wolfram expanded the descent algebra and checked the coefficient collection; a randomised positive-parameter test independently compares the certified bound against the direct one-step expression.</w:t>
      </w:r>
    </w:p>
    <w:p w14:paraId="4BE88673" w14:textId="77777777" w:rsidR="004B2EAA" w:rsidRDefault="00000000">
      <w:r>
        <w:br w:type="page"/>
      </w:r>
    </w:p>
    <w:p w14:paraId="327ABCB9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11. Limits and evidence status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1800"/>
        <w:gridCol w:w="5832"/>
      </w:tblGrid>
      <w:tr w:rsidR="004B2EAA" w14:paraId="6C352EBE" w14:textId="77777777">
        <w:trPr>
          <w:tblHeader/>
          <w:jc w:val="center"/>
        </w:trPr>
        <w:tc>
          <w:tcPr>
            <w:tcW w:w="2016" w:type="dxa"/>
            <w:shd w:val="clear" w:color="auto" w:fill="17324D"/>
          </w:tcPr>
          <w:p w14:paraId="29A6E1F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Result</w:t>
            </w:r>
          </w:p>
        </w:tc>
        <w:tc>
          <w:tcPr>
            <w:tcW w:w="1800" w:type="dxa"/>
            <w:shd w:val="clear" w:color="auto" w:fill="17324D"/>
          </w:tcPr>
          <w:p w14:paraId="0237BBF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Status</w:t>
            </w:r>
          </w:p>
        </w:tc>
        <w:tc>
          <w:tcPr>
            <w:tcW w:w="5832" w:type="dxa"/>
            <w:shd w:val="clear" w:color="auto" w:fill="17324D"/>
          </w:tcPr>
          <w:p w14:paraId="2F33AB0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Limiting condition</w:t>
            </w:r>
          </w:p>
        </w:tc>
      </w:tr>
      <w:tr w:rsidR="004B2EAA" w14:paraId="07A31D89" w14:textId="77777777">
        <w:trPr>
          <w:jc w:val="center"/>
        </w:trPr>
        <w:tc>
          <w:tcPr>
            <w:tcW w:w="2016" w:type="dxa"/>
          </w:tcPr>
          <w:p w14:paraId="4F4F21E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Lemma 1</w:t>
            </w:r>
          </w:p>
        </w:tc>
        <w:tc>
          <w:tcPr>
            <w:tcW w:w="1800" w:type="dxa"/>
          </w:tcPr>
          <w:p w14:paraId="29D3ECD7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PROVED + CAS</w:t>
            </w:r>
          </w:p>
        </w:tc>
        <w:tc>
          <w:tcPr>
            <w:tcW w:w="5832" w:type="dxa"/>
          </w:tcPr>
          <w:p w14:paraId="4231B2B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A5 map bounds and tail separation</w:t>
            </w:r>
          </w:p>
        </w:tc>
      </w:tr>
      <w:tr w:rsidR="004B2EAA" w14:paraId="7C307701" w14:textId="77777777">
        <w:trPr>
          <w:jc w:val="center"/>
        </w:trPr>
        <w:tc>
          <w:tcPr>
            <w:tcW w:w="2016" w:type="dxa"/>
            <w:shd w:val="clear" w:color="auto" w:fill="F6F8FA"/>
          </w:tcPr>
          <w:p w14:paraId="17B0C39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Lemma 2</w:t>
            </w:r>
          </w:p>
        </w:tc>
        <w:tc>
          <w:tcPr>
            <w:tcW w:w="1800" w:type="dxa"/>
            <w:shd w:val="clear" w:color="auto" w:fill="F6F8FA"/>
          </w:tcPr>
          <w:p w14:paraId="734B97B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PROVED + CAS</w:t>
            </w:r>
          </w:p>
        </w:tc>
        <w:tc>
          <w:tcPr>
            <w:tcW w:w="5832" w:type="dxa"/>
            <w:shd w:val="clear" w:color="auto" w:fill="F6F8FA"/>
          </w:tcPr>
          <w:p w14:paraId="36086C5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rectangle, midpoint gate, exact-cell contract</w:t>
            </w:r>
          </w:p>
        </w:tc>
      </w:tr>
      <w:tr w:rsidR="004B2EAA" w14:paraId="477F7732" w14:textId="77777777">
        <w:trPr>
          <w:jc w:val="center"/>
        </w:trPr>
        <w:tc>
          <w:tcPr>
            <w:tcW w:w="2016" w:type="dxa"/>
          </w:tcPr>
          <w:p w14:paraId="6A524CC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Proposition 1</w:t>
            </w:r>
          </w:p>
        </w:tc>
        <w:tc>
          <w:tcPr>
            <w:tcW w:w="1800" w:type="dxa"/>
          </w:tcPr>
          <w:p w14:paraId="72598D51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PROVED</w:t>
            </w:r>
          </w:p>
        </w:tc>
        <w:tc>
          <w:tcPr>
            <w:tcW w:w="5832" w:type="dxa"/>
          </w:tcPr>
          <w:p w14:paraId="708F60B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regular tie/threshold sets; saturated cost</w:t>
            </w:r>
          </w:p>
        </w:tc>
      </w:tr>
      <w:tr w:rsidR="004B2EAA" w14:paraId="4F0F5E90" w14:textId="77777777">
        <w:trPr>
          <w:jc w:val="center"/>
        </w:trPr>
        <w:tc>
          <w:tcPr>
            <w:tcW w:w="2016" w:type="dxa"/>
            <w:shd w:val="clear" w:color="auto" w:fill="F6F8FA"/>
          </w:tcPr>
          <w:p w14:paraId="000CA417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Proposition 2</w:t>
            </w:r>
          </w:p>
        </w:tc>
        <w:tc>
          <w:tcPr>
            <w:tcW w:w="1800" w:type="dxa"/>
            <w:shd w:val="clear" w:color="auto" w:fill="F6F8FA"/>
          </w:tcPr>
          <w:p w14:paraId="7FFFC18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PROVED</w:t>
            </w:r>
          </w:p>
        </w:tc>
        <w:tc>
          <w:tcPr>
            <w:tcW w:w="5832" w:type="dxa"/>
            <w:shd w:val="clear" w:color="auto" w:fill="F6F8FA"/>
          </w:tcPr>
          <w:p w14:paraId="11B104B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declared stacked disturbance components</w:t>
            </w:r>
          </w:p>
        </w:tc>
      </w:tr>
      <w:tr w:rsidR="004B2EAA" w14:paraId="7CC5827A" w14:textId="77777777">
        <w:trPr>
          <w:jc w:val="center"/>
        </w:trPr>
        <w:tc>
          <w:tcPr>
            <w:tcW w:w="2016" w:type="dxa"/>
          </w:tcPr>
          <w:p w14:paraId="1BAB91F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Proposition 3</w:t>
            </w:r>
          </w:p>
        </w:tc>
        <w:tc>
          <w:tcPr>
            <w:tcW w:w="1800" w:type="dxa"/>
          </w:tcPr>
          <w:p w14:paraId="200C119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CONDITIONAL</w:t>
            </w:r>
          </w:p>
        </w:tc>
        <w:tc>
          <w:tcPr>
            <w:tcW w:w="5832" w:type="dxa"/>
          </w:tcPr>
          <w:p w14:paraId="0A0BABA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rate proved; A8 branch coercivity assumed</w:t>
            </w:r>
          </w:p>
        </w:tc>
      </w:tr>
      <w:tr w:rsidR="004B2EAA" w14:paraId="40019A9E" w14:textId="77777777">
        <w:trPr>
          <w:jc w:val="center"/>
        </w:trPr>
        <w:tc>
          <w:tcPr>
            <w:tcW w:w="2016" w:type="dxa"/>
            <w:shd w:val="clear" w:color="auto" w:fill="F6F8FA"/>
          </w:tcPr>
          <w:p w14:paraId="402B8DD6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Theorem 1</w:t>
            </w:r>
          </w:p>
        </w:tc>
        <w:tc>
          <w:tcPr>
            <w:tcW w:w="1800" w:type="dxa"/>
            <w:shd w:val="clear" w:color="auto" w:fill="F6F8FA"/>
          </w:tcPr>
          <w:p w14:paraId="61ED2CF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CONDITIONAL</w:t>
            </w:r>
          </w:p>
        </w:tc>
        <w:tc>
          <w:tcPr>
            <w:tcW w:w="5832" w:type="dxa"/>
            <w:shd w:val="clear" w:color="auto" w:fill="F6F8FA"/>
          </w:tcPr>
          <w:p w14:paraId="62E32B50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complete implication under A1-A10</w:t>
            </w:r>
          </w:p>
        </w:tc>
      </w:tr>
      <w:tr w:rsidR="004B2EAA" w14:paraId="0031BC1A" w14:textId="77777777">
        <w:trPr>
          <w:jc w:val="center"/>
        </w:trPr>
        <w:tc>
          <w:tcPr>
            <w:tcW w:w="2016" w:type="dxa"/>
          </w:tcPr>
          <w:p w14:paraId="1895713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Sampled corollary</w:t>
            </w:r>
          </w:p>
        </w:tc>
        <w:tc>
          <w:tcPr>
            <w:tcW w:w="1800" w:type="dxa"/>
          </w:tcPr>
          <w:p w14:paraId="382558A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PROVED</w:t>
            </w:r>
          </w:p>
        </w:tc>
        <w:tc>
          <w:tcPr>
            <w:tcW w:w="5832" w:type="dxa"/>
          </w:tcPr>
          <w:p w14:paraId="0BC7847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explicit step gates</w:t>
            </w:r>
          </w:p>
        </w:tc>
      </w:tr>
    </w:tbl>
    <w:p w14:paraId="0F09D005" w14:textId="77777777" w:rsidR="004B2EAA" w:rsidRDefault="004B2EAA">
      <w:pPr>
        <w:spacing w:after="80"/>
      </w:pPr>
    </w:p>
    <w:p w14:paraId="067E077E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11.1 Evidence classes</w:t>
      </w:r>
    </w:p>
    <w:p w14:paraId="2BF22D0B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PROVED: the analytic implication is written out in this supplement.</w:t>
      </w:r>
    </w:p>
    <w:p w14:paraId="04B6DAD8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VERIFIED: Wolfram reproduced the identified integral or algebraic subclaim, and nothing beyond it.</w:t>
      </w:r>
    </w:p>
    <w:p w14:paraId="75F63FF8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CONDITIONAL: a named branch, tube, map bound, or runtime deviation certificate is still required.</w:t>
      </w:r>
    </w:p>
    <w:p w14:paraId="03011372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NUMERIC-SANITY: debugging evidence only. No such result is used as proof anywhere in this package, and there are no such entries.</w:t>
      </w:r>
    </w:p>
    <w:p w14:paraId="5B53A3C0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11.2 Fail-closed runtime gates</w:t>
      </w:r>
    </w:p>
    <w:p w14:paraId="32BDE474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Each of these refuses to emit a certificate rather than emitting a degraded one, and each is covered by a test that feeds it a deliberately invalid configuration:</w:t>
      </w:r>
    </w:p>
    <w:p w14:paraId="39F20F9B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locality: a theorem-mode configuration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comm</m:t>
            </m:r>
          </m:sub>
        </m:sSub>
        <m:r>
          <w:rPr>
            <w:rFonts w:ascii="Cambria Math" w:hAnsi="Cambria Math"/>
          </w:rPr>
          <m:t>&lt;2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cs="Cambria"/>
          <w:color w:val="17212B"/>
        </w:rPr>
        <w:t xml:space="preserve"> is rejected;</w:t>
      </w:r>
    </w:p>
    <w:p w14:paraId="164D8281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arc length: a boundary observation without positive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cs="Cambria"/>
          <w:color w:val="17212B"/>
        </w:rPr>
        <w:t xml:space="preserve"> is rejected, and the unit-weight fallback is forbidden;</w:t>
      </w:r>
    </w:p>
    <w:p w14:paraId="3694567F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quadrature rule: anything other than a midpoint grid is rejected;</w:t>
      </w:r>
    </w:p>
    <w:p w14:paraId="73C7127C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quadrature gate: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rPr>
          <w:rFonts w:cs="Cambria"/>
          <w:color w:val="17212B"/>
        </w:rPr>
        <w:t xml:space="preserve"> is rejected;</w:t>
      </w:r>
    </w:p>
    <w:p w14:paraId="371D22C6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bias: a nonzero gap or exploration gain is rejected unless separately budgeted into </w:t>
      </w:r>
      <m:oMath>
        <m:r>
          <w:rPr>
            <w:rFonts w:ascii="Cambria Math" w:hAnsi="Cambria Math"/>
          </w:rPr>
          <m:t>δ</m:t>
        </m:r>
      </m:oMath>
      <w:r>
        <w:rPr>
          <w:rFonts w:cs="Cambria"/>
          <w:color w:val="17212B"/>
        </w:rPr>
        <w:t>;</w:t>
      </w:r>
    </w:p>
    <w:p w14:paraId="73CBC5FE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sampled step: </w:t>
      </w:r>
      <m:oMath>
        <m:r>
          <w:rPr>
            <w:rFonts w:ascii="Cambria Math" w:hAnsi="Cambria Math"/>
          </w:rPr>
          <m:t>Δt</m:t>
        </m:r>
      </m:oMath>
      <w:r>
        <w:rPr>
          <w:rFonts w:cs="Cambria"/>
          <w:color w:val="17212B"/>
        </w:rPr>
        <w:t xml:space="preserve"> violating (M7-gate) is rejected.</w:t>
      </w:r>
    </w:p>
    <w:p w14:paraId="6B7786B9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11.3 Claim audit</w:t>
      </w:r>
    </w:p>
    <w:p w14:paraId="6378654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This supplement contains no global PL statement, no formal caging claim, no finite-time phase-completion result, and no unconditional transport or safety guarantee. The numeric certificate in Appendix A validates the dependency wiring and the gates; its ultimate radius is deliberately conservative and may be numerically vacuous. It is not experimental evidence and is not used to claim transport performance.</w:t>
      </w:r>
    </w:p>
    <w:p w14:paraId="1CD37C84" w14:textId="77777777" w:rsidR="004B2EAA" w:rsidRDefault="00000000">
      <w:r>
        <w:br w:type="page"/>
      </w:r>
    </w:p>
    <w:p w14:paraId="785C8E3F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Appendix A. Constant ledger</w:t>
      </w:r>
    </w:p>
    <w:p w14:paraId="11C9ECDE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Every value below is produced by one code path from the frozen formulas; none is entered by hand. The chain from raw sensing bounds to the ultimate radius is</w:t>
      </w:r>
    </w:p>
    <w:p w14:paraId="0A90BC5F" w14:textId="77777777" w:rsidR="004B2EAA" w:rsidRDefault="00000000">
      <w:pPr>
        <w:spacing w:before="140" w:after="180"/>
        <w:jc w:val="center"/>
      </w:pPr>
      <m:oMathPara>
        <m:oMath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,v,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drop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ϕ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>
            <w:rPr>
              <w:rFonts w:ascii="Cambria Math" w:hAnsi="Cambria Math"/>
            </w:rPr>
            <m:t>⟶</m:t>
          </m:r>
          <m:r>
            <m:rPr>
              <m:sty m:val="p"/>
            </m:rPr>
            <w:rPr>
              <w:rFonts w:ascii="Cambria Math" w:hAnsi="Cambria Math"/>
            </w:rPr>
            <m:t> 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2B</m:t>
                  </m:r>
                </m:num>
                <m:den>
                  <m:r>
                    <w:rPr>
                      <w:rFonts w:ascii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1872"/>
        <w:gridCol w:w="1728"/>
        <w:gridCol w:w="1872"/>
      </w:tblGrid>
      <w:tr w:rsidR="004B2EAA" w14:paraId="01916062" w14:textId="77777777">
        <w:trPr>
          <w:tblHeader/>
          <w:jc w:val="center"/>
        </w:trPr>
        <w:tc>
          <w:tcPr>
            <w:tcW w:w="3168" w:type="dxa"/>
            <w:shd w:val="clear" w:color="auto" w:fill="17324D"/>
          </w:tcPr>
          <w:p w14:paraId="6D973312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Constant</w:t>
            </w:r>
          </w:p>
        </w:tc>
        <w:tc>
          <w:tcPr>
            <w:tcW w:w="1872" w:type="dxa"/>
            <w:shd w:val="clear" w:color="auto" w:fill="17324D"/>
          </w:tcPr>
          <w:p w14:paraId="5C8F19F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Value</w:t>
            </w:r>
          </w:p>
        </w:tc>
        <w:tc>
          <w:tcPr>
            <w:tcW w:w="1728" w:type="dxa"/>
            <w:shd w:val="clear" w:color="auto" w:fill="17324D"/>
          </w:tcPr>
          <w:p w14:paraId="78E4369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Unit</w:t>
            </w:r>
          </w:p>
        </w:tc>
        <w:tc>
          <w:tcPr>
            <w:tcW w:w="1872" w:type="dxa"/>
            <w:shd w:val="clear" w:color="auto" w:fill="17324D"/>
          </w:tcPr>
          <w:p w14:paraId="660FA74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Status</w:t>
            </w:r>
          </w:p>
        </w:tc>
      </w:tr>
      <w:tr w:rsidR="004B2EAA" w14:paraId="7BF946A4" w14:textId="77777777">
        <w:trPr>
          <w:jc w:val="center"/>
        </w:trPr>
        <w:tc>
          <w:tcPr>
            <w:tcW w:w="3168" w:type="dxa"/>
          </w:tcPr>
          <w:p w14:paraId="412B404E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kernel_l1</w:t>
            </w:r>
          </w:p>
        </w:tc>
        <w:tc>
          <w:tcPr>
            <w:tcW w:w="1872" w:type="dxa"/>
          </w:tcPr>
          <w:p w14:paraId="334ECCB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0.251327</w:t>
            </w:r>
          </w:p>
        </w:tc>
        <w:tc>
          <w:tcPr>
            <w:tcW w:w="1728" w:type="dxa"/>
          </w:tcPr>
          <w:p w14:paraId="7110B91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m^2</w:t>
            </w:r>
          </w:p>
        </w:tc>
        <w:tc>
          <w:tcPr>
            <w:tcW w:w="1872" w:type="dxa"/>
          </w:tcPr>
          <w:p w14:paraId="29995FB4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verified</w:t>
            </w:r>
          </w:p>
        </w:tc>
      </w:tr>
      <w:tr w:rsidR="004B2EAA" w14:paraId="0920617F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25180202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kernel_grad_l1</w:t>
            </w:r>
          </w:p>
        </w:tc>
        <w:tc>
          <w:tcPr>
            <w:tcW w:w="1872" w:type="dxa"/>
            <w:shd w:val="clear" w:color="auto" w:fill="F6F8FA"/>
          </w:tcPr>
          <w:p w14:paraId="2511C718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1.57496</w:t>
            </w:r>
          </w:p>
        </w:tc>
        <w:tc>
          <w:tcPr>
            <w:tcW w:w="1728" w:type="dxa"/>
            <w:shd w:val="clear" w:color="auto" w:fill="F6F8FA"/>
          </w:tcPr>
          <w:p w14:paraId="360F9852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  <w:shd w:val="clear" w:color="auto" w:fill="F6F8FA"/>
          </w:tcPr>
          <w:p w14:paraId="0F5348E6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verified</w:t>
            </w:r>
          </w:p>
        </w:tc>
      </w:tr>
      <w:tr w:rsidR="004B2EAA" w14:paraId="19CB245B" w14:textId="77777777">
        <w:trPr>
          <w:jc w:val="center"/>
        </w:trPr>
        <w:tc>
          <w:tcPr>
            <w:tcW w:w="3168" w:type="dxa"/>
          </w:tcPr>
          <w:p w14:paraId="3A48F29E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kernel_grad_linf</w:t>
            </w:r>
          </w:p>
        </w:tc>
        <w:tc>
          <w:tcPr>
            <w:tcW w:w="1872" w:type="dxa"/>
          </w:tcPr>
          <w:p w14:paraId="1B907B0E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3.03265</w:t>
            </w:r>
          </w:p>
        </w:tc>
        <w:tc>
          <w:tcPr>
            <w:tcW w:w="1728" w:type="dxa"/>
          </w:tcPr>
          <w:p w14:paraId="10CD91E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1/m</w:t>
            </w:r>
          </w:p>
        </w:tc>
        <w:tc>
          <w:tcPr>
            <w:tcW w:w="1872" w:type="dxa"/>
          </w:tcPr>
          <w:p w14:paraId="3962AE72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verified</w:t>
            </w:r>
          </w:p>
        </w:tc>
      </w:tr>
      <w:tr w:rsidR="004B2EAA" w14:paraId="5C2C0B4D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213E81D7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epsilon_xi</w:t>
            </w:r>
          </w:p>
        </w:tc>
        <w:tc>
          <w:tcPr>
            <w:tcW w:w="1872" w:type="dxa"/>
            <w:shd w:val="clear" w:color="auto" w:fill="F6F8FA"/>
          </w:tcPr>
          <w:p w14:paraId="7607D338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0.00449999</w:t>
            </w:r>
          </w:p>
        </w:tc>
        <w:tc>
          <w:tcPr>
            <w:tcW w:w="1728" w:type="dxa"/>
            <w:shd w:val="clear" w:color="auto" w:fill="F6F8FA"/>
          </w:tcPr>
          <w:p w14:paraId="253EFB70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  <w:shd w:val="clear" w:color="auto" w:fill="F6F8FA"/>
          </w:tcPr>
          <w:p w14:paraId="7C40C755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conditional</w:t>
            </w:r>
          </w:p>
        </w:tc>
      </w:tr>
      <w:tr w:rsidR="004B2EAA" w14:paraId="11C3C82A" w14:textId="77777777">
        <w:trPr>
          <w:jc w:val="center"/>
        </w:trPr>
        <w:tc>
          <w:tcPr>
            <w:tcW w:w="3168" w:type="dxa"/>
          </w:tcPr>
          <w:p w14:paraId="20BA79E4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epsilon_phi</w:t>
            </w:r>
          </w:p>
        </w:tc>
        <w:tc>
          <w:tcPr>
            <w:tcW w:w="1872" w:type="dxa"/>
          </w:tcPr>
          <w:p w14:paraId="2CE2EF67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0.106034</w:t>
            </w:r>
          </w:p>
        </w:tc>
        <w:tc>
          <w:tcPr>
            <w:tcW w:w="1728" w:type="dxa"/>
          </w:tcPr>
          <w:p w14:paraId="19071883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m^3</w:t>
            </w:r>
          </w:p>
        </w:tc>
        <w:tc>
          <w:tcPr>
            <w:tcW w:w="1872" w:type="dxa"/>
          </w:tcPr>
          <w:p w14:paraId="4044281D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232E16AB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1EE2AEC1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m_min</w:t>
            </w:r>
          </w:p>
        </w:tc>
        <w:tc>
          <w:tcPr>
            <w:tcW w:w="1872" w:type="dxa"/>
            <w:shd w:val="clear" w:color="auto" w:fill="F6F8FA"/>
          </w:tcPr>
          <w:p w14:paraId="7956DE21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5.02655</w:t>
            </w:r>
          </w:p>
        </w:tc>
        <w:tc>
          <w:tcPr>
            <w:tcW w:w="1728" w:type="dxa"/>
            <w:shd w:val="clear" w:color="auto" w:fill="F6F8FA"/>
          </w:tcPr>
          <w:p w14:paraId="149484C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m^3</w:t>
            </w:r>
          </w:p>
        </w:tc>
        <w:tc>
          <w:tcPr>
            <w:tcW w:w="1872" w:type="dxa"/>
            <w:shd w:val="clear" w:color="auto" w:fill="F6F8FA"/>
          </w:tcPr>
          <w:p w14:paraId="20B6E2F8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65BBD557" w14:textId="77777777">
        <w:trPr>
          <w:jc w:val="center"/>
        </w:trPr>
        <w:tc>
          <w:tcPr>
            <w:tcW w:w="3168" w:type="dxa"/>
          </w:tcPr>
          <w:p w14:paraId="3A28580B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m_max</w:t>
            </w:r>
          </w:p>
        </w:tc>
        <w:tc>
          <w:tcPr>
            <w:tcW w:w="1872" w:type="dxa"/>
          </w:tcPr>
          <w:p w14:paraId="38C66122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34.5827</w:t>
            </w:r>
          </w:p>
        </w:tc>
        <w:tc>
          <w:tcPr>
            <w:tcW w:w="1728" w:type="dxa"/>
          </w:tcPr>
          <w:p w14:paraId="2D89259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m^3</w:t>
            </w:r>
          </w:p>
        </w:tc>
        <w:tc>
          <w:tcPr>
            <w:tcW w:w="1872" w:type="dxa"/>
          </w:tcPr>
          <w:p w14:paraId="01744D08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4E06A44A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71F4559A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grid_spacing</w:t>
            </w:r>
          </w:p>
        </w:tc>
        <w:tc>
          <w:tcPr>
            <w:tcW w:w="1872" w:type="dxa"/>
            <w:shd w:val="clear" w:color="auto" w:fill="F6F8FA"/>
          </w:tcPr>
          <w:p w14:paraId="4584E8EF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0.000390625</w:t>
            </w:r>
          </w:p>
        </w:tc>
        <w:tc>
          <w:tcPr>
            <w:tcW w:w="1728" w:type="dxa"/>
            <w:shd w:val="clear" w:color="auto" w:fill="F6F8FA"/>
          </w:tcPr>
          <w:p w14:paraId="16E8F98F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  <w:shd w:val="clear" w:color="auto" w:fill="F6F8FA"/>
          </w:tcPr>
          <w:p w14:paraId="02BAA989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verified</w:t>
            </w:r>
          </w:p>
        </w:tc>
      </w:tr>
      <w:tr w:rsidR="004B2EAA" w14:paraId="77A1B24E" w14:textId="77777777">
        <w:trPr>
          <w:jc w:val="center"/>
        </w:trPr>
        <w:tc>
          <w:tcPr>
            <w:tcW w:w="3168" w:type="dxa"/>
          </w:tcPr>
          <w:p w14:paraId="6FD99B93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eta_m</w:t>
            </w:r>
          </w:p>
        </w:tc>
        <w:tc>
          <w:tcPr>
            <w:tcW w:w="1872" w:type="dxa"/>
          </w:tcPr>
          <w:p w14:paraId="0A324E71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0.0598959</w:t>
            </w:r>
          </w:p>
        </w:tc>
        <w:tc>
          <w:tcPr>
            <w:tcW w:w="1728" w:type="dxa"/>
          </w:tcPr>
          <w:p w14:paraId="46F7F83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m^3</w:t>
            </w:r>
          </w:p>
        </w:tc>
        <w:tc>
          <w:tcPr>
            <w:tcW w:w="1872" w:type="dxa"/>
          </w:tcPr>
          <w:p w14:paraId="31FAA53C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683A85C9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11424D6E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eta_a</w:t>
            </w:r>
          </w:p>
        </w:tc>
        <w:tc>
          <w:tcPr>
            <w:tcW w:w="1872" w:type="dxa"/>
            <w:shd w:val="clear" w:color="auto" w:fill="F6F8FA"/>
          </w:tcPr>
          <w:p w14:paraId="37A12870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0.0574695</w:t>
            </w:r>
          </w:p>
        </w:tc>
        <w:tc>
          <w:tcPr>
            <w:tcW w:w="1728" w:type="dxa"/>
            <w:shd w:val="clear" w:color="auto" w:fill="F6F8FA"/>
          </w:tcPr>
          <w:p w14:paraId="3C99225C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m^4</w:t>
            </w:r>
          </w:p>
        </w:tc>
        <w:tc>
          <w:tcPr>
            <w:tcW w:w="1872" w:type="dxa"/>
            <w:shd w:val="clear" w:color="auto" w:fill="F6F8FA"/>
          </w:tcPr>
          <w:p w14:paraId="59C7FCCF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0373B2DE" w14:textId="77777777">
        <w:trPr>
          <w:jc w:val="center"/>
        </w:trPr>
        <w:tc>
          <w:tcPr>
            <w:tcW w:w="3168" w:type="dxa"/>
          </w:tcPr>
          <w:p w14:paraId="282B6223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epsilon_q</w:t>
            </w:r>
          </w:p>
        </w:tc>
        <w:tc>
          <w:tcPr>
            <w:tcW w:w="1872" w:type="dxa"/>
          </w:tcPr>
          <w:p w14:paraId="2360A4B2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0.0212188</w:t>
            </w:r>
          </w:p>
        </w:tc>
        <w:tc>
          <w:tcPr>
            <w:tcW w:w="1728" w:type="dxa"/>
          </w:tcPr>
          <w:p w14:paraId="4D9AFB2F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</w:tcPr>
          <w:p w14:paraId="4DA30E98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6EBECF21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08A1935E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epsilon_c</w:t>
            </w:r>
          </w:p>
        </w:tc>
        <w:tc>
          <w:tcPr>
            <w:tcW w:w="1872" w:type="dxa"/>
            <w:shd w:val="clear" w:color="auto" w:fill="F6F8FA"/>
          </w:tcPr>
          <w:p w14:paraId="399F30C6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0.0549703</w:t>
            </w:r>
          </w:p>
        </w:tc>
        <w:tc>
          <w:tcPr>
            <w:tcW w:w="1728" w:type="dxa"/>
            <w:shd w:val="clear" w:color="auto" w:fill="F6F8FA"/>
          </w:tcPr>
          <w:p w14:paraId="2B1EFB8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  <w:shd w:val="clear" w:color="auto" w:fill="F6F8FA"/>
          </w:tcPr>
          <w:p w14:paraId="5EA4AE47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77D574D8" w14:textId="77777777">
        <w:trPr>
          <w:jc w:val="center"/>
        </w:trPr>
        <w:tc>
          <w:tcPr>
            <w:tcW w:w="3168" w:type="dxa"/>
          </w:tcPr>
          <w:p w14:paraId="291D1010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delta</w:t>
            </w:r>
          </w:p>
        </w:tc>
        <w:tc>
          <w:tcPr>
            <w:tcW w:w="1872" w:type="dxa"/>
          </w:tcPr>
          <w:p w14:paraId="5AFDFF04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0.156932</w:t>
            </w:r>
          </w:p>
        </w:tc>
        <w:tc>
          <w:tcPr>
            <w:tcW w:w="1728" w:type="dxa"/>
          </w:tcPr>
          <w:p w14:paraId="5D2D280C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m/s</w:t>
            </w:r>
          </w:p>
        </w:tc>
        <w:tc>
          <w:tcPr>
            <w:tcW w:w="1872" w:type="dxa"/>
          </w:tcPr>
          <w:p w14:paraId="28664E45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conditional</w:t>
            </w:r>
          </w:p>
        </w:tc>
      </w:tr>
      <w:tr w:rsidR="004B2EAA" w14:paraId="11D38D9D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52F0831F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nu_phi</w:t>
            </w:r>
          </w:p>
        </w:tc>
        <w:tc>
          <w:tcPr>
            <w:tcW w:w="1872" w:type="dxa"/>
            <w:shd w:val="clear" w:color="auto" w:fill="F6F8FA"/>
          </w:tcPr>
          <w:p w14:paraId="6FE31174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0.464928</w:t>
            </w:r>
          </w:p>
        </w:tc>
        <w:tc>
          <w:tcPr>
            <w:tcW w:w="1728" w:type="dxa"/>
            <w:shd w:val="clear" w:color="auto" w:fill="F6F8FA"/>
          </w:tcPr>
          <w:p w14:paraId="75217D22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m^3/s</w:t>
            </w:r>
          </w:p>
        </w:tc>
        <w:tc>
          <w:tcPr>
            <w:tcW w:w="1872" w:type="dxa"/>
            <w:shd w:val="clear" w:color="auto" w:fill="F6F8FA"/>
          </w:tcPr>
          <w:p w14:paraId="20CA7412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0BB8A01D" w14:textId="77777777">
        <w:trPr>
          <w:jc w:val="center"/>
        </w:trPr>
        <w:tc>
          <w:tcPr>
            <w:tcW w:w="3168" w:type="dxa"/>
          </w:tcPr>
          <w:p w14:paraId="7BEC86EA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nu_H</w:t>
            </w:r>
          </w:p>
        </w:tc>
        <w:tc>
          <w:tcPr>
            <w:tcW w:w="1872" w:type="dxa"/>
          </w:tcPr>
          <w:p w14:paraId="3C00B8C4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0.595108</w:t>
            </w:r>
          </w:p>
        </w:tc>
        <w:tc>
          <w:tcPr>
            <w:tcW w:w="1728" w:type="dxa"/>
          </w:tcPr>
          <w:p w14:paraId="02BD177D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m^5/s</w:t>
            </w:r>
          </w:p>
        </w:tc>
        <w:tc>
          <w:tcPr>
            <w:tcW w:w="1872" w:type="dxa"/>
          </w:tcPr>
          <w:p w14:paraId="2B3AD98C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5E5B55FA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44E33142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a0</w:t>
            </w:r>
          </w:p>
        </w:tc>
        <w:tc>
          <w:tcPr>
            <w:tcW w:w="1872" w:type="dxa"/>
            <w:shd w:val="clear" w:color="auto" w:fill="F6F8FA"/>
          </w:tcPr>
          <w:p w14:paraId="5AE577B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0.0130123</w:t>
            </w:r>
          </w:p>
        </w:tc>
        <w:tc>
          <w:tcPr>
            <w:tcW w:w="1728" w:type="dxa"/>
            <w:shd w:val="clear" w:color="auto" w:fill="F6F8FA"/>
          </w:tcPr>
          <w:p w14:paraId="302E4694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1/(s*m^3)</w:t>
            </w:r>
          </w:p>
        </w:tc>
        <w:tc>
          <w:tcPr>
            <w:tcW w:w="1872" w:type="dxa"/>
            <w:shd w:val="clear" w:color="auto" w:fill="F6F8FA"/>
          </w:tcPr>
          <w:p w14:paraId="7A565DD9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19485ACB" w14:textId="77777777">
        <w:trPr>
          <w:jc w:val="center"/>
        </w:trPr>
        <w:tc>
          <w:tcPr>
            <w:tcW w:w="3168" w:type="dxa"/>
          </w:tcPr>
          <w:p w14:paraId="70FE334E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lambda_H</w:t>
            </w:r>
          </w:p>
        </w:tc>
        <w:tc>
          <w:tcPr>
            <w:tcW w:w="1872" w:type="dxa"/>
          </w:tcPr>
          <w:p w14:paraId="63032F38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0.000650615</w:t>
            </w:r>
          </w:p>
        </w:tc>
        <w:tc>
          <w:tcPr>
            <w:tcW w:w="1728" w:type="dxa"/>
          </w:tcPr>
          <w:p w14:paraId="0C37692A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1/s</w:t>
            </w:r>
          </w:p>
        </w:tc>
        <w:tc>
          <w:tcPr>
            <w:tcW w:w="1872" w:type="dxa"/>
          </w:tcPr>
          <w:p w14:paraId="44CA205D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conditional</w:t>
            </w:r>
          </w:p>
        </w:tc>
      </w:tr>
      <w:tr w:rsidR="004B2EAA" w14:paraId="5E9F7EA7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07CFCA68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B</w:t>
            </w:r>
          </w:p>
        </w:tc>
        <w:tc>
          <w:tcPr>
            <w:tcW w:w="1872" w:type="dxa"/>
            <w:shd w:val="clear" w:color="auto" w:fill="F6F8FA"/>
          </w:tcPr>
          <w:p w14:paraId="4994B526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1.54143</w:t>
            </w:r>
          </w:p>
        </w:tc>
        <w:tc>
          <w:tcPr>
            <w:tcW w:w="1728" w:type="dxa"/>
            <w:shd w:val="clear" w:color="auto" w:fill="F6F8FA"/>
          </w:tcPr>
          <w:p w14:paraId="68F64393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m^5/s</w:t>
            </w:r>
          </w:p>
        </w:tc>
        <w:tc>
          <w:tcPr>
            <w:tcW w:w="1872" w:type="dxa"/>
            <w:shd w:val="clear" w:color="auto" w:fill="F6F8FA"/>
          </w:tcPr>
          <w:p w14:paraId="4A8B5743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3CE2A63F" w14:textId="77777777">
        <w:trPr>
          <w:jc w:val="center"/>
        </w:trPr>
        <w:tc>
          <w:tcPr>
            <w:tcW w:w="3168" w:type="dxa"/>
          </w:tcPr>
          <w:p w14:paraId="27CABA4A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ultimate_radius</w:t>
            </w:r>
          </w:p>
        </w:tc>
        <w:tc>
          <w:tcPr>
            <w:tcW w:w="1872" w:type="dxa"/>
          </w:tcPr>
          <w:p w14:paraId="275978C2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307.843</w:t>
            </w:r>
          </w:p>
        </w:tc>
        <w:tc>
          <w:tcPr>
            <w:tcW w:w="1728" w:type="dxa"/>
          </w:tcPr>
          <w:p w14:paraId="2E7A761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</w:tcPr>
          <w:p w14:paraId="2B10C1AC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conditional</w:t>
            </w:r>
          </w:p>
        </w:tc>
      </w:tr>
      <w:tr w:rsidR="004B2EAA" w14:paraId="64AFAFA9" w14:textId="77777777">
        <w:trPr>
          <w:jc w:val="center"/>
        </w:trPr>
        <w:tc>
          <w:tcPr>
            <w:tcW w:w="3168" w:type="dxa"/>
            <w:shd w:val="clear" w:color="auto" w:fill="F6F8FA"/>
          </w:tcPr>
          <w:p w14:paraId="5E1092A8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sampled_Bd</w:t>
            </w:r>
          </w:p>
        </w:tc>
        <w:tc>
          <w:tcPr>
            <w:tcW w:w="1872" w:type="dxa"/>
            <w:shd w:val="clear" w:color="auto" w:fill="F6F8FA"/>
          </w:tcPr>
          <w:p w14:paraId="3CD713B8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1.54617</w:t>
            </w:r>
          </w:p>
        </w:tc>
        <w:tc>
          <w:tcPr>
            <w:tcW w:w="1728" w:type="dxa"/>
            <w:shd w:val="clear" w:color="auto" w:fill="F6F8FA"/>
          </w:tcPr>
          <w:p w14:paraId="221C47C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m^5/s</w:t>
            </w:r>
          </w:p>
        </w:tc>
        <w:tc>
          <w:tcPr>
            <w:tcW w:w="1872" w:type="dxa"/>
            <w:shd w:val="clear" w:color="auto" w:fill="F6F8FA"/>
          </w:tcPr>
          <w:p w14:paraId="31FA26CF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proved</w:t>
            </w:r>
          </w:p>
        </w:tc>
      </w:tr>
      <w:tr w:rsidR="004B2EAA" w14:paraId="23DC84DC" w14:textId="77777777">
        <w:trPr>
          <w:jc w:val="center"/>
        </w:trPr>
        <w:tc>
          <w:tcPr>
            <w:tcW w:w="3168" w:type="dxa"/>
          </w:tcPr>
          <w:p w14:paraId="42F2C5C7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sampled_ultimate_radius</w:t>
            </w:r>
          </w:p>
        </w:tc>
        <w:tc>
          <w:tcPr>
            <w:tcW w:w="1872" w:type="dxa"/>
          </w:tcPr>
          <w:p w14:paraId="769A45E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308.792</w:t>
            </w:r>
          </w:p>
        </w:tc>
        <w:tc>
          <w:tcPr>
            <w:tcW w:w="1728" w:type="dxa"/>
          </w:tcPr>
          <w:p w14:paraId="177863E5" w14:textId="77777777" w:rsidR="004B2EAA" w:rsidRDefault="00000000">
            <w:pPr>
              <w:spacing w:before="60" w:after="60"/>
              <w:jc w:val="right"/>
            </w:pPr>
            <w:r>
              <w:rPr>
                <w:rFonts w:ascii="Consolas" w:hAnsi="Consolas" w:cs="Consolas"/>
                <w:color w:val="17212B"/>
                <w:sz w:val="16"/>
              </w:rPr>
              <w:t>m</w:t>
            </w:r>
          </w:p>
        </w:tc>
        <w:tc>
          <w:tcPr>
            <w:tcW w:w="1872" w:type="dxa"/>
          </w:tcPr>
          <w:p w14:paraId="009D0BDB" w14:textId="77777777" w:rsidR="004B2EAA" w:rsidRDefault="00000000">
            <w:pPr>
              <w:spacing w:before="60" w:after="60"/>
            </w:pPr>
            <w:r>
              <w:rPr>
                <w:rFonts w:ascii="Consolas" w:hAnsi="Consolas" w:cs="Consolas"/>
                <w:color w:val="17212B"/>
                <w:sz w:val="16"/>
              </w:rPr>
              <w:t>conditional</w:t>
            </w:r>
          </w:p>
        </w:tc>
      </w:tr>
    </w:tbl>
    <w:p w14:paraId="5DE1BD85" w14:textId="77777777" w:rsidR="004B2EAA" w:rsidRDefault="004B2EAA">
      <w:pPr>
        <w:spacing w:after="80"/>
      </w:pPr>
    </w:p>
    <w:p w14:paraId="3830753D" w14:textId="77777777" w:rsidR="004B2EAA" w:rsidRDefault="00000000">
      <w:r>
        <w:br w:type="page"/>
      </w:r>
    </w:p>
    <w:p w14:paraId="360E861E" w14:textId="77777777" w:rsidR="004B2EAA" w:rsidRDefault="00000000">
      <w:pPr>
        <w:keepNext/>
        <w:spacing w:before="120"/>
      </w:pPr>
      <w:r>
        <w:rPr>
          <w:rFonts w:ascii="Segoe UI" w:hAnsi="Segoe UI" w:cs="Segoe UI"/>
          <w:b/>
          <w:color w:val="17324D"/>
          <w:sz w:val="32"/>
        </w:rPr>
        <w:lastRenderedPageBreak/>
        <w:t>Appendix B. Wolfram verification manifest</w:t>
      </w:r>
    </w:p>
    <w:p w14:paraId="663C0862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Connector: Wolfram (version not exposed). Local runtime: WolframScript 1.14.0; all nine committed scripts executed with exit code 0. Exact inputs, assumptions and outputs are archived under theory/wolfram/results.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4176"/>
        <w:gridCol w:w="1728"/>
        <w:gridCol w:w="1800"/>
      </w:tblGrid>
      <w:tr w:rsidR="004B2EAA" w14:paraId="6220BDFE" w14:textId="77777777">
        <w:trPr>
          <w:tblHeader/>
          <w:jc w:val="center"/>
        </w:trPr>
        <w:tc>
          <w:tcPr>
            <w:tcW w:w="1656" w:type="dxa"/>
            <w:shd w:val="clear" w:color="auto" w:fill="17324D"/>
          </w:tcPr>
          <w:p w14:paraId="281A8F7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ID</w:t>
            </w:r>
          </w:p>
        </w:tc>
        <w:tc>
          <w:tcPr>
            <w:tcW w:w="4176" w:type="dxa"/>
            <w:shd w:val="clear" w:color="auto" w:fill="17324D"/>
          </w:tcPr>
          <w:p w14:paraId="1DFF79D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Target</w:t>
            </w:r>
          </w:p>
        </w:tc>
        <w:tc>
          <w:tcPr>
            <w:tcW w:w="1728" w:type="dxa"/>
            <w:shd w:val="clear" w:color="auto" w:fill="17324D"/>
          </w:tcPr>
          <w:p w14:paraId="6CF2E9C0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Evidence</w:t>
            </w:r>
          </w:p>
        </w:tc>
        <w:tc>
          <w:tcPr>
            <w:tcW w:w="1800" w:type="dxa"/>
            <w:shd w:val="clear" w:color="auto" w:fill="17324D"/>
          </w:tcPr>
          <w:p w14:paraId="3DFE5C1E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b/>
                <w:color w:val="FFFFFF"/>
                <w:sz w:val="16"/>
              </w:rPr>
              <w:t>Verdict</w:t>
            </w:r>
          </w:p>
        </w:tc>
      </w:tr>
      <w:tr w:rsidR="004B2EAA" w14:paraId="07AF5E67" w14:textId="77777777">
        <w:trPr>
          <w:jc w:val="center"/>
        </w:trPr>
        <w:tc>
          <w:tcPr>
            <w:tcW w:w="1656" w:type="dxa"/>
          </w:tcPr>
          <w:p w14:paraId="1D25A3F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W-L1-01/02</w:t>
            </w:r>
          </w:p>
        </w:tc>
        <w:tc>
          <w:tcPr>
            <w:tcW w:w="4176" w:type="dxa"/>
          </w:tcPr>
          <w:p w14:paraId="4810541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 xml:space="preserve">Gaussian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oMath>
            <w:r>
              <w:rPr>
                <w:rFonts w:ascii="Segoe UI" w:hAnsi="Segoe UI" w:cs="Segoe UI"/>
                <w:color w:val="17212B"/>
                <w:sz w:val="16"/>
              </w:rPr>
              <w:t xml:space="preserve"> integrals</w:t>
            </w:r>
          </w:p>
        </w:tc>
        <w:tc>
          <w:tcPr>
            <w:tcW w:w="1728" w:type="dxa"/>
          </w:tcPr>
          <w:p w14:paraId="3577890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EXACT</w:t>
            </w:r>
          </w:p>
        </w:tc>
        <w:tc>
          <w:tcPr>
            <w:tcW w:w="1800" w:type="dxa"/>
          </w:tcPr>
          <w:p w14:paraId="45D140CA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368AEC96" w14:textId="77777777">
        <w:trPr>
          <w:jc w:val="center"/>
        </w:trPr>
        <w:tc>
          <w:tcPr>
            <w:tcW w:w="1656" w:type="dxa"/>
            <w:shd w:val="clear" w:color="auto" w:fill="F6F8FA"/>
          </w:tcPr>
          <w:p w14:paraId="6DC540C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W-L1-03</w:t>
            </w:r>
          </w:p>
        </w:tc>
        <w:tc>
          <w:tcPr>
            <w:tcW w:w="4176" w:type="dxa"/>
            <w:shd w:val="clear" w:color="auto" w:fill="F6F8FA"/>
          </w:tcPr>
          <w:p w14:paraId="4353D8D5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gradient radial maximum</w:t>
            </w:r>
          </w:p>
        </w:tc>
        <w:tc>
          <w:tcPr>
            <w:tcW w:w="1728" w:type="dxa"/>
            <w:shd w:val="clear" w:color="auto" w:fill="F6F8FA"/>
          </w:tcPr>
          <w:p w14:paraId="02B22DA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  <w:shd w:val="clear" w:color="auto" w:fill="F6F8FA"/>
          </w:tcPr>
          <w:p w14:paraId="088D79E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4B888847" w14:textId="77777777">
        <w:trPr>
          <w:jc w:val="center"/>
        </w:trPr>
        <w:tc>
          <w:tcPr>
            <w:tcW w:w="1656" w:type="dxa"/>
          </w:tcPr>
          <w:p w14:paraId="0AA31A8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W-L1-04/05</w:t>
            </w:r>
          </w:p>
        </w:tc>
        <w:tc>
          <w:tcPr>
            <w:tcW w:w="4176" w:type="dxa"/>
          </w:tcPr>
          <w:p w14:paraId="2E3CF0F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normal and bounded-step identities</w:t>
            </w:r>
          </w:p>
        </w:tc>
        <w:tc>
          <w:tcPr>
            <w:tcW w:w="1728" w:type="dxa"/>
          </w:tcPr>
          <w:p w14:paraId="72F4808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</w:tcPr>
          <w:p w14:paraId="28F49F1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40FD171A" w14:textId="77777777">
        <w:trPr>
          <w:jc w:val="center"/>
        </w:trPr>
        <w:tc>
          <w:tcPr>
            <w:tcW w:w="1656" w:type="dxa"/>
            <w:shd w:val="clear" w:color="auto" w:fill="F6F8FA"/>
          </w:tcPr>
          <w:p w14:paraId="4FE0F1D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W-L2-01/02</w:t>
            </w:r>
          </w:p>
        </w:tc>
        <w:tc>
          <w:tcPr>
            <w:tcW w:w="4176" w:type="dxa"/>
            <w:shd w:val="clear" w:color="auto" w:fill="F6F8FA"/>
          </w:tcPr>
          <w:p w14:paraId="03AAD47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ratio, monotonicity, mass bounds</w:t>
            </w:r>
          </w:p>
        </w:tc>
        <w:tc>
          <w:tcPr>
            <w:tcW w:w="1728" w:type="dxa"/>
            <w:shd w:val="clear" w:color="auto" w:fill="F6F8FA"/>
          </w:tcPr>
          <w:p w14:paraId="4BA4DF3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  <w:shd w:val="clear" w:color="auto" w:fill="F6F8FA"/>
          </w:tcPr>
          <w:p w14:paraId="0F1558D2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35B2B624" w14:textId="77777777">
        <w:trPr>
          <w:jc w:val="center"/>
        </w:trPr>
        <w:tc>
          <w:tcPr>
            <w:tcW w:w="1656" w:type="dxa"/>
          </w:tcPr>
          <w:p w14:paraId="486C1DB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W-P1-01</w:t>
            </w:r>
          </w:p>
        </w:tc>
        <w:tc>
          <w:tcPr>
            <w:tcW w:w="4176" w:type="dxa"/>
          </w:tcPr>
          <w:p w14:paraId="76BD6E3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integrand derivative, fixed-cell check</w:t>
            </w:r>
          </w:p>
        </w:tc>
        <w:tc>
          <w:tcPr>
            <w:tcW w:w="1728" w:type="dxa"/>
          </w:tcPr>
          <w:p w14:paraId="5C3B1C2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</w:tcPr>
          <w:p w14:paraId="62B4306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3FF9007E" w14:textId="77777777">
        <w:trPr>
          <w:jc w:val="center"/>
        </w:trPr>
        <w:tc>
          <w:tcPr>
            <w:tcW w:w="1656" w:type="dxa"/>
            <w:shd w:val="clear" w:color="auto" w:fill="F6F8FA"/>
          </w:tcPr>
          <w:p w14:paraId="2402562D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W-P3-01</w:t>
            </w:r>
          </w:p>
        </w:tc>
        <w:tc>
          <w:tcPr>
            <w:tcW w:w="4176" w:type="dxa"/>
            <w:shd w:val="clear" w:color="auto" w:fill="F6F8FA"/>
          </w:tcPr>
          <w:p w14:paraId="08B0C0B0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reference-rate algebra</w:t>
            </w:r>
          </w:p>
        </w:tc>
        <w:tc>
          <w:tcPr>
            <w:tcW w:w="1728" w:type="dxa"/>
            <w:shd w:val="clear" w:color="auto" w:fill="F6F8FA"/>
          </w:tcPr>
          <w:p w14:paraId="7FDCC63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  <w:shd w:val="clear" w:color="auto" w:fill="F6F8FA"/>
          </w:tcPr>
          <w:p w14:paraId="53AD71F1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2150DE73" w14:textId="77777777">
        <w:trPr>
          <w:jc w:val="center"/>
        </w:trPr>
        <w:tc>
          <w:tcPr>
            <w:tcW w:w="1656" w:type="dxa"/>
          </w:tcPr>
          <w:p w14:paraId="4E94C8B9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W-T1-01</w:t>
            </w:r>
          </w:p>
        </w:tc>
        <w:tc>
          <w:tcPr>
            <w:tcW w:w="4176" w:type="dxa"/>
          </w:tcPr>
          <w:p w14:paraId="3CE5511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Young and comparison ODE</w:t>
            </w:r>
          </w:p>
        </w:tc>
        <w:tc>
          <w:tcPr>
            <w:tcW w:w="1728" w:type="dxa"/>
          </w:tcPr>
          <w:p w14:paraId="44642702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</w:tcPr>
          <w:p w14:paraId="51396126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19E2EFAF" w14:textId="77777777">
        <w:trPr>
          <w:jc w:val="center"/>
        </w:trPr>
        <w:tc>
          <w:tcPr>
            <w:tcW w:w="1656" w:type="dxa"/>
            <w:shd w:val="clear" w:color="auto" w:fill="F6F8FA"/>
          </w:tcPr>
          <w:p w14:paraId="3672ADF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W-C1-01</w:t>
            </w:r>
          </w:p>
        </w:tc>
        <w:tc>
          <w:tcPr>
            <w:tcW w:w="4176" w:type="dxa"/>
            <w:shd w:val="clear" w:color="auto" w:fill="F6F8FA"/>
          </w:tcPr>
          <w:p w14:paraId="6889459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sampled-data descent expansion</w:t>
            </w:r>
          </w:p>
        </w:tc>
        <w:tc>
          <w:tcPr>
            <w:tcW w:w="1728" w:type="dxa"/>
            <w:shd w:val="clear" w:color="auto" w:fill="F6F8FA"/>
          </w:tcPr>
          <w:p w14:paraId="754039D3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  <w:shd w:val="clear" w:color="auto" w:fill="F6F8FA"/>
          </w:tcPr>
          <w:p w14:paraId="3BF750C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6A5CE82F" w14:textId="77777777">
        <w:trPr>
          <w:jc w:val="center"/>
        </w:trPr>
        <w:tc>
          <w:tcPr>
            <w:tcW w:w="1656" w:type="dxa"/>
          </w:tcPr>
          <w:p w14:paraId="3211DD0C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W-M5-01</w:t>
            </w:r>
          </w:p>
        </w:tc>
        <w:tc>
          <w:tcPr>
            <w:tcW w:w="4176" w:type="dxa"/>
          </w:tcPr>
          <w:p w14:paraId="7259F258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generic quadratic implication</w:t>
            </w:r>
          </w:p>
        </w:tc>
        <w:tc>
          <w:tcPr>
            <w:tcW w:w="1728" w:type="dxa"/>
          </w:tcPr>
          <w:p w14:paraId="7FB303C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SYMBOLIC</w:t>
            </w:r>
          </w:p>
        </w:tc>
        <w:tc>
          <w:tcPr>
            <w:tcW w:w="1800" w:type="dxa"/>
          </w:tcPr>
          <w:p w14:paraId="11A46254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PASS</w:t>
            </w:r>
          </w:p>
        </w:tc>
      </w:tr>
      <w:tr w:rsidR="004B2EAA" w14:paraId="57CC31EA" w14:textId="77777777">
        <w:trPr>
          <w:jc w:val="center"/>
        </w:trPr>
        <w:tc>
          <w:tcPr>
            <w:tcW w:w="1656" w:type="dxa"/>
            <w:shd w:val="clear" w:color="auto" w:fill="F6F8FA"/>
          </w:tcPr>
          <w:p w14:paraId="094451B5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W-M5-02</w:t>
            </w:r>
          </w:p>
        </w:tc>
        <w:tc>
          <w:tcPr>
            <w:tcW w:w="4176" w:type="dxa"/>
            <w:shd w:val="clear" w:color="auto" w:fill="F6F8FA"/>
          </w:tcPr>
          <w:p w14:paraId="1CFF3F2F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actual branch Hessian box</w:t>
            </w:r>
          </w:p>
        </w:tc>
        <w:tc>
          <w:tcPr>
            <w:tcW w:w="1728" w:type="dxa"/>
            <w:shd w:val="clear" w:color="auto" w:fill="F6F8FA"/>
          </w:tcPr>
          <w:p w14:paraId="0727AAE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INTERVAL</w:t>
            </w:r>
          </w:p>
        </w:tc>
        <w:tc>
          <w:tcPr>
            <w:tcW w:w="1800" w:type="dxa"/>
            <w:shd w:val="clear" w:color="auto" w:fill="F6F8FA"/>
          </w:tcPr>
          <w:p w14:paraId="17D4BFBB" w14:textId="77777777" w:rsidR="004B2EAA" w:rsidRDefault="00000000">
            <w:pPr>
              <w:spacing w:before="60" w:after="60"/>
            </w:pPr>
            <w:r>
              <w:rPr>
                <w:rFonts w:ascii="Segoe UI" w:hAnsi="Segoe UI" w:cs="Segoe UI"/>
                <w:color w:val="17212B"/>
                <w:sz w:val="16"/>
              </w:rPr>
              <w:t>CONDITIONAL</w:t>
            </w:r>
          </w:p>
        </w:tc>
      </w:tr>
    </w:tbl>
    <w:p w14:paraId="4FA3B4B3" w14:textId="77777777" w:rsidR="004B2EAA" w:rsidRDefault="004B2EAA">
      <w:pPr>
        <w:spacing w:after="80"/>
      </w:pPr>
    </w:p>
    <w:p w14:paraId="565816EF" w14:textId="77777777" w:rsidR="004B2EAA" w:rsidRDefault="00000000">
      <w:pPr>
        <w:spacing w:after="140" w:line="269" w:lineRule="auto"/>
        <w:jc w:val="both"/>
      </w:pPr>
      <w:r>
        <w:rPr>
          <w:rFonts w:cs="Cambria"/>
          <w:color w:val="17212B"/>
        </w:rPr>
        <w:t>Evidence rule: an exact or symbolic output supports only the stated integral or algebraic identity. Interval evidence would have to cover the complete selected tube to support A8, and none does.</w:t>
      </w:r>
    </w:p>
    <w:p w14:paraId="0C74BBD9" w14:textId="77777777" w:rsidR="004B2EAA" w:rsidRDefault="00000000">
      <w:pPr>
        <w:keepNext/>
        <w:spacing w:before="220" w:after="100"/>
      </w:pPr>
      <w:r>
        <w:rPr>
          <w:rFonts w:ascii="Segoe UI" w:hAnsi="Segoe UI" w:cs="Segoe UI"/>
          <w:b/>
          <w:color w:val="2A6F97"/>
          <w:sz w:val="23"/>
        </w:rPr>
        <w:t>What computer algebra did not verify</w:t>
      </w:r>
    </w:p>
    <w:p w14:paraId="75573252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 xml:space="preserve">•  the pushforward construction,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cs="Cambria"/>
          <w:color w:val="17212B"/>
        </w:rPr>
        <w:t xml:space="preserve"> translation inequality, the curve quadrature and the atom matching of Lemma 1;</w:t>
      </w:r>
    </w:p>
    <w:p w14:paraId="2D32605D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the Voronoi shape derivative and the moving-boundary flux cancellation of Proposition 1;</w:t>
      </w:r>
    </w:p>
    <w:p w14:paraId="00A78AE8" w14:textId="77777777" w:rsidR="004B2EAA" w:rsidRDefault="00000000">
      <w:pPr>
        <w:spacing w:after="80" w:line="264" w:lineRule="auto"/>
        <w:ind w:left="320" w:hanging="200"/>
        <w:jc w:val="both"/>
      </w:pPr>
      <w:r>
        <w:rPr>
          <w:rFonts w:cs="Cambria"/>
          <w:color w:val="17212B"/>
        </w:rPr>
        <w:t>•  any uniform lower bound on a reduced Hessian for a named branch, which is why A8 and therefore Theorem 1 remain conditional.</w:t>
      </w:r>
    </w:p>
    <w:p w14:paraId="334E4454" w14:textId="46A28A17" w:rsidR="004B2EAA" w:rsidRPr="005204AF" w:rsidRDefault="00000000" w:rsidP="005204AF">
      <w:pPr>
        <w:keepNext/>
        <w:spacing w:before="220" w:after="100"/>
        <w:rPr>
          <w:rFonts w:eastAsia="宋体" w:hint="eastAsia"/>
          <w:lang w:eastAsia="zh-CN"/>
        </w:rPr>
      </w:pPr>
      <w:r>
        <w:rPr>
          <w:rFonts w:ascii="Segoe UI" w:hAnsi="Segoe UI" w:cs="Segoe UI"/>
          <w:b/>
          <w:color w:val="2A6F97"/>
          <w:sz w:val="23"/>
        </w:rPr>
        <w:t>Reference</w:t>
      </w:r>
    </w:p>
    <w:sectPr w:rsidR="004B2EAA" w:rsidRPr="005204AF" w:rsidSect="00034616">
      <w:headerReference w:type="default" r:id="rId8"/>
      <w:footerReference w:type="default" r:id="rId9"/>
      <w:footerReference w:type="first" r:id="rId10"/>
      <w:pgSz w:w="12240" w:h="15840"/>
      <w:pgMar w:top="1224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D2635" w14:textId="77777777" w:rsidR="00AA795F" w:rsidRDefault="00AA795F">
      <w:pPr>
        <w:spacing w:after="0" w:line="240" w:lineRule="auto"/>
      </w:pPr>
      <w:r>
        <w:separator/>
      </w:r>
    </w:p>
  </w:endnote>
  <w:endnote w:type="continuationSeparator" w:id="0">
    <w:p w14:paraId="689D6713" w14:textId="77777777" w:rsidR="00AA795F" w:rsidRDefault="00AA7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2E05C" w14:textId="77777777" w:rsidR="004B2EAA" w:rsidRDefault="00000000">
    <w:pPr>
      <w:pStyle w:val="a7"/>
      <w:tabs>
        <w:tab w:val="right" w:pos="10080"/>
      </w:tabs>
    </w:pPr>
    <w:r>
      <w:rPr>
        <w:rFonts w:ascii="Segoe UI" w:hAnsi="Segoe UI" w:cs="Segoe UI"/>
        <w:color w:val="5C6B78"/>
        <w:sz w:val="15"/>
      </w:rPr>
      <w:t>Baseline HEAD 64e1905e092d</w:t>
    </w:r>
    <w:r>
      <w:rPr>
        <w:rFonts w:ascii="Segoe UI" w:hAnsi="Segoe UI" w:cs="Segoe UI"/>
        <w:color w:val="5C6B78"/>
        <w:sz w:val="15"/>
      </w:rPr>
      <w:tab/>
    </w:r>
    <w:r>
      <w:rPr>
        <w:rFonts w:ascii="Segoe UI" w:hAnsi="Segoe UI"/>
        <w:sz w:val="15"/>
      </w:rPr>
      <w:fldChar w:fldCharType="begin"/>
    </w:r>
    <w:r>
      <w:rPr>
        <w:rFonts w:ascii="Segoe UI" w:hAnsi="Segoe UI"/>
        <w:sz w:val="15"/>
      </w:rPr>
      <w:instrText xml:space="preserve"> PAGE </w:instrText>
    </w:r>
    <w:r w:rsidR="005204AF">
      <w:rPr>
        <w:rFonts w:ascii="Segoe UI" w:hAnsi="Segoe UI"/>
        <w:sz w:val="15"/>
      </w:rPr>
      <w:fldChar w:fldCharType="separate"/>
    </w:r>
    <w:r w:rsidR="005204AF">
      <w:rPr>
        <w:rFonts w:ascii="Segoe UI" w:hAnsi="Segoe UI"/>
        <w:noProof/>
        <w:sz w:val="15"/>
      </w:rPr>
      <w:t>2</w:t>
    </w:r>
    <w:r>
      <w:rPr>
        <w:rFonts w:ascii="Segoe UI" w:hAnsi="Segoe UI"/>
        <w:sz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03587" w14:textId="77777777" w:rsidR="004B2EAA" w:rsidRDefault="00000000">
    <w:pPr>
      <w:pStyle w:val="a7"/>
      <w:tabs>
        <w:tab w:val="right" w:pos="10080"/>
      </w:tabs>
    </w:pPr>
    <w:r>
      <w:rPr>
        <w:rFonts w:ascii="Segoe UI" w:hAnsi="Segoe UI" w:cs="Segoe UI"/>
        <w:color w:val="5C6B78"/>
        <w:sz w:val="15"/>
      </w:rPr>
      <w:t>Baseline HEAD 64e1905e092d</w:t>
    </w:r>
    <w:r>
      <w:rPr>
        <w:rFonts w:ascii="Segoe UI" w:hAnsi="Segoe UI" w:cs="Segoe UI"/>
        <w:color w:val="5C6B78"/>
        <w:sz w:val="15"/>
      </w:rPr>
      <w:tab/>
    </w:r>
    <w:r>
      <w:rPr>
        <w:rFonts w:ascii="Segoe UI" w:hAnsi="Segoe UI"/>
        <w:sz w:val="15"/>
      </w:rPr>
      <w:fldChar w:fldCharType="begin"/>
    </w:r>
    <w:r>
      <w:rPr>
        <w:rFonts w:ascii="Segoe UI" w:hAnsi="Segoe UI"/>
        <w:sz w:val="15"/>
      </w:rPr>
      <w:instrText xml:space="preserve"> PAGE </w:instrText>
    </w:r>
    <w:r w:rsidR="005204AF">
      <w:rPr>
        <w:rFonts w:ascii="Segoe UI" w:hAnsi="Segoe UI"/>
        <w:sz w:val="15"/>
      </w:rPr>
      <w:fldChar w:fldCharType="separate"/>
    </w:r>
    <w:r w:rsidR="005204AF">
      <w:rPr>
        <w:rFonts w:ascii="Segoe UI" w:hAnsi="Segoe UI"/>
        <w:noProof/>
        <w:sz w:val="15"/>
      </w:rPr>
      <w:t>1</w:t>
    </w:r>
    <w:r>
      <w:rPr>
        <w:rFonts w:ascii="Segoe UI" w:hAnsi="Segoe UI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44C89" w14:textId="77777777" w:rsidR="00AA795F" w:rsidRDefault="00AA795F">
      <w:pPr>
        <w:spacing w:after="0" w:line="240" w:lineRule="auto"/>
      </w:pPr>
      <w:r>
        <w:separator/>
      </w:r>
    </w:p>
  </w:footnote>
  <w:footnote w:type="continuationSeparator" w:id="0">
    <w:p w14:paraId="1C7F5E98" w14:textId="77777777" w:rsidR="00AA795F" w:rsidRDefault="00AA79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740B" w14:textId="77777777" w:rsidR="004B2EAA" w:rsidRDefault="00000000">
    <w:pPr>
      <w:pStyle w:val="a5"/>
      <w:tabs>
        <w:tab w:val="right" w:pos="10080"/>
      </w:tabs>
    </w:pPr>
    <w:r>
      <w:rPr>
        <w:rFonts w:ascii="Segoe UI" w:hAnsi="Segoe UI" w:cs="Segoe UI"/>
        <w:color w:val="5C6B78"/>
        <w:sz w:val="15"/>
      </w:rPr>
      <w:t xml:space="preserve">DBACT THEOREM </w:t>
    </w:r>
    <w:proofErr w:type="gramStart"/>
    <w:r>
      <w:rPr>
        <w:rFonts w:ascii="Segoe UI" w:hAnsi="Segoe UI" w:cs="Segoe UI"/>
        <w:color w:val="5C6B78"/>
        <w:sz w:val="15"/>
      </w:rPr>
      <w:t>1  /</w:t>
    </w:r>
    <w:proofErr w:type="gramEnd"/>
    <w:r>
      <w:rPr>
        <w:rFonts w:ascii="Segoe UI" w:hAnsi="Segoe UI" w:cs="Segoe UI"/>
        <w:color w:val="5C6B78"/>
        <w:sz w:val="15"/>
      </w:rPr>
      <w:t xml:space="preserve">  PROOF SUPPLEMENT</w:t>
    </w:r>
    <w:r>
      <w:rPr>
        <w:rFonts w:ascii="Segoe UI" w:hAnsi="Segoe UI" w:cs="Segoe UI"/>
        <w:color w:val="5C6B78"/>
        <w:sz w:val="15"/>
      </w:rPr>
      <w:tab/>
      <w:t>LOCAL - CONDITIONAL - AUDITABLE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7985111">
    <w:abstractNumId w:val="8"/>
  </w:num>
  <w:num w:numId="2" w16cid:durableId="514274561">
    <w:abstractNumId w:val="6"/>
  </w:num>
  <w:num w:numId="3" w16cid:durableId="1919896260">
    <w:abstractNumId w:val="5"/>
  </w:num>
  <w:num w:numId="4" w16cid:durableId="1943611346">
    <w:abstractNumId w:val="4"/>
  </w:num>
  <w:num w:numId="5" w16cid:durableId="628435940">
    <w:abstractNumId w:val="7"/>
  </w:num>
  <w:num w:numId="6" w16cid:durableId="244998663">
    <w:abstractNumId w:val="3"/>
  </w:num>
  <w:num w:numId="7" w16cid:durableId="904681798">
    <w:abstractNumId w:val="2"/>
  </w:num>
  <w:num w:numId="8" w16cid:durableId="402458078">
    <w:abstractNumId w:val="1"/>
  </w:num>
  <w:num w:numId="9" w16cid:durableId="171579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617"/>
    <w:rsid w:val="0015074B"/>
    <w:rsid w:val="0029639D"/>
    <w:rsid w:val="00326F90"/>
    <w:rsid w:val="004B2EAA"/>
    <w:rsid w:val="005204AF"/>
    <w:rsid w:val="00AA1D8D"/>
    <w:rsid w:val="00AA795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A6A10F"/>
  <w14:defaultImageDpi w14:val="300"/>
  <w15:docId w15:val="{43D231BF-A904-4BDF-AC2B-6B34627AF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eastAsia="Cambria Math" w:hAnsi="Cambria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4941</Words>
  <Characters>29898</Characters>
  <Application>Microsoft Office Word</Application>
  <DocSecurity>0</DocSecurity>
  <Lines>854</Lines>
  <Paragraphs>774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DBACT Theorem 1 - Proofs and Supporting Results</dc:title>
  <dc:subject>Local conditional practical-stability theorem and verification record</dc:subject>
  <dc:creator>Boundary-aware cooperative transport project</dc:creator>
  <cp:keywords/>
  <dc:description>Local conditional theorem. No global PL, formal caging, finite-time phase completion, or unconditional transport/safety claim.</dc:description>
  <cp:lastModifiedBy>WU KAIXIN</cp:lastModifiedBy>
  <cp:revision>2</cp:revision>
  <dcterms:created xsi:type="dcterms:W3CDTF">2013-12-23T23:15:00Z</dcterms:created>
  <dcterms:modified xsi:type="dcterms:W3CDTF">2026-09-02T14:44:00Z</dcterms:modified>
  <cp:category/>
</cp:coreProperties>
</file>