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Domicon初版测试方案及流程</w:t>
      </w:r>
    </w:p>
    <w:p>
      <w:pPr>
        <w:jc w:val="center"/>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测试机器以及配置：</w:t>
      </w:r>
    </w:p>
    <w:p>
      <w:pPr>
        <w:ind w:firstLine="420" w:firstLineChars="0"/>
        <w:jc w:val="left"/>
        <w:rPr>
          <w:rFonts w:hint="eastAsia"/>
          <w:sz w:val="24"/>
          <w:szCs w:val="24"/>
          <w:lang w:val="en-US" w:eastAsia="zh-CN"/>
        </w:rPr>
      </w:pPr>
      <w:bookmarkStart w:id="0" w:name="_GoBack"/>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4"/>
        <w:gridCol w:w="1676"/>
        <w:gridCol w:w="1559"/>
        <w:gridCol w:w="1312"/>
        <w:gridCol w:w="1315"/>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4" w:type="dxa"/>
          </w:tcPr>
          <w:p>
            <w:pPr>
              <w:jc w:val="center"/>
              <w:rPr>
                <w:rFonts w:hint="default"/>
                <w:sz w:val="24"/>
                <w:szCs w:val="24"/>
                <w:vertAlign w:val="baseline"/>
                <w:lang w:val="en-US" w:eastAsia="zh-CN"/>
              </w:rPr>
            </w:pPr>
            <w:r>
              <w:rPr>
                <w:rFonts w:hint="eastAsia"/>
                <w:sz w:val="21"/>
                <w:szCs w:val="21"/>
                <w:vertAlign w:val="baseline"/>
                <w:lang w:val="en-US" w:eastAsia="zh-CN"/>
              </w:rPr>
              <w:t>机器位置</w:t>
            </w:r>
          </w:p>
        </w:tc>
        <w:tc>
          <w:tcPr>
            <w:tcW w:w="1676" w:type="dxa"/>
          </w:tcPr>
          <w:p>
            <w:pPr>
              <w:jc w:val="center"/>
              <w:rPr>
                <w:rFonts w:hint="default"/>
                <w:sz w:val="21"/>
                <w:szCs w:val="21"/>
                <w:vertAlign w:val="baseline"/>
                <w:lang w:val="en-US" w:eastAsia="zh-CN"/>
              </w:rPr>
            </w:pPr>
            <w:r>
              <w:rPr>
                <w:rFonts w:hint="eastAsia"/>
                <w:sz w:val="21"/>
                <w:szCs w:val="21"/>
                <w:vertAlign w:val="baseline"/>
                <w:lang w:val="en-US" w:eastAsia="zh-CN"/>
              </w:rPr>
              <w:t>机器公网ip</w:t>
            </w:r>
          </w:p>
        </w:tc>
        <w:tc>
          <w:tcPr>
            <w:tcW w:w="1559" w:type="dxa"/>
          </w:tcPr>
          <w:p>
            <w:pPr>
              <w:jc w:val="center"/>
              <w:rPr>
                <w:rFonts w:hint="default"/>
                <w:sz w:val="24"/>
                <w:szCs w:val="24"/>
                <w:vertAlign w:val="baseline"/>
                <w:lang w:val="en-US" w:eastAsia="zh-CN"/>
              </w:rPr>
            </w:pPr>
            <w:r>
              <w:rPr>
                <w:rFonts w:hint="eastAsia"/>
                <w:sz w:val="21"/>
                <w:szCs w:val="21"/>
                <w:vertAlign w:val="baseline"/>
                <w:lang w:val="en-US" w:eastAsia="zh-CN"/>
              </w:rPr>
              <w:t>机器内网ip</w:t>
            </w:r>
          </w:p>
        </w:tc>
        <w:tc>
          <w:tcPr>
            <w:tcW w:w="1312" w:type="dxa"/>
          </w:tcPr>
          <w:p>
            <w:pPr>
              <w:jc w:val="center"/>
              <w:rPr>
                <w:rFonts w:hint="default"/>
                <w:sz w:val="24"/>
                <w:szCs w:val="24"/>
                <w:vertAlign w:val="baseline"/>
                <w:lang w:val="en-US" w:eastAsia="zh-CN"/>
              </w:rPr>
            </w:pPr>
            <w:r>
              <w:rPr>
                <w:rFonts w:hint="eastAsia"/>
                <w:sz w:val="21"/>
                <w:szCs w:val="21"/>
                <w:vertAlign w:val="baseline"/>
                <w:lang w:val="en-US" w:eastAsia="zh-CN"/>
              </w:rPr>
              <w:t>机器核数</w:t>
            </w:r>
          </w:p>
        </w:tc>
        <w:tc>
          <w:tcPr>
            <w:tcW w:w="1315" w:type="dxa"/>
          </w:tcPr>
          <w:p>
            <w:pPr>
              <w:jc w:val="center"/>
              <w:rPr>
                <w:rFonts w:hint="default"/>
                <w:sz w:val="24"/>
                <w:szCs w:val="24"/>
                <w:vertAlign w:val="baseline"/>
                <w:lang w:val="en-US" w:eastAsia="zh-CN"/>
              </w:rPr>
            </w:pPr>
            <w:r>
              <w:rPr>
                <w:rFonts w:hint="eastAsia"/>
                <w:sz w:val="21"/>
                <w:szCs w:val="21"/>
                <w:vertAlign w:val="baseline"/>
                <w:lang w:val="en-US" w:eastAsia="zh-CN"/>
              </w:rPr>
              <w:t>机器内存</w:t>
            </w:r>
          </w:p>
        </w:tc>
        <w:tc>
          <w:tcPr>
            <w:tcW w:w="1326" w:type="dxa"/>
          </w:tcPr>
          <w:p>
            <w:pPr>
              <w:jc w:val="center"/>
              <w:rPr>
                <w:rFonts w:hint="default"/>
                <w:sz w:val="21"/>
                <w:szCs w:val="21"/>
                <w:vertAlign w:val="baseline"/>
                <w:lang w:val="en-US" w:eastAsia="zh-CN"/>
              </w:rPr>
            </w:pPr>
            <w:r>
              <w:rPr>
                <w:rFonts w:hint="eastAsia"/>
                <w:sz w:val="21"/>
                <w:szCs w:val="21"/>
                <w:vertAlign w:val="baseline"/>
                <w:lang w:val="en-US" w:eastAsia="zh-CN"/>
              </w:rPr>
              <w:t>机器硬盘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4" w:type="dxa"/>
          </w:tcPr>
          <w:p>
            <w:pPr>
              <w:jc w:val="left"/>
              <w:rPr>
                <w:rFonts w:hint="default"/>
                <w:sz w:val="24"/>
                <w:szCs w:val="24"/>
                <w:vertAlign w:val="baseline"/>
                <w:lang w:val="en-US" w:eastAsia="zh-CN"/>
              </w:rPr>
            </w:pPr>
            <w:r>
              <w:rPr>
                <w:rFonts w:hint="eastAsia"/>
                <w:sz w:val="21"/>
                <w:szCs w:val="21"/>
                <w:vertAlign w:val="baseline"/>
                <w:lang w:val="en-US" w:eastAsia="zh-CN"/>
              </w:rPr>
              <w:t>欧洲（巴黎）</w:t>
            </w:r>
          </w:p>
        </w:tc>
        <w:tc>
          <w:tcPr>
            <w:tcW w:w="1676" w:type="dxa"/>
          </w:tcPr>
          <w:p>
            <w:pPr>
              <w:keepNext w:val="0"/>
              <w:keepLines w:val="0"/>
              <w:widowControl/>
              <w:suppressLineNumbers w:val="0"/>
              <w:jc w:val="left"/>
              <w:rPr>
                <w:rFonts w:hint="eastAsia"/>
                <w:sz w:val="21"/>
                <w:szCs w:val="21"/>
                <w:vertAlign w:val="baseline"/>
                <w:lang w:val="en-US" w:eastAsia="zh-CN"/>
              </w:rPr>
            </w:pPr>
            <w:r>
              <w:rPr>
                <w:rFonts w:ascii="Helvetica Neue" w:hAnsi="Helvetica Neue" w:eastAsia="Helvetica Neue" w:cs="Helvetica Neue"/>
                <w:i w:val="0"/>
                <w:iCs w:val="0"/>
                <w:caps w:val="0"/>
                <w:color w:val="16191F"/>
                <w:spacing w:val="0"/>
                <w:kern w:val="0"/>
                <w:sz w:val="21"/>
                <w:szCs w:val="21"/>
                <w:shd w:val="clear" w:fill="FFFFFF"/>
                <w:lang w:val="en-US" w:eastAsia="zh-CN" w:bidi="ar"/>
              </w:rPr>
              <w:t>35.180.3.223</w:t>
            </w:r>
          </w:p>
        </w:tc>
        <w:tc>
          <w:tcPr>
            <w:tcW w:w="1559" w:type="dxa"/>
          </w:tcPr>
          <w:p>
            <w:pPr>
              <w:keepNext w:val="0"/>
              <w:keepLines w:val="0"/>
              <w:widowControl/>
              <w:suppressLineNumbers w:val="0"/>
              <w:jc w:val="left"/>
              <w:rPr>
                <w:rFonts w:hint="eastAsia"/>
                <w:sz w:val="21"/>
                <w:szCs w:val="21"/>
                <w:vertAlign w:val="baseline"/>
                <w:lang w:val="en-US" w:eastAsia="zh-CN"/>
              </w:rPr>
            </w:pPr>
            <w:r>
              <w:rPr>
                <w:rFonts w:ascii="Helvetica Neue" w:hAnsi="Helvetica Neue" w:eastAsia="Helvetica Neue" w:cs="Helvetica Neue"/>
                <w:i w:val="0"/>
                <w:iCs w:val="0"/>
                <w:caps w:val="0"/>
                <w:color w:val="16191F"/>
                <w:spacing w:val="0"/>
                <w:kern w:val="0"/>
                <w:sz w:val="21"/>
                <w:szCs w:val="21"/>
                <w:shd w:val="clear" w:fill="FFFFFF"/>
                <w:lang w:val="en-US" w:eastAsia="zh-CN" w:bidi="ar"/>
              </w:rPr>
              <w:t>172.31.23.24</w:t>
            </w:r>
          </w:p>
        </w:tc>
        <w:tc>
          <w:tcPr>
            <w:tcW w:w="1312" w:type="dxa"/>
          </w:tcPr>
          <w:p>
            <w:pPr>
              <w:jc w:val="center"/>
              <w:rPr>
                <w:rFonts w:hint="default"/>
                <w:sz w:val="21"/>
                <w:szCs w:val="21"/>
                <w:vertAlign w:val="baseline"/>
                <w:lang w:val="en-US" w:eastAsia="zh-CN"/>
              </w:rPr>
            </w:pPr>
            <w:r>
              <w:rPr>
                <w:rFonts w:hint="eastAsia"/>
                <w:sz w:val="21"/>
                <w:szCs w:val="21"/>
                <w:vertAlign w:val="baseline"/>
                <w:lang w:val="en-US" w:eastAsia="zh-CN"/>
              </w:rPr>
              <w:t>2</w:t>
            </w:r>
          </w:p>
        </w:tc>
        <w:tc>
          <w:tcPr>
            <w:tcW w:w="1315" w:type="dxa"/>
          </w:tcPr>
          <w:p>
            <w:pPr>
              <w:jc w:val="center"/>
              <w:rPr>
                <w:rFonts w:hint="default"/>
                <w:sz w:val="21"/>
                <w:szCs w:val="21"/>
                <w:vertAlign w:val="baseline"/>
                <w:lang w:val="en-US" w:eastAsia="zh-CN"/>
              </w:rPr>
            </w:pPr>
            <w:r>
              <w:rPr>
                <w:rFonts w:hint="eastAsia"/>
                <w:sz w:val="21"/>
                <w:szCs w:val="21"/>
                <w:vertAlign w:val="baseline"/>
                <w:lang w:val="en-US" w:eastAsia="zh-CN"/>
              </w:rPr>
              <w:t>4G</w:t>
            </w:r>
          </w:p>
        </w:tc>
        <w:tc>
          <w:tcPr>
            <w:tcW w:w="1326" w:type="dxa"/>
          </w:tcPr>
          <w:p>
            <w:pPr>
              <w:jc w:val="center"/>
              <w:rPr>
                <w:rFonts w:hint="default"/>
                <w:sz w:val="21"/>
                <w:szCs w:val="21"/>
                <w:vertAlign w:val="baseline"/>
                <w:lang w:val="en-US" w:eastAsia="zh-CN"/>
              </w:rPr>
            </w:pPr>
            <w:r>
              <w:rPr>
                <w:rFonts w:hint="eastAsia"/>
                <w:sz w:val="21"/>
                <w:szCs w:val="21"/>
                <w:vertAlign w:val="baseline"/>
                <w:lang w:val="en-US" w:eastAsia="zh-CN"/>
              </w:rPr>
              <w:t>30G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4" w:type="dxa"/>
          </w:tcPr>
          <w:p>
            <w:pPr>
              <w:jc w:val="left"/>
              <w:rPr>
                <w:rFonts w:hint="default"/>
                <w:sz w:val="24"/>
                <w:szCs w:val="24"/>
                <w:vertAlign w:val="baseline"/>
                <w:lang w:val="en-US" w:eastAsia="zh-CN"/>
              </w:rPr>
            </w:pPr>
            <w:r>
              <w:rPr>
                <w:rFonts w:hint="eastAsia"/>
                <w:sz w:val="21"/>
                <w:szCs w:val="21"/>
                <w:vertAlign w:val="baseline"/>
                <w:lang w:val="en-US" w:eastAsia="zh-CN"/>
              </w:rPr>
              <w:t>亚洲（香港）</w:t>
            </w:r>
          </w:p>
        </w:tc>
        <w:tc>
          <w:tcPr>
            <w:tcW w:w="1676" w:type="dxa"/>
          </w:tcPr>
          <w:p>
            <w:pPr>
              <w:keepNext w:val="0"/>
              <w:keepLines w:val="0"/>
              <w:widowControl/>
              <w:suppressLineNumbers w:val="0"/>
              <w:jc w:val="left"/>
              <w:rPr>
                <w:sz w:val="21"/>
                <w:szCs w:val="21"/>
              </w:rPr>
            </w:pPr>
            <w:r>
              <w:rPr>
                <w:rFonts w:ascii="Helvetica Neue" w:hAnsi="Helvetica Neue" w:eastAsia="Helvetica Neue" w:cs="Helvetica Neue"/>
                <w:i w:val="0"/>
                <w:iCs w:val="0"/>
                <w:caps w:val="0"/>
                <w:color w:val="16191F"/>
                <w:spacing w:val="0"/>
                <w:kern w:val="0"/>
                <w:sz w:val="21"/>
                <w:szCs w:val="21"/>
                <w:shd w:val="clear" w:fill="FFFFFF"/>
                <w:lang w:val="en-US" w:eastAsia="zh-CN" w:bidi="ar"/>
              </w:rPr>
              <w:t>16.163.155.251</w:t>
            </w:r>
          </w:p>
          <w:p>
            <w:pPr>
              <w:jc w:val="left"/>
              <w:rPr>
                <w:rFonts w:hint="eastAsia"/>
                <w:sz w:val="21"/>
                <w:szCs w:val="21"/>
                <w:vertAlign w:val="baseline"/>
                <w:lang w:val="en-US" w:eastAsia="zh-CN"/>
              </w:rPr>
            </w:pPr>
          </w:p>
        </w:tc>
        <w:tc>
          <w:tcPr>
            <w:tcW w:w="1559" w:type="dxa"/>
          </w:tcPr>
          <w:p>
            <w:pPr>
              <w:keepNext w:val="0"/>
              <w:keepLines w:val="0"/>
              <w:widowControl/>
              <w:suppressLineNumbers w:val="0"/>
              <w:jc w:val="left"/>
              <w:rPr>
                <w:sz w:val="21"/>
                <w:szCs w:val="21"/>
              </w:rPr>
            </w:pPr>
            <w:r>
              <w:rPr>
                <w:rFonts w:ascii="Helvetica Neue" w:hAnsi="Helvetica Neue" w:eastAsia="Helvetica Neue" w:cs="Helvetica Neue"/>
                <w:i w:val="0"/>
                <w:iCs w:val="0"/>
                <w:caps w:val="0"/>
                <w:color w:val="16191F"/>
                <w:spacing w:val="0"/>
                <w:kern w:val="0"/>
                <w:sz w:val="21"/>
                <w:szCs w:val="21"/>
                <w:shd w:val="clear" w:fill="FFFFFF"/>
                <w:lang w:val="en-US" w:eastAsia="zh-CN" w:bidi="ar"/>
              </w:rPr>
              <w:t>172.31.8.247</w:t>
            </w:r>
          </w:p>
          <w:p>
            <w:pPr>
              <w:jc w:val="left"/>
              <w:rPr>
                <w:rFonts w:hint="eastAsia"/>
                <w:sz w:val="21"/>
                <w:szCs w:val="21"/>
                <w:vertAlign w:val="baseline"/>
                <w:lang w:val="en-US" w:eastAsia="zh-CN"/>
              </w:rPr>
            </w:pPr>
          </w:p>
        </w:tc>
        <w:tc>
          <w:tcPr>
            <w:tcW w:w="1312" w:type="dxa"/>
          </w:tcPr>
          <w:p>
            <w:pPr>
              <w:jc w:val="center"/>
              <w:rPr>
                <w:rFonts w:hint="default"/>
                <w:sz w:val="21"/>
                <w:szCs w:val="21"/>
                <w:vertAlign w:val="baseline"/>
                <w:lang w:val="en-US" w:eastAsia="zh-CN"/>
              </w:rPr>
            </w:pPr>
            <w:r>
              <w:rPr>
                <w:rFonts w:hint="eastAsia"/>
                <w:sz w:val="21"/>
                <w:szCs w:val="21"/>
                <w:vertAlign w:val="baseline"/>
                <w:lang w:val="en-US" w:eastAsia="zh-CN"/>
              </w:rPr>
              <w:t>2</w:t>
            </w:r>
          </w:p>
        </w:tc>
        <w:tc>
          <w:tcPr>
            <w:tcW w:w="1315" w:type="dxa"/>
          </w:tcPr>
          <w:p>
            <w:pPr>
              <w:jc w:val="left"/>
              <w:rPr>
                <w:rFonts w:hint="eastAsia"/>
                <w:sz w:val="21"/>
                <w:szCs w:val="21"/>
                <w:vertAlign w:val="baseline"/>
                <w:lang w:val="en-US" w:eastAsia="zh-CN"/>
              </w:rPr>
            </w:pPr>
          </w:p>
        </w:tc>
        <w:tc>
          <w:tcPr>
            <w:tcW w:w="1326" w:type="dxa"/>
          </w:tcPr>
          <w:p>
            <w:pPr>
              <w:jc w:val="center"/>
              <w:rPr>
                <w:rFonts w:hint="default"/>
                <w:sz w:val="21"/>
                <w:szCs w:val="21"/>
                <w:vertAlign w:val="baseline"/>
                <w:lang w:val="en-US" w:eastAsia="zh-CN"/>
              </w:rPr>
            </w:pPr>
            <w:r>
              <w:rPr>
                <w:rFonts w:hint="eastAsia"/>
                <w:sz w:val="21"/>
                <w:szCs w:val="21"/>
                <w:vertAlign w:val="baseline"/>
                <w:lang w:val="en-US" w:eastAsia="zh-CN"/>
              </w:rPr>
              <w:t>30G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4" w:type="dxa"/>
          </w:tcPr>
          <w:p>
            <w:pPr>
              <w:jc w:val="left"/>
              <w:rPr>
                <w:rFonts w:hint="default"/>
                <w:sz w:val="21"/>
                <w:szCs w:val="21"/>
                <w:vertAlign w:val="baseline"/>
                <w:lang w:val="en-US" w:eastAsia="zh-CN"/>
              </w:rPr>
            </w:pPr>
            <w:r>
              <w:rPr>
                <w:rFonts w:hint="eastAsia"/>
                <w:sz w:val="21"/>
                <w:szCs w:val="21"/>
                <w:vertAlign w:val="baseline"/>
                <w:lang w:val="en-US" w:eastAsia="zh-CN"/>
              </w:rPr>
              <w:t>美国（弗吉尼亚）</w:t>
            </w:r>
          </w:p>
        </w:tc>
        <w:tc>
          <w:tcPr>
            <w:tcW w:w="1676" w:type="dxa"/>
          </w:tcPr>
          <w:p>
            <w:pPr>
              <w:keepNext w:val="0"/>
              <w:keepLines w:val="0"/>
              <w:widowControl/>
              <w:suppressLineNumbers w:val="0"/>
              <w:jc w:val="left"/>
              <w:rPr>
                <w:rFonts w:hint="eastAsia"/>
                <w:sz w:val="21"/>
                <w:szCs w:val="21"/>
                <w:vertAlign w:val="baseline"/>
                <w:lang w:val="en-US" w:eastAsia="zh-CN"/>
              </w:rPr>
            </w:pPr>
            <w:r>
              <w:rPr>
                <w:rFonts w:ascii="Helvetica Neue" w:hAnsi="Helvetica Neue" w:eastAsia="Helvetica Neue" w:cs="Helvetica Neue"/>
                <w:i w:val="0"/>
                <w:iCs w:val="0"/>
                <w:caps w:val="0"/>
                <w:color w:val="16191F"/>
                <w:spacing w:val="0"/>
                <w:kern w:val="0"/>
                <w:sz w:val="21"/>
                <w:szCs w:val="21"/>
                <w:shd w:val="clear" w:fill="FFFFFF"/>
                <w:lang w:val="en-US" w:eastAsia="zh-CN" w:bidi="ar"/>
              </w:rPr>
              <w:t>44.200.49.156</w:t>
            </w:r>
          </w:p>
        </w:tc>
        <w:tc>
          <w:tcPr>
            <w:tcW w:w="1559" w:type="dxa"/>
          </w:tcPr>
          <w:p>
            <w:pPr>
              <w:keepNext w:val="0"/>
              <w:keepLines w:val="0"/>
              <w:widowControl/>
              <w:suppressLineNumbers w:val="0"/>
              <w:jc w:val="left"/>
              <w:rPr>
                <w:sz w:val="21"/>
                <w:szCs w:val="21"/>
              </w:rPr>
            </w:pPr>
            <w:r>
              <w:rPr>
                <w:rFonts w:ascii="Helvetica Neue" w:hAnsi="Helvetica Neue" w:eastAsia="Helvetica Neue" w:cs="Helvetica Neue"/>
                <w:i w:val="0"/>
                <w:iCs w:val="0"/>
                <w:caps w:val="0"/>
                <w:color w:val="16191F"/>
                <w:spacing w:val="0"/>
                <w:kern w:val="0"/>
                <w:sz w:val="21"/>
                <w:szCs w:val="21"/>
                <w:shd w:val="clear" w:fill="FFFFFF"/>
                <w:lang w:val="en-US" w:eastAsia="zh-CN" w:bidi="ar"/>
              </w:rPr>
              <w:t>172.31.52.133</w:t>
            </w:r>
          </w:p>
          <w:p>
            <w:pPr>
              <w:jc w:val="left"/>
              <w:rPr>
                <w:rFonts w:hint="eastAsia"/>
                <w:sz w:val="21"/>
                <w:szCs w:val="21"/>
                <w:vertAlign w:val="baseline"/>
                <w:lang w:val="en-US" w:eastAsia="zh-CN"/>
              </w:rPr>
            </w:pPr>
          </w:p>
        </w:tc>
        <w:tc>
          <w:tcPr>
            <w:tcW w:w="1312" w:type="dxa"/>
          </w:tcPr>
          <w:p>
            <w:pPr>
              <w:jc w:val="center"/>
              <w:rPr>
                <w:rFonts w:hint="default"/>
                <w:sz w:val="21"/>
                <w:szCs w:val="21"/>
                <w:vertAlign w:val="baseline"/>
                <w:lang w:val="en-US" w:eastAsia="zh-CN"/>
              </w:rPr>
            </w:pPr>
            <w:r>
              <w:rPr>
                <w:rFonts w:hint="eastAsia"/>
                <w:sz w:val="21"/>
                <w:szCs w:val="21"/>
                <w:vertAlign w:val="baseline"/>
                <w:lang w:val="en-US" w:eastAsia="zh-CN"/>
              </w:rPr>
              <w:t>4</w:t>
            </w:r>
          </w:p>
        </w:tc>
        <w:tc>
          <w:tcPr>
            <w:tcW w:w="1315" w:type="dxa"/>
          </w:tcPr>
          <w:p>
            <w:pPr>
              <w:jc w:val="left"/>
              <w:rPr>
                <w:rFonts w:hint="eastAsia"/>
                <w:sz w:val="21"/>
                <w:szCs w:val="21"/>
                <w:vertAlign w:val="baseline"/>
                <w:lang w:val="en-US" w:eastAsia="zh-CN"/>
              </w:rPr>
            </w:pPr>
          </w:p>
        </w:tc>
        <w:tc>
          <w:tcPr>
            <w:tcW w:w="1326" w:type="dxa"/>
          </w:tcPr>
          <w:p>
            <w:pPr>
              <w:jc w:val="center"/>
              <w:rPr>
                <w:rFonts w:hint="default"/>
                <w:sz w:val="21"/>
                <w:szCs w:val="21"/>
                <w:vertAlign w:val="baseline"/>
                <w:lang w:val="en-US" w:eastAsia="zh-CN"/>
              </w:rPr>
            </w:pPr>
            <w:r>
              <w:rPr>
                <w:rFonts w:hint="eastAsia"/>
                <w:sz w:val="21"/>
                <w:szCs w:val="21"/>
                <w:vertAlign w:val="baseline"/>
                <w:lang w:val="en-US" w:eastAsia="zh-CN"/>
              </w:rPr>
              <w:t>30G</w:t>
            </w:r>
          </w:p>
        </w:tc>
      </w:tr>
    </w:tbl>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测试基本流程\测试内容：</w:t>
      </w:r>
    </w:p>
    <w:p>
      <w:pPr>
        <w:numPr>
          <w:ilvl w:val="0"/>
          <w:numId w:val="1"/>
        </w:numPr>
        <w:ind w:left="420" w:leftChars="0"/>
        <w:jc w:val="left"/>
        <w:rPr>
          <w:rFonts w:hint="eastAsia"/>
          <w:sz w:val="24"/>
          <w:szCs w:val="24"/>
          <w:lang w:val="en-US" w:eastAsia="zh-CN"/>
        </w:rPr>
      </w:pPr>
      <w:r>
        <w:rPr>
          <w:rFonts w:hint="eastAsia"/>
          <w:sz w:val="24"/>
          <w:szCs w:val="24"/>
          <w:lang w:val="en-US" w:eastAsia="zh-CN"/>
        </w:rPr>
        <w:t>各地区op-geth节点互相发现互相连接</w:t>
      </w:r>
    </w:p>
    <w:p>
      <w:pPr>
        <w:numPr>
          <w:ilvl w:val="0"/>
          <w:numId w:val="1"/>
        </w:numPr>
        <w:ind w:left="420" w:leftChars="0"/>
        <w:jc w:val="left"/>
        <w:rPr>
          <w:rFonts w:hint="default"/>
          <w:sz w:val="24"/>
          <w:szCs w:val="24"/>
          <w:lang w:val="en-US" w:eastAsia="zh-CN"/>
        </w:rPr>
      </w:pPr>
      <w:r>
        <w:rPr>
          <w:rFonts w:hint="eastAsia"/>
          <w:sz w:val="24"/>
          <w:szCs w:val="24"/>
          <w:lang w:val="en-US" w:eastAsia="zh-CN"/>
        </w:rPr>
        <w:t>各地区节点通信情况(主要是对于用户上传的文件的同步情况)</w:t>
      </w:r>
    </w:p>
    <w:p>
      <w:pPr>
        <w:numPr>
          <w:ilvl w:val="0"/>
          <w:numId w:val="1"/>
        </w:numPr>
        <w:ind w:left="420" w:leftChars="0"/>
        <w:jc w:val="left"/>
        <w:rPr>
          <w:rFonts w:hint="eastAsia"/>
          <w:sz w:val="24"/>
          <w:szCs w:val="24"/>
          <w:lang w:val="en-US" w:eastAsia="zh-CN"/>
        </w:rPr>
      </w:pPr>
      <w:r>
        <w:rPr>
          <w:rFonts w:hint="eastAsia"/>
          <w:sz w:val="24"/>
          <w:szCs w:val="24"/>
          <w:lang w:val="en-US" w:eastAsia="zh-CN"/>
        </w:rPr>
        <w:t>逐步增加传输文件的大小，测试各地区节点对于文件的接受情况，以及接收速度</w:t>
      </w:r>
    </w:p>
    <w:p>
      <w:pPr>
        <w:numPr>
          <w:ilvl w:val="0"/>
          <w:numId w:val="1"/>
        </w:numPr>
        <w:ind w:left="420" w:leftChars="0"/>
        <w:jc w:val="left"/>
        <w:rPr>
          <w:rFonts w:hint="eastAsia"/>
          <w:sz w:val="24"/>
          <w:szCs w:val="24"/>
          <w:lang w:val="en-US" w:eastAsia="zh-CN"/>
        </w:rPr>
      </w:pPr>
      <w:r>
        <w:rPr>
          <w:rFonts w:hint="eastAsia"/>
          <w:sz w:val="24"/>
          <w:szCs w:val="24"/>
          <w:lang w:val="en-US" w:eastAsia="zh-CN"/>
        </w:rPr>
        <w:t>对于只拥有上传文件交易哈希的数据节点，该节点需要通过hash取获取文件体的效率</w:t>
      </w:r>
    </w:p>
    <w:p>
      <w:pPr>
        <w:numPr>
          <w:ilvl w:val="0"/>
          <w:numId w:val="1"/>
        </w:numPr>
        <w:ind w:left="420" w:leftChars="0"/>
        <w:jc w:val="left"/>
        <w:rPr>
          <w:rFonts w:hint="eastAsia"/>
          <w:sz w:val="24"/>
          <w:szCs w:val="24"/>
          <w:lang w:val="en-US" w:eastAsia="zh-CN"/>
        </w:rPr>
      </w:pPr>
      <w:r>
        <w:rPr>
          <w:rFonts w:hint="eastAsia"/>
          <w:sz w:val="24"/>
          <w:szCs w:val="24"/>
          <w:lang w:val="en-US" w:eastAsia="zh-CN"/>
        </w:rPr>
        <w:t>对于新启动的节点，可都通过下载的方式获取之前已经包裹在交易中的上传文件</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测试方法：</w:t>
      </w:r>
    </w:p>
    <w:p>
      <w:pPr>
        <w:numPr>
          <w:ilvl w:val="0"/>
          <w:numId w:val="2"/>
        </w:numPr>
        <w:ind w:left="480" w:leftChars="0" w:firstLine="0" w:firstLineChars="0"/>
        <w:jc w:val="left"/>
        <w:rPr>
          <w:rFonts w:hint="eastAsia"/>
          <w:sz w:val="24"/>
          <w:szCs w:val="24"/>
          <w:lang w:val="en-US" w:eastAsia="zh-CN"/>
        </w:rPr>
      </w:pPr>
      <w:r>
        <w:rPr>
          <w:rFonts w:hint="eastAsia"/>
          <w:sz w:val="24"/>
          <w:szCs w:val="24"/>
          <w:lang w:val="en-US" w:eastAsia="zh-CN"/>
        </w:rPr>
        <w:t>启动节点通过bootnode发现节点使得不同地区的节点可以互相链接</w:t>
      </w:r>
    </w:p>
    <w:p>
      <w:pPr>
        <w:numPr>
          <w:ilvl w:val="0"/>
          <w:numId w:val="0"/>
        </w:numPr>
        <w:ind w:firstLine="480" w:firstLineChars="200"/>
        <w:jc w:val="left"/>
        <w:rPr>
          <w:rFonts w:hint="default"/>
          <w:sz w:val="24"/>
          <w:szCs w:val="24"/>
          <w:lang w:val="en-US" w:eastAsia="zh-CN"/>
        </w:rPr>
      </w:pPr>
      <w:r>
        <w:rPr>
          <w:rFonts w:hint="eastAsia"/>
          <w:sz w:val="24"/>
          <w:szCs w:val="24"/>
          <w:lang w:val="en-US" w:eastAsia="zh-CN"/>
        </w:rPr>
        <w:t>2. 通过构建客户端持续运行发送上传文件的形式对某个节点进行不间断(每发送1小时间隔10分钟，发送频率是10s一次)的持续文件提交，文件体大小逐渐增加，通过抽查交易哈希记录日志的方式查看各节点收到和发送的时间间隔。（由于目前的广播是全广播，其余结点对于抽查的交易哈希如何确定是个问题）</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3. 同上</w:t>
      </w:r>
    </w:p>
    <w:p>
      <w:pPr>
        <w:numPr>
          <w:ilvl w:val="0"/>
          <w:numId w:val="0"/>
        </w:numPr>
        <w:ind w:left="420" w:leftChars="0"/>
        <w:jc w:val="left"/>
        <w:rPr>
          <w:rFonts w:hint="eastAsia"/>
          <w:sz w:val="24"/>
          <w:szCs w:val="24"/>
          <w:lang w:val="en-US" w:eastAsia="zh-CN"/>
        </w:rPr>
      </w:pPr>
      <w:r>
        <w:rPr>
          <w:rFonts w:hint="eastAsia"/>
          <w:sz w:val="24"/>
          <w:szCs w:val="24"/>
          <w:lang w:val="en-US" w:eastAsia="zh-CN"/>
        </w:rPr>
        <w:t>4. 通过更改文件的广播形式，从全部节点列表的全量广播调整为部分全量广播，剩余仅广播交易hash的方式，使得部分节点需要通过交易hash的方式获取文件体，同样通过抽查的方式进行统计，问题是如何同步要抽查的交易hash</w:t>
      </w:r>
    </w:p>
    <w:p>
      <w:pPr>
        <w:numPr>
          <w:ilvl w:val="0"/>
          <w:numId w:val="0"/>
        </w:numPr>
        <w:ind w:left="420" w:leftChars="0"/>
        <w:jc w:val="left"/>
        <w:rPr>
          <w:rFonts w:hint="default"/>
          <w:sz w:val="24"/>
          <w:szCs w:val="24"/>
          <w:lang w:val="en-US" w:eastAsia="zh-CN"/>
        </w:rPr>
      </w:pPr>
      <w:r>
        <w:rPr>
          <w:rFonts w:hint="eastAsia"/>
          <w:sz w:val="24"/>
          <w:szCs w:val="24"/>
          <w:lang w:val="en-US" w:eastAsia="zh-CN"/>
        </w:rPr>
        <w:t>5.目前op-geth仅有fetcher功能尚未提供downloader功能让节点批量下载</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测试效果校验方法：</w:t>
      </w:r>
    </w:p>
    <w:p>
      <w:pPr>
        <w:numPr>
          <w:ilvl w:val="0"/>
          <w:numId w:val="3"/>
        </w:numPr>
        <w:ind w:left="360" w:leftChars="0" w:firstLine="0" w:firstLineChars="0"/>
        <w:jc w:val="left"/>
        <w:rPr>
          <w:rFonts w:hint="default"/>
          <w:sz w:val="24"/>
          <w:szCs w:val="24"/>
          <w:lang w:val="en-US" w:eastAsia="zh-CN"/>
        </w:rPr>
      </w:pPr>
      <w:r>
        <w:rPr>
          <w:rFonts w:hint="eastAsia"/>
          <w:sz w:val="24"/>
          <w:szCs w:val="24"/>
          <w:lang w:val="en-US" w:eastAsia="zh-CN"/>
        </w:rPr>
        <w:t>人工抽查</w:t>
      </w:r>
    </w:p>
    <w:p>
      <w:pPr>
        <w:numPr>
          <w:ilvl w:val="0"/>
          <w:numId w:val="3"/>
        </w:numPr>
        <w:ind w:left="360" w:leftChars="0" w:firstLine="0" w:firstLineChars="0"/>
        <w:jc w:val="left"/>
        <w:rPr>
          <w:rFonts w:hint="default"/>
          <w:sz w:val="24"/>
          <w:szCs w:val="24"/>
          <w:lang w:val="en-US" w:eastAsia="zh-CN"/>
        </w:rPr>
      </w:pPr>
      <w:r>
        <w:rPr>
          <w:rFonts w:hint="eastAsia"/>
          <w:sz w:val="24"/>
          <w:szCs w:val="24"/>
          <w:lang w:val="en-US" w:eastAsia="zh-CN"/>
        </w:rPr>
        <w:t>程序抽查(问题在于如何同步要抽查的交易Hash)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BE9383"/>
    <w:multiLevelType w:val="singleLevel"/>
    <w:tmpl w:val="EFBE9383"/>
    <w:lvl w:ilvl="0" w:tentative="0">
      <w:start w:val="1"/>
      <w:numFmt w:val="decimal"/>
      <w:lvlText w:val="%1."/>
      <w:lvlJc w:val="left"/>
      <w:pPr>
        <w:tabs>
          <w:tab w:val="left" w:pos="732"/>
        </w:tabs>
        <w:ind w:left="420"/>
      </w:pPr>
    </w:lvl>
  </w:abstractNum>
  <w:abstractNum w:abstractNumId="1">
    <w:nsid w:val="FBBA0A98"/>
    <w:multiLevelType w:val="singleLevel"/>
    <w:tmpl w:val="FBBA0A98"/>
    <w:lvl w:ilvl="0" w:tentative="0">
      <w:start w:val="1"/>
      <w:numFmt w:val="decimal"/>
      <w:lvlText w:val="%1."/>
      <w:lvlJc w:val="left"/>
      <w:pPr>
        <w:tabs>
          <w:tab w:val="left" w:pos="312"/>
        </w:tabs>
        <w:ind w:left="360" w:leftChars="0" w:firstLine="0" w:firstLineChars="0"/>
      </w:pPr>
    </w:lvl>
  </w:abstractNum>
  <w:abstractNum w:abstractNumId="2">
    <w:nsid w:val="34FFC01B"/>
    <w:multiLevelType w:val="singleLevel"/>
    <w:tmpl w:val="34FFC01B"/>
    <w:lvl w:ilvl="0" w:tentative="0">
      <w:start w:val="1"/>
      <w:numFmt w:val="decimal"/>
      <w:suff w:val="space"/>
      <w:lvlText w:val="%1."/>
      <w:lvlJc w:val="left"/>
      <w:pPr>
        <w:ind w:left="480"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F5365"/>
    <w:rsid w:val="75FF5365"/>
    <w:rsid w:val="DF5EF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2023-12-08T02:51:00Z</dcterms:created>
  <dc:creator>唐十三</dc:creator>
  <cp:lastModifiedBy>唐十三</cp:lastModifiedBy>
  <dcterms:modified xsi:type="dcterms:W3CDTF">2024-05-07T10:10:43Z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D9210DEF5F55281C97A371658433EAB8_41</vt:lpwstr>
  </property>
</Properties>
</file>