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A380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9">
            <o:LockedField>false</o:LockedField>
          </o:OLEObject>
        </w:object>
      </w:r>
    </w:p>
    <w:p w14:paraId="6BF37E8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1C210B98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7EC024BB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6B962432">
      <w:pPr>
        <w:jc w:val="center"/>
      </w:pPr>
    </w:p>
    <w:p w14:paraId="586584A2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41AC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29A6B0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35C4064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0F50C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B008F2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F07A84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FE3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174BC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8885CAA">
            <w:pPr>
              <w:jc w:val="center"/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0FFB8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BD6937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EA8DF2E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5ED01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EAE43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CCE83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BD8B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926C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3AC34C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142A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F0C37E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BDE814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447D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1DA667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8B4389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A78F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FF2F62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876601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04201BDC">
      <w:pPr>
        <w:jc w:val="center"/>
      </w:pPr>
    </w:p>
    <w:p w14:paraId="251BA567">
      <w:pPr>
        <w:jc w:val="center"/>
      </w:pPr>
    </w:p>
    <w:p w14:paraId="49CB5825">
      <w:pPr>
        <w:jc w:val="center"/>
      </w:pPr>
    </w:p>
    <w:p w14:paraId="101D563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F371AC7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CD0F1BF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A42AF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435D783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080E7867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65225C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6B664C60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2D24928A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5898DE4A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E441B3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A21BFD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3C4DFEC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8CE6B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3E6AAFD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footerReference r:id="rId4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086BF5C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09034F6A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455C9FB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D1FED92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5EFF1880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5B7A2269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08EFDEE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0F3F898D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78E7B5A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10DD5EDA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0AF5153F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525E4190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45F0D2FA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1749158F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2F528345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0FE49140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5235D22E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3DC4B6B3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3EFE700C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61682B37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527715A5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445049C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0672D980">
      <w:pPr>
        <w:ind w:firstLine="420" w:firstLineChars="200"/>
        <w:rPr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633CC3D1">
      <w:pPr>
        <w:ind w:firstLine="420" w:firstLineChars="200"/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2404745"/>
            <wp:effectExtent l="0" t="0" r="2540" b="8255"/>
            <wp:docPr id="2" name="图片 2" descr="ef20bf27-a64d-461b-be11-49bd48c535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20bf27-a64d-461b-be11-49bd48c535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9335" cy="1631950"/>
            <wp:effectExtent l="0" t="0" r="12065" b="6350"/>
            <wp:docPr id="3" name="图片 3" descr="ddb49b07-2844-4717-b2de-f670007bd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db49b07-2844-4717-b2de-f670007bd10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4200525"/>
            <wp:effectExtent l="0" t="0" r="5715" b="3175"/>
            <wp:docPr id="4" name="图片 4" descr="c05fe35e-7713-4660-a138-16342739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05fe35e-7713-4660-a138-1634273905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3486150"/>
            <wp:effectExtent l="0" t="0" r="6350" b="6350"/>
            <wp:docPr id="5" name="图片 5" descr="141649bc-bf55-41fa-aad9-84d024ae7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41649bc-bf55-41fa-aad9-84d024ae755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3949700"/>
            <wp:effectExtent l="0" t="0" r="4445" b="0"/>
            <wp:docPr id="6" name="图片 6" descr="872f26ff-1a0f-4ac4-a822-d81908d1b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72f26ff-1a0f-4ac4-a822-d81908d1bcf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700" cy="5669280"/>
            <wp:effectExtent l="0" t="0" r="0" b="7620"/>
            <wp:docPr id="9" name="图片 9" descr="9cf79d65-4791-447e-8e7b-d03fd31bf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cf79d65-4791-447e-8e7b-d03fd31bf3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3831590"/>
            <wp:effectExtent l="0" t="0" r="7620" b="3810"/>
            <wp:docPr id="10" name="图片 10" descr="7b239e4e-fda0-48fb-b29d-adaa56b93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b239e4e-fda0-48fb-b29d-adaa56b934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3942715"/>
            <wp:effectExtent l="0" t="0" r="3175" b="6985"/>
            <wp:docPr id="11" name="图片 11" descr="1e180022-de3d-44bb-b69c-faaea1427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e180022-de3d-44bb-b69c-faaea14274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FE8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74B76C61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6A4C4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一、实验问题与解决历程</w:t>
      </w:r>
    </w:p>
    <w:p w14:paraId="33EF9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单特征模型的维度报错问题最初训练 “年龄” 单特征模型时，直接用df_loan['年龄']（一维 Series）传入fit()，导致维度不匹配报错。后来将特征改为二维格式（df_loan[['年龄']]），解决了维度问题，模型成功训练。</w:t>
      </w:r>
    </w:p>
    <w:p w14:paraId="234A7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多特征模型的量纲干扰问题未标准化的多特征模型中，“工资” 和 “年龄” 量纲差异大，模型权重无法体现特征的实际影响。通过StandardScaler对特征标准化后，权重的相对大小能合理反映特征对贷款金额的贡献。</w:t>
      </w:r>
    </w:p>
    <w:p w14:paraId="3536C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新数据预测的标准化一致性问题一开始用新的scaler对测试数据标准化，导致预测结果偏离实际。遵循 “训练集fit、测试集transform” 的原则，复用训练阶段的scaler对象，保证了数据缩放规则一致，得到了合理的预测结果。</w:t>
      </w:r>
    </w:p>
    <w:p w14:paraId="4C010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二、实验感受与收获</w:t>
      </w:r>
    </w:p>
    <w:p w14:paraId="17B4A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技能层面掌握了 “单 / 多特征线性回归模型构建 - 模型评估（MSE、R²）- 特征标准化” 的完整流程，理解了特征维度、量纲对模型训练与解释的影响。</w:t>
      </w:r>
    </w:p>
    <w:p w14:paraId="3747C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思维层面体会到 “数据预处理是建模的前提”—— 维度错误会直接导致训练失败，量纲不一致会干扰特征重要性的判断；同时明确 “评估指标（如 R²）是模型效果的核心”：“年龄” 单特征模型的 R²（0.99）高于 “工资”（0.97），与散点图中年龄和贷款金额的线性趋势更明显的直观感受一致。</w:t>
      </w:r>
    </w:p>
    <w:p w14:paraId="48D27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业务认知从结果中发现 “年龄对银行贷款金额的预测能力略强于工资”，且多特征模型的 R² 进一步提升，说明结合多特征能更精准地预测贷款金额。</w:t>
      </w:r>
    </w:p>
    <w:p w14:paraId="23815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三、后续改进与注意点</w:t>
      </w:r>
    </w:p>
    <w:p w14:paraId="20895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模型优化可增加更多特征（如 “工作年限”）构建更全面的模型，同时通过交叉验证提升评估结果的可靠性。</w:t>
      </w:r>
    </w:p>
    <w:p w14:paraId="3C11B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特征分析补充特征相关性分析，避免引入高度相关的特征导致多重共线性，影响模型稳定性。</w:t>
      </w:r>
    </w:p>
    <w:p w14:paraId="16682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/>
          <w:b w:val="0"/>
        </w:rPr>
      </w:pPr>
      <w:r>
        <w:rPr>
          <w:rStyle w:val="10"/>
          <w:rFonts w:hint="eastAsia" w:ascii="宋体" w:hAnsi="宋体" w:eastAsia="宋体" w:cs="宋体"/>
          <w:b w:val="0"/>
          <w:color w:val="auto"/>
        </w:rPr>
        <w:t>代码规范将 “特征准备 - 模型训练 - 评估” 的流程封装为函数，减少重复代码，提升实验效率。</w:t>
      </w:r>
    </w:p>
    <w:sectPr>
      <w:headerReference r:id="rId5" w:type="default"/>
      <w:footerReference r:id="rId6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5A35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61D0B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CAB6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6D3CB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52195FE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52484EB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13EA28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0E804D5B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  <w:tc>
        <w:tcPr>
          <w:tcW w:w="446" w:type="pct"/>
        </w:tcPr>
        <w:p w14:paraId="1FBF32B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D1C3B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0F7FA79D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274BE91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375EB5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5280EFD2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  <w:bookmarkStart w:id="0" w:name="_GoBack"/>
          <w:bookmarkEnd w:id="0"/>
        </w:p>
      </w:tc>
    </w:tr>
  </w:tbl>
  <w:p w14:paraId="4B824BA2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76410D9"/>
    <w:rsid w:val="0ED464DD"/>
    <w:rsid w:val="169B1910"/>
    <w:rsid w:val="1956245F"/>
    <w:rsid w:val="255E5940"/>
    <w:rsid w:val="530B14BA"/>
    <w:rsid w:val="5DAB4BBD"/>
    <w:rsid w:val="5F83780C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qFormat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1903</Words>
  <Characters>2082</Characters>
  <Lines>10</Lines>
  <Paragraphs>2</Paragraphs>
  <TotalTime>0</TotalTime>
  <ScaleCrop>false</ScaleCrop>
  <LinksUpToDate>false</LinksUpToDate>
  <CharactersWithSpaces>2189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2025-12-12T12:21:07Z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