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B5C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85A5C9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2EB2B6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EEF4B8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C3B5083">
      <w:pPr>
        <w:jc w:val="center"/>
      </w:pPr>
    </w:p>
    <w:p w14:paraId="0348E6A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289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1A6F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8592A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04B9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6758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8F6A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A12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E0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5A0C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AE6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AC13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1EF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5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5B7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D10B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F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A0220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5D1C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5B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61BD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C8E86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12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B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12B9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C5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66F7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39A1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C03002A">
      <w:pPr>
        <w:jc w:val="center"/>
      </w:pPr>
    </w:p>
    <w:p w14:paraId="00373291">
      <w:pPr>
        <w:jc w:val="center"/>
      </w:pPr>
    </w:p>
    <w:p w14:paraId="3F2F7C7F">
      <w:pPr>
        <w:jc w:val="center"/>
      </w:pPr>
    </w:p>
    <w:p w14:paraId="324EA68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3EC62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67E45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40378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F58CCB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C43D99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4A6B01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1CD5D6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1B2B8F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E302AC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6BA4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6AE4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924AA3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45182E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1053876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79D8E0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2B1FB3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59953C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960851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1E249C1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9D1657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73FE70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7B8457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49F53E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16DE9B9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5D12C3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4209BEA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561BD7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A4CD7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27BF237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099B960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AFB9C4C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68C643F5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33F58DEF">
      <w:pPr>
        <w:spacing w:line="275" w:lineRule="auto"/>
        <w:ind w:firstLine="105" w:firstLineChars="50"/>
        <w:rPr>
          <w:rFonts w:ascii="宋体" w:hAnsi="宋体" w:cs="宋体"/>
        </w:rPr>
      </w:pPr>
    </w:p>
    <w:p w14:paraId="057C5D4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FB4F09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E612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23CC12E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0479371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2D17125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20C9DF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7336F65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353A5AD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FC984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5B792F5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4198A36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1BD28E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511413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8CC74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616C385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64BC63B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7CE0D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67F801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5679A4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53E09C6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3A097C9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FA79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3E1ADF4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763901A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0BF2845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433411F2">
      <w:pPr>
        <w:spacing w:line="275" w:lineRule="auto"/>
        <w:ind w:firstLine="105" w:firstLineChars="50"/>
        <w:rPr>
          <w:rFonts w:ascii="宋体" w:hAnsi="宋体" w:cs="宋体"/>
        </w:rPr>
      </w:pPr>
    </w:p>
    <w:p w14:paraId="5B1F6C08">
      <w:pPr>
        <w:rPr>
          <w:bCs/>
        </w:rPr>
      </w:pPr>
    </w:p>
    <w:p w14:paraId="211AE5B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8D46D4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DB37419">
      <w:pPr>
        <w:rPr>
          <w:bCs/>
          <w:color w:val="FF0000"/>
        </w:rPr>
      </w:pPr>
      <w:r>
        <w:drawing>
          <wp:inline distT="0" distB="0" distL="114300" distR="114300">
            <wp:extent cx="6116320" cy="421830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48AB">
      <w:pPr>
        <w:rPr>
          <w:bCs/>
          <w:color w:val="FF0000"/>
        </w:rPr>
      </w:pPr>
    </w:p>
    <w:p w14:paraId="13426FC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2D5EE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86FC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bookmarkStart w:id="1" w:name="_GoBack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一、实验过程中的问题及解决历程</w:t>
      </w:r>
    </w:p>
    <w:p w14:paraId="2C2E7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类别选择的交互逻辑问题初期可能存在 “类别编号输入错误” 的情况（如误输非 1-8 的数字），通过系统提示 “输入 1、2...8 或 q”，明确了输入规则，确保类别选择的准确性。</w:t>
      </w:r>
    </w:p>
    <w:p w14:paraId="5C65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问题输入的有效性问题若输入非农业相关问题，系统可能无法给出有效回复；通过 “输入‘back’返回类别选择” 的引导，优化了无效输入后的流程，提升了交互的流畅性。</w:t>
      </w:r>
    </w:p>
    <w:p w14:paraId="60DB2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6493F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知识收获系统将传统农谚（如《齐民要术》《诗经》内容）与现代农技（轮作、生物防治等）结合，清晰呈现了 “防病治虫” 的全流程方法，既学习了农业实操技能，也了解了农业知识的传承与应用。</w:t>
      </w:r>
    </w:p>
    <w:p w14:paraId="19325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交互设计感受体会到 “分类引导 + 精准问答” 的交互模式在专业知识查询中的优势：通过先选类别再提问题，降低了用户的决策成本，让信息获取更聚焦。</w:t>
      </w:r>
    </w:p>
    <w:p w14:paraId="447E2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三、后续改进与注意的地方</w:t>
      </w:r>
    </w:p>
    <w:p w14:paraId="2ED10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功能拓展</w:t>
      </w:r>
    </w:p>
    <w:p w14:paraId="777BF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可增加 “问题联想推荐”（如输入 “防虫” 时，自动推荐相关常见问题），减少用户输入成本；</w:t>
      </w:r>
    </w:p>
    <w:p w14:paraId="5403B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内容细化</w:t>
      </w:r>
    </w:p>
    <w:p w14:paraId="07F5D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对每个方法补充具体操作案例（如 “轮作倒茬” 可举例不同作物的轮作组合），提升建议的落地性；</w:t>
      </w:r>
    </w:p>
    <w:p w14:paraId="60FCD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交互优化</w:t>
      </w:r>
    </w:p>
    <w:p w14:paraId="18E7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b w:val="0"/>
          <w:bCs w:val="0"/>
          <w:color w:val="FF0000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增加 “输入错误提示”（如输入非有效内容时，提示 “请输入农业相关问题”），进一步提升交互体验。</w:t>
      </w:r>
    </w:p>
    <w:bookmarkEnd w:id="1"/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BB8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218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95AF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B67C36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D2E0A0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8D9DA6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F07AF1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BEF0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8A439C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681C4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8938A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07F34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2C9F5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C5A111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8193DD1"/>
    <w:rsid w:val="0B4C0708"/>
    <w:rsid w:val="18855933"/>
    <w:rsid w:val="2D706093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2869</Words>
  <Characters>3118</Characters>
  <Lines>19</Lines>
  <Paragraphs>5</Paragraphs>
  <TotalTime>28</TotalTime>
  <ScaleCrop>false</ScaleCrop>
  <LinksUpToDate>false</LinksUpToDate>
  <CharactersWithSpaces>3265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2025-12-14T04:48:22Z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