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C55E" w14:textId="24EFBB77" w:rsidR="00DA101D" w:rsidRPr="00DA101D" w:rsidRDefault="00DA101D" w:rsidP="00DA101D">
      <w:pPr>
        <w:widowControl/>
        <w:spacing w:after="0" w:line="240" w:lineRule="auto"/>
        <w:jc w:val="center"/>
        <w:rPr>
          <w:rFonts w:ascii="Times New Roman" w:eastAsia="宋体" w:hAnsi="Times New Roman" w:cs="Times New Roman"/>
          <w:b/>
          <w:bCs/>
          <w:color w:val="FF0000"/>
          <w:sz w:val="21"/>
          <w:szCs w:val="21"/>
          <w14:ligatures w14:val="none"/>
        </w:rPr>
      </w:pPr>
      <w:r w:rsidRPr="00DA101D">
        <w:rPr>
          <w:rFonts w:ascii="Times New Roman" w:eastAsia="宋体" w:hAnsi="Times New Roman" w:cs="Times New Roman"/>
          <w:b/>
          <w:bCs/>
          <w:color w:val="FF0000"/>
          <w:sz w:val="21"/>
          <w:szCs w:val="21"/>
          <w14:ligatures w14:val="none"/>
        </w:rPr>
        <w:t>XRD</w:t>
      </w:r>
      <w:r w:rsidRPr="00DA101D">
        <w:rPr>
          <w:rFonts w:ascii="Times New Roman" w:eastAsia="宋体" w:hAnsi="Times New Roman" w:cs="Times New Roman"/>
          <w:b/>
          <w:bCs/>
          <w:color w:val="FF0000"/>
          <w:sz w:val="21"/>
          <w:szCs w:val="21"/>
          <w14:ligatures w14:val="none"/>
        </w:rPr>
        <w:t>曲线数据</w:t>
      </w:r>
    </w:p>
    <w:p w14:paraId="5287718D" w14:textId="77777777" w:rsidR="00DA101D" w:rsidRPr="00DA101D" w:rsidRDefault="00DA101D" w:rsidP="00DA101D">
      <w:p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对于</w:t>
      </w:r>
      <w:r w:rsidRPr="00DA101D">
        <w:rPr>
          <w:rFonts w:ascii="Times New Roman" w:eastAsia="宋体" w:hAnsi="Times New Roman" w:cs="Times New Roman"/>
          <w:sz w:val="21"/>
          <w:szCs w:val="21"/>
          <w14:ligatures w14:val="none"/>
        </w:rPr>
        <w:t>X</w:t>
      </w:r>
      <w:r w:rsidRPr="00DA101D">
        <w:rPr>
          <w:rFonts w:ascii="Times New Roman" w:eastAsia="宋体" w:hAnsi="Times New Roman" w:cs="Times New Roman"/>
          <w:sz w:val="21"/>
          <w:szCs w:val="21"/>
          <w14:ligatures w14:val="none"/>
        </w:rPr>
        <w:t>射线衍射（</w:t>
      </w:r>
      <w:r w:rsidRPr="00DA101D">
        <w:rPr>
          <w:rFonts w:ascii="Times New Roman" w:eastAsia="宋体" w:hAnsi="Times New Roman" w:cs="Times New Roman"/>
          <w:sz w:val="21"/>
          <w:szCs w:val="21"/>
          <w14:ligatures w14:val="none"/>
        </w:rPr>
        <w:t>XRD</w:t>
      </w:r>
      <w:r w:rsidRPr="00DA101D">
        <w:rPr>
          <w:rFonts w:ascii="Times New Roman" w:eastAsia="宋体" w:hAnsi="Times New Roman" w:cs="Times New Roman"/>
          <w:sz w:val="21"/>
          <w:szCs w:val="21"/>
          <w14:ligatures w14:val="none"/>
        </w:rPr>
        <w:t>）图谱的质量评价，可以从信噪比、峰强度、峰宽、背景水平、峰位精度、重复性等多个方面入手，以确保数据的准确性和可靠性。以下是一些常用的评价指标和方法：</w:t>
      </w:r>
    </w:p>
    <w:p w14:paraId="311C1639"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1. </w:t>
      </w:r>
      <w:r w:rsidRPr="00DA101D">
        <w:rPr>
          <w:rFonts w:ascii="Times New Roman" w:eastAsia="宋体" w:hAnsi="Times New Roman" w:cs="Times New Roman"/>
          <w:b/>
          <w:bCs/>
          <w:sz w:val="21"/>
          <w:szCs w:val="21"/>
          <w14:ligatures w14:val="none"/>
        </w:rPr>
        <w:t>信噪比（</w:t>
      </w:r>
      <w:r w:rsidRPr="00DA101D">
        <w:rPr>
          <w:rFonts w:ascii="Times New Roman" w:eastAsia="宋体" w:hAnsi="Times New Roman" w:cs="Times New Roman"/>
          <w:b/>
          <w:bCs/>
          <w:sz w:val="21"/>
          <w:szCs w:val="21"/>
          <w14:ligatures w14:val="none"/>
        </w:rPr>
        <w:t>Signal-to-Noise Ratio, SNR</w:t>
      </w:r>
      <w:r w:rsidRPr="00DA101D">
        <w:rPr>
          <w:rFonts w:ascii="Times New Roman" w:eastAsia="宋体" w:hAnsi="Times New Roman" w:cs="Times New Roman"/>
          <w:b/>
          <w:bCs/>
          <w:sz w:val="21"/>
          <w:szCs w:val="21"/>
          <w14:ligatures w14:val="none"/>
        </w:rPr>
        <w:t>）</w:t>
      </w:r>
    </w:p>
    <w:p w14:paraId="1D8D670B" w14:textId="77777777" w:rsidR="00DA101D" w:rsidRPr="00DA101D" w:rsidRDefault="00DA101D" w:rsidP="00DA101D">
      <w:pPr>
        <w:numPr>
          <w:ilvl w:val="0"/>
          <w:numId w:val="9"/>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：高信噪比能清晰地显示衍射峰并提高分析准确性。</w:t>
      </w:r>
    </w:p>
    <w:p w14:paraId="54B6DEC5" w14:textId="77777777" w:rsidR="00DA101D" w:rsidRPr="00DA101D" w:rsidRDefault="00DA101D" w:rsidP="00DA101D">
      <w:pPr>
        <w:numPr>
          <w:ilvl w:val="0"/>
          <w:numId w:val="9"/>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：计算特征峰强度与背景噪声的比值。通常，信噪比越高，</w:t>
      </w:r>
      <w:proofErr w:type="gramStart"/>
      <w:r w:rsidRPr="00DA101D">
        <w:rPr>
          <w:rFonts w:ascii="Times New Roman" w:eastAsia="宋体" w:hAnsi="Times New Roman" w:cs="Times New Roman"/>
          <w:sz w:val="21"/>
          <w:szCs w:val="21"/>
          <w14:ligatures w14:val="none"/>
        </w:rPr>
        <w:t>衍射峰越清晰</w:t>
      </w:r>
      <w:proofErr w:type="gramEnd"/>
      <w:r w:rsidRPr="00DA101D">
        <w:rPr>
          <w:rFonts w:ascii="Times New Roman" w:eastAsia="宋体" w:hAnsi="Times New Roman" w:cs="Times New Roman"/>
          <w:sz w:val="21"/>
          <w:szCs w:val="21"/>
          <w14:ligatures w14:val="none"/>
        </w:rPr>
        <w:t>，识别和拟合峰的位置和宽度的准确性越高。</w:t>
      </w:r>
    </w:p>
    <w:p w14:paraId="068D1A3D"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2. </w:t>
      </w:r>
      <w:r w:rsidRPr="00DA101D">
        <w:rPr>
          <w:rFonts w:ascii="Times New Roman" w:eastAsia="宋体" w:hAnsi="Times New Roman" w:cs="Times New Roman"/>
          <w:b/>
          <w:bCs/>
          <w:sz w:val="21"/>
          <w:szCs w:val="21"/>
          <w14:ligatures w14:val="none"/>
        </w:rPr>
        <w:t>峰强度（</w:t>
      </w:r>
      <w:r w:rsidRPr="00DA101D">
        <w:rPr>
          <w:rFonts w:ascii="Times New Roman" w:eastAsia="宋体" w:hAnsi="Times New Roman" w:cs="Times New Roman"/>
          <w:b/>
          <w:bCs/>
          <w:sz w:val="21"/>
          <w:szCs w:val="21"/>
          <w14:ligatures w14:val="none"/>
        </w:rPr>
        <w:t>Peak Intensity</w:t>
      </w:r>
      <w:r w:rsidRPr="00DA101D">
        <w:rPr>
          <w:rFonts w:ascii="Times New Roman" w:eastAsia="宋体" w:hAnsi="Times New Roman" w:cs="Times New Roman"/>
          <w:b/>
          <w:bCs/>
          <w:sz w:val="21"/>
          <w:szCs w:val="21"/>
          <w14:ligatures w14:val="none"/>
        </w:rPr>
        <w:t>）</w:t>
      </w:r>
    </w:p>
    <w:p w14:paraId="6E34547F" w14:textId="77777777" w:rsidR="00DA101D" w:rsidRPr="00DA101D" w:rsidRDefault="00DA101D" w:rsidP="00DA101D">
      <w:pPr>
        <w:numPr>
          <w:ilvl w:val="0"/>
          <w:numId w:val="10"/>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：峰强度反映了晶体材料的相对含量和衍射能力。高峰强度有助于更准确地识别特征峰，尤其在定量分析中更为重要。</w:t>
      </w:r>
    </w:p>
    <w:p w14:paraId="689A9122" w14:textId="77777777" w:rsidR="00DA101D" w:rsidRPr="00DA101D" w:rsidRDefault="00DA101D" w:rsidP="00DA101D">
      <w:pPr>
        <w:numPr>
          <w:ilvl w:val="0"/>
          <w:numId w:val="10"/>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：可以通过比较不同样品中同一峰的强度，以及与标准样品的峰强度对比来确认。低强度的</w:t>
      </w:r>
      <w:proofErr w:type="gramStart"/>
      <w:r w:rsidRPr="00DA101D">
        <w:rPr>
          <w:rFonts w:ascii="Times New Roman" w:eastAsia="宋体" w:hAnsi="Times New Roman" w:cs="Times New Roman"/>
          <w:sz w:val="21"/>
          <w:szCs w:val="21"/>
          <w14:ligatures w14:val="none"/>
        </w:rPr>
        <w:t>峰可能</w:t>
      </w:r>
      <w:proofErr w:type="gramEnd"/>
      <w:r w:rsidRPr="00DA101D">
        <w:rPr>
          <w:rFonts w:ascii="Times New Roman" w:eastAsia="宋体" w:hAnsi="Times New Roman" w:cs="Times New Roman"/>
          <w:sz w:val="21"/>
          <w:szCs w:val="21"/>
          <w14:ligatures w14:val="none"/>
        </w:rPr>
        <w:t>需要延长扫描时间或增加扫描次数来提高信号质量。</w:t>
      </w:r>
    </w:p>
    <w:p w14:paraId="0CBEAF14"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3. </w:t>
      </w:r>
      <w:r w:rsidRPr="00DA101D">
        <w:rPr>
          <w:rFonts w:ascii="Times New Roman" w:eastAsia="宋体" w:hAnsi="Times New Roman" w:cs="Times New Roman"/>
          <w:b/>
          <w:bCs/>
          <w:sz w:val="21"/>
          <w:szCs w:val="21"/>
          <w14:ligatures w14:val="none"/>
        </w:rPr>
        <w:t>峰宽（</w:t>
      </w:r>
      <w:r w:rsidRPr="00DA101D">
        <w:rPr>
          <w:rFonts w:ascii="Times New Roman" w:eastAsia="宋体" w:hAnsi="Times New Roman" w:cs="Times New Roman"/>
          <w:b/>
          <w:bCs/>
          <w:sz w:val="21"/>
          <w:szCs w:val="21"/>
          <w14:ligatures w14:val="none"/>
        </w:rPr>
        <w:t>Full Width at Half Maximum, FWHM</w:t>
      </w:r>
      <w:r w:rsidRPr="00DA101D">
        <w:rPr>
          <w:rFonts w:ascii="Times New Roman" w:eastAsia="宋体" w:hAnsi="Times New Roman" w:cs="Times New Roman"/>
          <w:b/>
          <w:bCs/>
          <w:sz w:val="21"/>
          <w:szCs w:val="21"/>
          <w14:ligatures w14:val="none"/>
        </w:rPr>
        <w:t>）</w:t>
      </w:r>
    </w:p>
    <w:p w14:paraId="0A4F510F" w14:textId="7D43C470" w:rsidR="00DA101D" w:rsidRPr="00DA101D" w:rsidRDefault="00DA101D" w:rsidP="00DA101D">
      <w:pPr>
        <w:numPr>
          <w:ilvl w:val="0"/>
          <w:numId w:val="11"/>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：峰宽决定了分辨率，对确定晶粒大小和应力状态具有重要意义。</w:t>
      </w:r>
      <w:proofErr w:type="gramStart"/>
      <w:r w:rsidRPr="00DA101D">
        <w:rPr>
          <w:rFonts w:ascii="Times New Roman" w:eastAsia="宋体" w:hAnsi="Times New Roman" w:cs="Times New Roman"/>
          <w:sz w:val="21"/>
          <w:szCs w:val="21"/>
          <w14:ligatures w14:val="none"/>
        </w:rPr>
        <w:t>窄峰通常</w:t>
      </w:r>
      <w:proofErr w:type="gramEnd"/>
      <w:r w:rsidRPr="00DA101D">
        <w:rPr>
          <w:rFonts w:ascii="Times New Roman" w:eastAsia="宋体" w:hAnsi="Times New Roman" w:cs="Times New Roman"/>
          <w:sz w:val="21"/>
          <w:szCs w:val="21"/>
          <w14:ligatures w14:val="none"/>
        </w:rPr>
        <w:t>表明较高的结晶度，而</w:t>
      </w:r>
      <w:proofErr w:type="gramStart"/>
      <w:r w:rsidRPr="00DA101D">
        <w:rPr>
          <w:rFonts w:ascii="Times New Roman" w:eastAsia="宋体" w:hAnsi="Times New Roman" w:cs="Times New Roman"/>
          <w:sz w:val="21"/>
          <w:szCs w:val="21"/>
          <w14:ligatures w14:val="none"/>
        </w:rPr>
        <w:t>宽峰可能</w:t>
      </w:r>
      <w:proofErr w:type="gramEnd"/>
      <w:r w:rsidRPr="00DA101D">
        <w:rPr>
          <w:rFonts w:ascii="Times New Roman" w:eastAsia="宋体" w:hAnsi="Times New Roman" w:cs="Times New Roman"/>
          <w:sz w:val="21"/>
          <w:szCs w:val="21"/>
          <w14:ligatures w14:val="none"/>
        </w:rPr>
        <w:t>暗示小晶粒或微应变。</w:t>
      </w:r>
      <w:r w:rsidR="00BA60D9">
        <w:rPr>
          <w:rFonts w:ascii="Times New Roman" w:eastAsia="宋体" w:hAnsi="Times New Roman" w:cs="Times New Roman" w:hint="eastAsia"/>
          <w:sz w:val="21"/>
          <w:szCs w:val="21"/>
          <w14:ligatures w14:val="none"/>
        </w:rPr>
        <w:t xml:space="preserve">  </w:t>
      </w:r>
    </w:p>
    <w:p w14:paraId="1FE5682B" w14:textId="77777777" w:rsidR="00DA101D" w:rsidRPr="00DA101D" w:rsidRDefault="00DA101D" w:rsidP="00DA101D">
      <w:pPr>
        <w:numPr>
          <w:ilvl w:val="0"/>
          <w:numId w:val="11"/>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：计算半高宽（</w:t>
      </w:r>
      <w:r w:rsidRPr="00DA101D">
        <w:rPr>
          <w:rFonts w:ascii="Times New Roman" w:eastAsia="宋体" w:hAnsi="Times New Roman" w:cs="Times New Roman"/>
          <w:sz w:val="21"/>
          <w:szCs w:val="21"/>
          <w14:ligatures w14:val="none"/>
        </w:rPr>
        <w:t>FWHM</w:t>
      </w:r>
      <w:r w:rsidRPr="00DA101D">
        <w:rPr>
          <w:rFonts w:ascii="Times New Roman" w:eastAsia="宋体" w:hAnsi="Times New Roman" w:cs="Times New Roman"/>
          <w:sz w:val="21"/>
          <w:szCs w:val="21"/>
          <w14:ligatures w14:val="none"/>
        </w:rPr>
        <w:t>），较窄的峰宽表示较高的分辨率和良好的结晶度。</w:t>
      </w:r>
      <w:r w:rsidRPr="00DA101D">
        <w:rPr>
          <w:rFonts w:ascii="Times New Roman" w:eastAsia="宋体" w:hAnsi="Times New Roman" w:cs="Times New Roman"/>
          <w:sz w:val="21"/>
          <w:szCs w:val="21"/>
          <w14:ligatures w14:val="none"/>
        </w:rPr>
        <w:t>FWHM</w:t>
      </w:r>
      <w:r w:rsidRPr="00DA101D">
        <w:rPr>
          <w:rFonts w:ascii="Times New Roman" w:eastAsia="宋体" w:hAnsi="Times New Roman" w:cs="Times New Roman"/>
          <w:sz w:val="21"/>
          <w:szCs w:val="21"/>
          <w14:ligatures w14:val="none"/>
        </w:rPr>
        <w:t>的变化也可以用于估算晶粒大小（</w:t>
      </w:r>
      <w:r w:rsidRPr="00DA101D">
        <w:rPr>
          <w:rFonts w:ascii="Times New Roman" w:eastAsia="宋体" w:hAnsi="Times New Roman" w:cs="Times New Roman"/>
          <w:sz w:val="21"/>
          <w:szCs w:val="21"/>
          <w14:ligatures w14:val="none"/>
        </w:rPr>
        <w:t>Scherrer</w:t>
      </w:r>
      <w:r w:rsidRPr="00DA101D">
        <w:rPr>
          <w:rFonts w:ascii="Times New Roman" w:eastAsia="宋体" w:hAnsi="Times New Roman" w:cs="Times New Roman"/>
          <w:sz w:val="21"/>
          <w:szCs w:val="21"/>
          <w14:ligatures w14:val="none"/>
        </w:rPr>
        <w:t>公式）或检测晶体中的微应变。</w:t>
      </w:r>
    </w:p>
    <w:p w14:paraId="3EDA0A8B"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4. </w:t>
      </w:r>
      <w:r w:rsidRPr="00DA101D">
        <w:rPr>
          <w:rFonts w:ascii="Times New Roman" w:eastAsia="宋体" w:hAnsi="Times New Roman" w:cs="Times New Roman"/>
          <w:b/>
          <w:bCs/>
          <w:sz w:val="21"/>
          <w:szCs w:val="21"/>
          <w14:ligatures w14:val="none"/>
        </w:rPr>
        <w:t>背景水平（</w:t>
      </w:r>
      <w:r w:rsidRPr="00DA101D">
        <w:rPr>
          <w:rFonts w:ascii="Times New Roman" w:eastAsia="宋体" w:hAnsi="Times New Roman" w:cs="Times New Roman"/>
          <w:b/>
          <w:bCs/>
          <w:sz w:val="21"/>
          <w:szCs w:val="21"/>
          <w14:ligatures w14:val="none"/>
        </w:rPr>
        <w:t>Background Level</w:t>
      </w:r>
      <w:r w:rsidRPr="00DA101D">
        <w:rPr>
          <w:rFonts w:ascii="Times New Roman" w:eastAsia="宋体" w:hAnsi="Times New Roman" w:cs="Times New Roman"/>
          <w:b/>
          <w:bCs/>
          <w:sz w:val="21"/>
          <w:szCs w:val="21"/>
          <w14:ligatures w14:val="none"/>
        </w:rPr>
        <w:t>）</w:t>
      </w:r>
    </w:p>
    <w:p w14:paraId="4DD356EE" w14:textId="77777777" w:rsidR="00DA101D" w:rsidRPr="00DA101D" w:rsidRDefault="00DA101D" w:rsidP="00DA101D">
      <w:pPr>
        <w:numPr>
          <w:ilvl w:val="0"/>
          <w:numId w:val="1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w:t>
      </w:r>
      <w:proofErr w:type="gramStart"/>
      <w:r w:rsidRPr="00DA101D">
        <w:rPr>
          <w:rFonts w:ascii="Times New Roman" w:eastAsia="宋体" w:hAnsi="Times New Roman" w:cs="Times New Roman"/>
          <w:sz w:val="21"/>
          <w:szCs w:val="21"/>
          <w14:ligatures w14:val="none"/>
        </w:rPr>
        <w:t>低背景</w:t>
      </w:r>
      <w:proofErr w:type="gramEnd"/>
      <w:r w:rsidRPr="00DA101D">
        <w:rPr>
          <w:rFonts w:ascii="Times New Roman" w:eastAsia="宋体" w:hAnsi="Times New Roman" w:cs="Times New Roman"/>
          <w:sz w:val="21"/>
          <w:szCs w:val="21"/>
          <w14:ligatures w14:val="none"/>
        </w:rPr>
        <w:t>水平有助于提高峰的分辨率和识别准确性。</w:t>
      </w:r>
      <w:proofErr w:type="gramStart"/>
      <w:r w:rsidRPr="00DA101D">
        <w:rPr>
          <w:rFonts w:ascii="Times New Roman" w:eastAsia="宋体" w:hAnsi="Times New Roman" w:cs="Times New Roman"/>
          <w:sz w:val="21"/>
          <w:szCs w:val="21"/>
          <w14:ligatures w14:val="none"/>
        </w:rPr>
        <w:t>高背景</w:t>
      </w:r>
      <w:proofErr w:type="gramEnd"/>
      <w:r w:rsidRPr="00DA101D">
        <w:rPr>
          <w:rFonts w:ascii="Times New Roman" w:eastAsia="宋体" w:hAnsi="Times New Roman" w:cs="Times New Roman"/>
          <w:sz w:val="21"/>
          <w:szCs w:val="21"/>
          <w14:ligatures w14:val="none"/>
        </w:rPr>
        <w:t>可能来自样品、衬底或设备的散射噪声。</w:t>
      </w:r>
    </w:p>
    <w:p w14:paraId="3FBAB989" w14:textId="77777777" w:rsidR="00DA101D" w:rsidRPr="00DA101D" w:rsidRDefault="00DA101D" w:rsidP="00DA101D">
      <w:pPr>
        <w:numPr>
          <w:ilvl w:val="0"/>
          <w:numId w:val="1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：通过背景校正算法降低背景水平，并观察背景水平的平坦度。较低且稳定的背景通常能提高峰的识别效果，</w:t>
      </w:r>
      <w:proofErr w:type="gramStart"/>
      <w:r w:rsidRPr="00DA101D">
        <w:rPr>
          <w:rFonts w:ascii="Times New Roman" w:eastAsia="宋体" w:hAnsi="Times New Roman" w:cs="Times New Roman"/>
          <w:sz w:val="21"/>
          <w:szCs w:val="21"/>
          <w14:ligatures w14:val="none"/>
        </w:rPr>
        <w:t>使弱峰更加</w:t>
      </w:r>
      <w:proofErr w:type="gramEnd"/>
      <w:r w:rsidRPr="00DA101D">
        <w:rPr>
          <w:rFonts w:ascii="Times New Roman" w:eastAsia="宋体" w:hAnsi="Times New Roman" w:cs="Times New Roman"/>
          <w:sz w:val="21"/>
          <w:szCs w:val="21"/>
          <w14:ligatures w14:val="none"/>
        </w:rPr>
        <w:t>可见。</w:t>
      </w:r>
    </w:p>
    <w:p w14:paraId="796C84C6"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5. </w:t>
      </w:r>
      <w:r w:rsidRPr="00DA101D">
        <w:rPr>
          <w:rFonts w:ascii="Times New Roman" w:eastAsia="宋体" w:hAnsi="Times New Roman" w:cs="Times New Roman"/>
          <w:b/>
          <w:bCs/>
          <w:sz w:val="21"/>
          <w:szCs w:val="21"/>
          <w14:ligatures w14:val="none"/>
        </w:rPr>
        <w:t>峰位精度（</w:t>
      </w:r>
      <w:r w:rsidRPr="00DA101D">
        <w:rPr>
          <w:rFonts w:ascii="Times New Roman" w:eastAsia="宋体" w:hAnsi="Times New Roman" w:cs="Times New Roman"/>
          <w:b/>
          <w:bCs/>
          <w:sz w:val="21"/>
          <w:szCs w:val="21"/>
          <w14:ligatures w14:val="none"/>
        </w:rPr>
        <w:t>Peak Position Accuracy</w:t>
      </w:r>
      <w:r w:rsidRPr="00DA101D">
        <w:rPr>
          <w:rFonts w:ascii="Times New Roman" w:eastAsia="宋体" w:hAnsi="Times New Roman" w:cs="Times New Roman"/>
          <w:b/>
          <w:bCs/>
          <w:sz w:val="21"/>
          <w:szCs w:val="21"/>
          <w14:ligatures w14:val="none"/>
        </w:rPr>
        <w:t>）</w:t>
      </w:r>
    </w:p>
    <w:p w14:paraId="532E8F1F" w14:textId="77777777" w:rsidR="00DA101D" w:rsidRPr="00DA101D" w:rsidRDefault="00DA101D" w:rsidP="00DA101D">
      <w:pPr>
        <w:numPr>
          <w:ilvl w:val="0"/>
          <w:numId w:val="13"/>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：峰位精度直接影响对材料相组成和晶格参数的分析准确性。</w:t>
      </w:r>
    </w:p>
    <w:p w14:paraId="3C358762" w14:textId="77777777" w:rsidR="00DA101D" w:rsidRPr="00DA101D" w:rsidRDefault="00DA101D" w:rsidP="00DA101D">
      <w:pPr>
        <w:numPr>
          <w:ilvl w:val="0"/>
          <w:numId w:val="13"/>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：使用内标物或标准样品来校准峰位，通过计算偏离标准值的误差来确认峰位的准确性。精确的峰位对于晶格常数的计算和</w:t>
      </w:r>
      <w:proofErr w:type="gramStart"/>
      <w:r w:rsidRPr="00DA101D">
        <w:rPr>
          <w:rFonts w:ascii="Times New Roman" w:eastAsia="宋体" w:hAnsi="Times New Roman" w:cs="Times New Roman"/>
          <w:sz w:val="21"/>
          <w:szCs w:val="21"/>
          <w14:ligatures w14:val="none"/>
        </w:rPr>
        <w:t>物相</w:t>
      </w:r>
      <w:proofErr w:type="gramEnd"/>
      <w:r w:rsidRPr="00DA101D">
        <w:rPr>
          <w:rFonts w:ascii="Times New Roman" w:eastAsia="宋体" w:hAnsi="Times New Roman" w:cs="Times New Roman"/>
          <w:sz w:val="21"/>
          <w:szCs w:val="21"/>
          <w14:ligatures w14:val="none"/>
        </w:rPr>
        <w:t>识别至关重要。</w:t>
      </w:r>
    </w:p>
    <w:p w14:paraId="6C977C63"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6. </w:t>
      </w:r>
      <w:r w:rsidRPr="00DA101D">
        <w:rPr>
          <w:rFonts w:ascii="Times New Roman" w:eastAsia="宋体" w:hAnsi="Times New Roman" w:cs="Times New Roman"/>
          <w:b/>
          <w:bCs/>
          <w:sz w:val="21"/>
          <w:szCs w:val="21"/>
          <w14:ligatures w14:val="none"/>
        </w:rPr>
        <w:t>重复性和</w:t>
      </w:r>
      <w:proofErr w:type="gramStart"/>
      <w:r w:rsidRPr="00DA101D">
        <w:rPr>
          <w:rFonts w:ascii="Times New Roman" w:eastAsia="宋体" w:hAnsi="Times New Roman" w:cs="Times New Roman"/>
          <w:b/>
          <w:bCs/>
          <w:sz w:val="21"/>
          <w:szCs w:val="21"/>
          <w14:ligatures w14:val="none"/>
        </w:rPr>
        <w:t>可</w:t>
      </w:r>
      <w:proofErr w:type="gramEnd"/>
      <w:r w:rsidRPr="00DA101D">
        <w:rPr>
          <w:rFonts w:ascii="Times New Roman" w:eastAsia="宋体" w:hAnsi="Times New Roman" w:cs="Times New Roman"/>
          <w:b/>
          <w:bCs/>
          <w:sz w:val="21"/>
          <w:szCs w:val="21"/>
          <w14:ligatures w14:val="none"/>
        </w:rPr>
        <w:t>再现性（</w:t>
      </w:r>
      <w:r w:rsidRPr="00DA101D">
        <w:rPr>
          <w:rFonts w:ascii="Times New Roman" w:eastAsia="宋体" w:hAnsi="Times New Roman" w:cs="Times New Roman"/>
          <w:b/>
          <w:bCs/>
          <w:sz w:val="21"/>
          <w:szCs w:val="21"/>
          <w14:ligatures w14:val="none"/>
        </w:rPr>
        <w:t>Repeatability and Reproducibility</w:t>
      </w:r>
      <w:r w:rsidRPr="00DA101D">
        <w:rPr>
          <w:rFonts w:ascii="Times New Roman" w:eastAsia="宋体" w:hAnsi="Times New Roman" w:cs="Times New Roman"/>
          <w:b/>
          <w:bCs/>
          <w:sz w:val="21"/>
          <w:szCs w:val="21"/>
          <w14:ligatures w14:val="none"/>
        </w:rPr>
        <w:t>）</w:t>
      </w:r>
    </w:p>
    <w:p w14:paraId="0A8BCE3D" w14:textId="77777777" w:rsidR="00DA101D" w:rsidRPr="00DA101D" w:rsidRDefault="00DA101D" w:rsidP="00DA101D">
      <w:pPr>
        <w:numPr>
          <w:ilvl w:val="0"/>
          <w:numId w:val="1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：良好的重复性说明数据的可靠性，确保相同样品在不同条件下测得的结果一致。</w:t>
      </w:r>
    </w:p>
    <w:p w14:paraId="3073BFC5" w14:textId="77777777" w:rsidR="00DA101D" w:rsidRPr="00DA101D" w:rsidRDefault="00DA101D" w:rsidP="00DA101D">
      <w:pPr>
        <w:numPr>
          <w:ilvl w:val="0"/>
          <w:numId w:val="1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：多次扫描同一样品并比较衍射峰的位置、强度和宽度。通过计算重复测试的相对误差或标准偏差来量化数据一致性。</w:t>
      </w:r>
    </w:p>
    <w:p w14:paraId="6390B897"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7. </w:t>
      </w:r>
      <w:r w:rsidRPr="00DA101D">
        <w:rPr>
          <w:rFonts w:ascii="Times New Roman" w:eastAsia="宋体" w:hAnsi="Times New Roman" w:cs="Times New Roman"/>
          <w:b/>
          <w:bCs/>
          <w:sz w:val="21"/>
          <w:szCs w:val="21"/>
          <w14:ligatures w14:val="none"/>
        </w:rPr>
        <w:t>基线漂移（</w:t>
      </w:r>
      <w:r w:rsidRPr="00DA101D">
        <w:rPr>
          <w:rFonts w:ascii="Times New Roman" w:eastAsia="宋体" w:hAnsi="Times New Roman" w:cs="Times New Roman"/>
          <w:b/>
          <w:bCs/>
          <w:sz w:val="21"/>
          <w:szCs w:val="21"/>
          <w14:ligatures w14:val="none"/>
        </w:rPr>
        <w:t>Baseline Drift</w:t>
      </w:r>
      <w:r w:rsidRPr="00DA101D">
        <w:rPr>
          <w:rFonts w:ascii="Times New Roman" w:eastAsia="宋体" w:hAnsi="Times New Roman" w:cs="Times New Roman"/>
          <w:b/>
          <w:bCs/>
          <w:sz w:val="21"/>
          <w:szCs w:val="21"/>
          <w14:ligatures w14:val="none"/>
        </w:rPr>
        <w:t>）</w:t>
      </w:r>
    </w:p>
    <w:p w14:paraId="42065265" w14:textId="77777777" w:rsidR="00DA101D" w:rsidRPr="00DA101D" w:rsidRDefault="00DA101D" w:rsidP="00DA101D">
      <w:pPr>
        <w:numPr>
          <w:ilvl w:val="0"/>
          <w:numId w:val="15"/>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：基线漂移可能导致误判，尤其是在弱信号区域，</w:t>
      </w:r>
      <w:proofErr w:type="gramStart"/>
      <w:r w:rsidRPr="00DA101D">
        <w:rPr>
          <w:rFonts w:ascii="Times New Roman" w:eastAsia="宋体" w:hAnsi="Times New Roman" w:cs="Times New Roman"/>
          <w:sz w:val="21"/>
          <w:szCs w:val="21"/>
          <w14:ligatures w14:val="none"/>
        </w:rPr>
        <w:t>使峰强度</w:t>
      </w:r>
      <w:proofErr w:type="gramEnd"/>
      <w:r w:rsidRPr="00DA101D">
        <w:rPr>
          <w:rFonts w:ascii="Times New Roman" w:eastAsia="宋体" w:hAnsi="Times New Roman" w:cs="Times New Roman"/>
          <w:sz w:val="21"/>
          <w:szCs w:val="21"/>
          <w14:ligatures w14:val="none"/>
        </w:rPr>
        <w:t>难以量化。</w:t>
      </w:r>
    </w:p>
    <w:p w14:paraId="0793C8DB" w14:textId="77777777" w:rsidR="00DA101D" w:rsidRPr="00DA101D" w:rsidRDefault="00DA101D" w:rsidP="00DA101D">
      <w:pPr>
        <w:numPr>
          <w:ilvl w:val="0"/>
          <w:numId w:val="15"/>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：观察图谱的基线是否</w:t>
      </w:r>
      <w:proofErr w:type="gramStart"/>
      <w:r w:rsidRPr="00DA101D">
        <w:rPr>
          <w:rFonts w:ascii="Times New Roman" w:eastAsia="宋体" w:hAnsi="Times New Roman" w:cs="Times New Roman"/>
          <w:sz w:val="21"/>
          <w:szCs w:val="21"/>
          <w14:ligatures w14:val="none"/>
        </w:rPr>
        <w:t>随角度</w:t>
      </w:r>
      <w:proofErr w:type="gramEnd"/>
      <w:r w:rsidRPr="00DA101D">
        <w:rPr>
          <w:rFonts w:ascii="Times New Roman" w:eastAsia="宋体" w:hAnsi="Times New Roman" w:cs="Times New Roman"/>
          <w:sz w:val="21"/>
          <w:szCs w:val="21"/>
          <w14:ligatures w14:val="none"/>
        </w:rPr>
        <w:t>变化出现漂移，通过适当的基线校正或数据平滑处理来确保基线平稳，避免</w:t>
      </w:r>
      <w:proofErr w:type="gramStart"/>
      <w:r w:rsidRPr="00DA101D">
        <w:rPr>
          <w:rFonts w:ascii="Times New Roman" w:eastAsia="宋体" w:hAnsi="Times New Roman" w:cs="Times New Roman"/>
          <w:sz w:val="21"/>
          <w:szCs w:val="21"/>
          <w14:ligatures w14:val="none"/>
        </w:rPr>
        <w:t>干扰弱峰分析</w:t>
      </w:r>
      <w:proofErr w:type="gramEnd"/>
      <w:r w:rsidRPr="00DA101D">
        <w:rPr>
          <w:rFonts w:ascii="Times New Roman" w:eastAsia="宋体" w:hAnsi="Times New Roman" w:cs="Times New Roman"/>
          <w:sz w:val="21"/>
          <w:szCs w:val="21"/>
          <w14:ligatures w14:val="none"/>
        </w:rPr>
        <w:t>。</w:t>
      </w:r>
    </w:p>
    <w:p w14:paraId="4B8D3D12"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8. </w:t>
      </w:r>
      <w:r w:rsidRPr="00DA101D">
        <w:rPr>
          <w:rFonts w:ascii="Times New Roman" w:eastAsia="宋体" w:hAnsi="Times New Roman" w:cs="Times New Roman"/>
          <w:b/>
          <w:bCs/>
          <w:sz w:val="21"/>
          <w:szCs w:val="21"/>
          <w14:ligatures w14:val="none"/>
        </w:rPr>
        <w:t>仪器分辨率和步进精度</w:t>
      </w:r>
    </w:p>
    <w:p w14:paraId="046CA845" w14:textId="77777777" w:rsidR="00DA101D" w:rsidRPr="00DA101D" w:rsidRDefault="00DA101D" w:rsidP="00DA101D">
      <w:pPr>
        <w:numPr>
          <w:ilvl w:val="0"/>
          <w:numId w:val="1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：仪器分辨率和步进精度直接影响峰位和峰宽的可靠性。</w:t>
      </w:r>
    </w:p>
    <w:p w14:paraId="5780128B" w14:textId="77777777" w:rsidR="00DA101D" w:rsidRPr="00DA101D" w:rsidRDefault="00DA101D" w:rsidP="00DA101D">
      <w:pPr>
        <w:numPr>
          <w:ilvl w:val="0"/>
          <w:numId w:val="1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：评估仪器设置的角度步进值和探测器分辨率。较小的步进角和高分辨率探测器能够捕捉更细致的峰信息。</w:t>
      </w:r>
    </w:p>
    <w:p w14:paraId="6754302A"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9. </w:t>
      </w:r>
      <w:r w:rsidRPr="00DA101D">
        <w:rPr>
          <w:rFonts w:ascii="Times New Roman" w:eastAsia="宋体" w:hAnsi="Times New Roman" w:cs="Times New Roman"/>
          <w:b/>
          <w:bCs/>
          <w:sz w:val="21"/>
          <w:szCs w:val="21"/>
          <w14:ligatures w14:val="none"/>
        </w:rPr>
        <w:t>峰拟合质量（</w:t>
      </w:r>
      <w:r w:rsidRPr="00DA101D">
        <w:rPr>
          <w:rFonts w:ascii="Times New Roman" w:eastAsia="宋体" w:hAnsi="Times New Roman" w:cs="Times New Roman"/>
          <w:b/>
          <w:bCs/>
          <w:sz w:val="21"/>
          <w:szCs w:val="21"/>
          <w14:ligatures w14:val="none"/>
        </w:rPr>
        <w:t>Peak Fitting Quality</w:t>
      </w:r>
      <w:r w:rsidRPr="00DA101D">
        <w:rPr>
          <w:rFonts w:ascii="Times New Roman" w:eastAsia="宋体" w:hAnsi="Times New Roman" w:cs="Times New Roman"/>
          <w:b/>
          <w:bCs/>
          <w:sz w:val="21"/>
          <w:szCs w:val="21"/>
          <w14:ligatures w14:val="none"/>
        </w:rPr>
        <w:t>）</w:t>
      </w:r>
    </w:p>
    <w:p w14:paraId="23C8BB03" w14:textId="77777777" w:rsidR="00DA101D" w:rsidRPr="00DA101D" w:rsidRDefault="00DA101D" w:rsidP="00DA101D">
      <w:pPr>
        <w:numPr>
          <w:ilvl w:val="0"/>
          <w:numId w:val="17"/>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：峰拟合的质量会影响参数计算的准确性。良好的拟合结果能够真实反映衍射峰的形状和位置。</w:t>
      </w:r>
    </w:p>
    <w:p w14:paraId="66BB3050" w14:textId="77777777" w:rsidR="00DA101D" w:rsidRPr="00DA101D" w:rsidRDefault="00DA101D" w:rsidP="00DA101D">
      <w:pPr>
        <w:numPr>
          <w:ilvl w:val="0"/>
          <w:numId w:val="17"/>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：使用</w:t>
      </w:r>
      <w:r w:rsidRPr="00DA101D">
        <w:rPr>
          <w:rFonts w:ascii="Times New Roman" w:eastAsia="宋体" w:hAnsi="Times New Roman" w:cs="Times New Roman"/>
          <w:sz w:val="21"/>
          <w:szCs w:val="21"/>
          <w14:ligatures w14:val="none"/>
        </w:rPr>
        <w:t>R</w:t>
      </w:r>
      <w:r w:rsidRPr="00DA101D">
        <w:rPr>
          <w:rFonts w:ascii="Times New Roman" w:eastAsia="宋体" w:hAnsi="Times New Roman" w:cs="Times New Roman"/>
          <w:sz w:val="21"/>
          <w:szCs w:val="21"/>
          <w14:ligatures w14:val="none"/>
        </w:rPr>
        <w:t>因子或拟合优度等拟合评价参数，确保拟合的残差小于一定阈值。通过对称性检查确保峰</w:t>
      </w:r>
      <w:proofErr w:type="gramStart"/>
      <w:r w:rsidRPr="00DA101D">
        <w:rPr>
          <w:rFonts w:ascii="Times New Roman" w:eastAsia="宋体" w:hAnsi="Times New Roman" w:cs="Times New Roman"/>
          <w:sz w:val="21"/>
          <w:szCs w:val="21"/>
          <w14:ligatures w14:val="none"/>
        </w:rPr>
        <w:t>形拟</w:t>
      </w:r>
      <w:proofErr w:type="gramEnd"/>
      <w:r w:rsidRPr="00DA101D">
        <w:rPr>
          <w:rFonts w:ascii="Times New Roman" w:eastAsia="宋体" w:hAnsi="Times New Roman" w:cs="Times New Roman"/>
          <w:sz w:val="21"/>
          <w:szCs w:val="21"/>
          <w14:ligatures w14:val="none"/>
        </w:rPr>
        <w:t>合准确。</w:t>
      </w:r>
    </w:p>
    <w:p w14:paraId="36395F2E"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 xml:space="preserve">10. </w:t>
      </w:r>
      <w:r w:rsidRPr="00DA101D">
        <w:rPr>
          <w:rFonts w:ascii="Times New Roman" w:eastAsia="宋体" w:hAnsi="Times New Roman" w:cs="Times New Roman"/>
          <w:b/>
          <w:bCs/>
          <w:sz w:val="21"/>
          <w:szCs w:val="21"/>
          <w14:ligatures w14:val="none"/>
        </w:rPr>
        <w:t>低角度和高角度信号的平衡</w:t>
      </w:r>
    </w:p>
    <w:p w14:paraId="520533B0" w14:textId="77777777" w:rsidR="00DA101D" w:rsidRPr="00DA101D" w:rsidRDefault="00DA101D" w:rsidP="00DA101D">
      <w:pPr>
        <w:numPr>
          <w:ilvl w:val="0"/>
          <w:numId w:val="1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意义</w:t>
      </w:r>
      <w:r w:rsidRPr="00DA101D">
        <w:rPr>
          <w:rFonts w:ascii="Times New Roman" w:eastAsia="宋体" w:hAnsi="Times New Roman" w:cs="Times New Roman"/>
          <w:sz w:val="21"/>
          <w:szCs w:val="21"/>
          <w14:ligatures w14:val="none"/>
        </w:rPr>
        <w:t>：在一些样品中，低角度区域可能会有更强的背景信号，而高角度区域信号较弱。应确保低角和高角信号都能有效捕获，以便于全面分析。</w:t>
      </w:r>
    </w:p>
    <w:p w14:paraId="2C9CC7D2" w14:textId="77777777" w:rsidR="00DA101D" w:rsidRPr="00DA101D" w:rsidRDefault="00DA101D" w:rsidP="00DA101D">
      <w:pPr>
        <w:numPr>
          <w:ilvl w:val="0"/>
          <w:numId w:val="1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b/>
          <w:bCs/>
          <w:sz w:val="21"/>
          <w:szCs w:val="21"/>
          <w14:ligatures w14:val="none"/>
        </w:rPr>
        <w:t>评价方法</w:t>
      </w:r>
      <w:r w:rsidRPr="00DA101D">
        <w:rPr>
          <w:rFonts w:ascii="Times New Roman" w:eastAsia="宋体" w:hAnsi="Times New Roman" w:cs="Times New Roman"/>
          <w:sz w:val="21"/>
          <w:szCs w:val="21"/>
          <w14:ligatures w14:val="none"/>
        </w:rPr>
        <w:t>：通过调整扫描范围和检测器增益确保在全角范围内获得均匀的信号分布。</w:t>
      </w:r>
    </w:p>
    <w:p w14:paraId="15AA97D0" w14:textId="77777777" w:rsidR="00DA101D" w:rsidRPr="00DA101D" w:rsidRDefault="00DA101D" w:rsidP="00DA101D">
      <w:pPr>
        <w:spacing w:after="0" w:line="240" w:lineRule="auto"/>
        <w:jc w:val="both"/>
        <w:rPr>
          <w:rFonts w:ascii="Times New Roman" w:eastAsia="宋体" w:hAnsi="Times New Roman" w:cs="Times New Roman"/>
          <w:b/>
          <w:bCs/>
          <w:sz w:val="21"/>
          <w:szCs w:val="21"/>
          <w14:ligatures w14:val="none"/>
        </w:rPr>
      </w:pPr>
      <w:r w:rsidRPr="00DA101D">
        <w:rPr>
          <w:rFonts w:ascii="Times New Roman" w:eastAsia="宋体" w:hAnsi="Times New Roman" w:cs="Times New Roman"/>
          <w:b/>
          <w:bCs/>
          <w:sz w:val="21"/>
          <w:szCs w:val="21"/>
          <w14:ligatures w14:val="none"/>
        </w:rPr>
        <w:t>总结</w:t>
      </w:r>
    </w:p>
    <w:p w14:paraId="4C8EB5D8" w14:textId="77777777" w:rsidR="00DA101D" w:rsidRPr="00DA101D" w:rsidRDefault="00DA101D" w:rsidP="00DA101D">
      <w:p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评价</w:t>
      </w:r>
      <w:r w:rsidRPr="00DA101D">
        <w:rPr>
          <w:rFonts w:ascii="Times New Roman" w:eastAsia="宋体" w:hAnsi="Times New Roman" w:cs="Times New Roman"/>
          <w:sz w:val="21"/>
          <w:szCs w:val="21"/>
          <w14:ligatures w14:val="none"/>
        </w:rPr>
        <w:t>XRD</w:t>
      </w:r>
      <w:r w:rsidRPr="00DA101D">
        <w:rPr>
          <w:rFonts w:ascii="Times New Roman" w:eastAsia="宋体" w:hAnsi="Times New Roman" w:cs="Times New Roman"/>
          <w:sz w:val="21"/>
          <w:szCs w:val="21"/>
          <w14:ligatures w14:val="none"/>
        </w:rPr>
        <w:t>图谱的质量时，需要</w:t>
      </w:r>
      <w:r w:rsidRPr="00DA101D">
        <w:rPr>
          <w:rFonts w:ascii="Times New Roman" w:eastAsia="宋体" w:hAnsi="Times New Roman" w:cs="Times New Roman"/>
          <w:color w:val="FF0000"/>
          <w:sz w:val="21"/>
          <w:szCs w:val="21"/>
          <w14:ligatures w14:val="none"/>
        </w:rPr>
        <w:t>兼顾信噪比、分辨率、峰位准确性和背景水平等多个因素，确保数据的清晰度和准确性。此外，合理的峰拟合和重复性</w:t>
      </w:r>
      <w:r w:rsidRPr="00DA101D">
        <w:rPr>
          <w:rFonts w:ascii="Times New Roman" w:eastAsia="宋体" w:hAnsi="Times New Roman" w:cs="Times New Roman"/>
          <w:sz w:val="21"/>
          <w:szCs w:val="21"/>
          <w14:ligatures w14:val="none"/>
        </w:rPr>
        <w:t>验证也能够进一步提高</w:t>
      </w:r>
      <w:r w:rsidRPr="00DA101D">
        <w:rPr>
          <w:rFonts w:ascii="Times New Roman" w:eastAsia="宋体" w:hAnsi="Times New Roman" w:cs="Times New Roman"/>
          <w:sz w:val="21"/>
          <w:szCs w:val="21"/>
          <w14:ligatures w14:val="none"/>
        </w:rPr>
        <w:t>XRD</w:t>
      </w:r>
      <w:r w:rsidRPr="00DA101D">
        <w:rPr>
          <w:rFonts w:ascii="Times New Roman" w:eastAsia="宋体" w:hAnsi="Times New Roman" w:cs="Times New Roman"/>
          <w:sz w:val="21"/>
          <w:szCs w:val="21"/>
          <w14:ligatures w14:val="none"/>
        </w:rPr>
        <w:t>图谱分析的可靠性。这些质量评价标准不仅有助于获得高质量的衍射数据，也为进一步的晶体结构、相组成和微观应力分析提供可靠基础。</w:t>
      </w:r>
    </w:p>
    <w:p w14:paraId="19E2EA8D" w14:textId="77777777" w:rsidR="00DA101D" w:rsidRPr="00DA101D" w:rsidRDefault="00DA101D" w:rsidP="00DA101D">
      <w:pPr>
        <w:widowControl/>
        <w:spacing w:after="0" w:line="240" w:lineRule="auto"/>
        <w:rPr>
          <w:rFonts w:ascii="Times New Roman" w:eastAsia="宋体" w:hAnsi="Times New Roman" w:cs="Times New Roman"/>
          <w:sz w:val="21"/>
          <w:szCs w:val="21"/>
          <w14:ligatures w14:val="none"/>
        </w:rPr>
      </w:pPr>
    </w:p>
    <w:p w14:paraId="314CD6D9" w14:textId="77777777" w:rsidR="00DA101D" w:rsidRPr="00DA101D" w:rsidRDefault="00DA101D" w:rsidP="00DA101D">
      <w:pPr>
        <w:spacing w:after="0" w:line="240" w:lineRule="auto"/>
        <w:jc w:val="both"/>
        <w:rPr>
          <w:rFonts w:ascii="Times New Roman" w:eastAsia="宋体" w:hAnsi="Times New Roman" w:cs="Times New Roman"/>
          <w:sz w:val="21"/>
          <w:szCs w:val="21"/>
          <w14:ligatures w14:val="none"/>
        </w:rPr>
      </w:pPr>
    </w:p>
    <w:p w14:paraId="6BDB2270" w14:textId="77777777" w:rsidR="00DA101D" w:rsidRPr="00DA101D" w:rsidRDefault="00DA101D" w:rsidP="00DA101D">
      <w:pPr>
        <w:spacing w:after="0" w:line="240" w:lineRule="auto"/>
        <w:jc w:val="center"/>
        <w:rPr>
          <w:rFonts w:ascii="Times New Roman" w:eastAsia="宋体" w:hAnsi="Times New Roman" w:cs="Times New Roman"/>
          <w:color w:val="FF0000"/>
          <w:sz w:val="21"/>
          <w:szCs w:val="21"/>
          <w14:ligatures w14:val="none"/>
        </w:rPr>
      </w:pPr>
      <w:r w:rsidRPr="00DA101D">
        <w:rPr>
          <w:rFonts w:ascii="Times New Roman" w:eastAsia="宋体" w:hAnsi="Times New Roman" w:cs="Times New Roman"/>
          <w:color w:val="FF0000"/>
          <w:sz w:val="21"/>
          <w:szCs w:val="21"/>
          <w14:ligatures w14:val="none"/>
        </w:rPr>
        <w:t>XRD</w:t>
      </w:r>
      <w:r w:rsidRPr="00DA101D">
        <w:rPr>
          <w:rFonts w:ascii="Times New Roman" w:eastAsia="宋体" w:hAnsi="Times New Roman" w:cs="Times New Roman"/>
          <w:color w:val="FF0000"/>
          <w:sz w:val="21"/>
          <w:szCs w:val="21"/>
          <w14:ligatures w14:val="none"/>
        </w:rPr>
        <w:t>曲线数据质量评价体系</w:t>
      </w:r>
    </w:p>
    <w:p w14:paraId="50C51A33" w14:textId="77777777" w:rsidR="00DA101D" w:rsidRPr="00DA101D" w:rsidRDefault="00DA101D" w:rsidP="00DA101D">
      <w:pPr>
        <w:spacing w:after="0" w:line="240" w:lineRule="auto"/>
        <w:jc w:val="both"/>
        <w:rPr>
          <w:rFonts w:ascii="Times New Roman" w:eastAsia="宋体" w:hAnsi="Times New Roman" w:cs="Times New Roman"/>
          <w:sz w:val="21"/>
          <w:szCs w:val="21"/>
          <w14:ligatures w14:val="none"/>
        </w:rPr>
      </w:pPr>
    </w:p>
    <w:p w14:paraId="348AE594" w14:textId="77777777" w:rsidR="00DA101D" w:rsidRPr="00DA101D" w:rsidRDefault="00DA101D" w:rsidP="00DA101D">
      <w:p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关键评价标准：</w:t>
      </w:r>
    </w:p>
    <w:p w14:paraId="4F962A71" w14:textId="77777777" w:rsidR="00DA101D" w:rsidRPr="00DA101D" w:rsidRDefault="00DA101D" w:rsidP="00DA101D">
      <w:pPr>
        <w:numPr>
          <w:ilvl w:val="0"/>
          <w:numId w:val="1"/>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信号质量评分标准：</w:t>
      </w:r>
    </w:p>
    <w:p w14:paraId="4EE71C6C" w14:textId="77777777" w:rsidR="00DA101D" w:rsidRPr="00DA101D" w:rsidRDefault="00DA101D" w:rsidP="00DA101D">
      <w:pPr>
        <w:numPr>
          <w:ilvl w:val="0"/>
          <w:numId w:val="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SNR &gt; 30: </w:t>
      </w:r>
      <w:r w:rsidRPr="00DA101D">
        <w:rPr>
          <w:rFonts w:ascii="Times New Roman" w:eastAsia="宋体" w:hAnsi="Times New Roman" w:cs="Times New Roman"/>
          <w:sz w:val="21"/>
          <w:szCs w:val="21"/>
          <w14:ligatures w14:val="none"/>
        </w:rPr>
        <w:t>优秀</w:t>
      </w:r>
    </w:p>
    <w:p w14:paraId="133A403E" w14:textId="77777777" w:rsidR="00DA101D" w:rsidRPr="00DA101D" w:rsidRDefault="00DA101D" w:rsidP="00DA101D">
      <w:pPr>
        <w:numPr>
          <w:ilvl w:val="0"/>
          <w:numId w:val="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20-30: </w:t>
      </w:r>
      <w:r w:rsidRPr="00DA101D">
        <w:rPr>
          <w:rFonts w:ascii="Times New Roman" w:eastAsia="宋体" w:hAnsi="Times New Roman" w:cs="Times New Roman"/>
          <w:sz w:val="21"/>
          <w:szCs w:val="21"/>
          <w14:ligatures w14:val="none"/>
        </w:rPr>
        <w:t>良好</w:t>
      </w:r>
    </w:p>
    <w:p w14:paraId="3CBF384E" w14:textId="77777777" w:rsidR="00DA101D" w:rsidRPr="00DA101D" w:rsidRDefault="00DA101D" w:rsidP="00DA101D">
      <w:pPr>
        <w:numPr>
          <w:ilvl w:val="0"/>
          <w:numId w:val="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10-20: </w:t>
      </w:r>
      <w:r w:rsidRPr="00DA101D">
        <w:rPr>
          <w:rFonts w:ascii="Times New Roman" w:eastAsia="宋体" w:hAnsi="Times New Roman" w:cs="Times New Roman"/>
          <w:sz w:val="21"/>
          <w:szCs w:val="21"/>
          <w14:ligatures w14:val="none"/>
        </w:rPr>
        <w:t>合格</w:t>
      </w:r>
    </w:p>
    <w:p w14:paraId="0EDFE181" w14:textId="77777777" w:rsidR="00DA101D" w:rsidRPr="00DA101D" w:rsidRDefault="00DA101D" w:rsidP="00DA101D">
      <w:pPr>
        <w:numPr>
          <w:ilvl w:val="0"/>
          <w:numId w:val="2"/>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&lt; 10: </w:t>
      </w:r>
      <w:r w:rsidRPr="00DA101D">
        <w:rPr>
          <w:rFonts w:ascii="Times New Roman" w:eastAsia="宋体" w:hAnsi="Times New Roman" w:cs="Times New Roman"/>
          <w:sz w:val="21"/>
          <w:szCs w:val="21"/>
          <w14:ligatures w14:val="none"/>
        </w:rPr>
        <w:t>需要重新测试</w:t>
      </w:r>
    </w:p>
    <w:p w14:paraId="3DDACB2F" w14:textId="77777777" w:rsidR="00DA101D" w:rsidRPr="00DA101D" w:rsidRDefault="00DA101D" w:rsidP="00DA101D">
      <w:pPr>
        <w:numPr>
          <w:ilvl w:val="0"/>
          <w:numId w:val="3"/>
        </w:numPr>
        <w:spacing w:after="0" w:line="240" w:lineRule="auto"/>
        <w:jc w:val="both"/>
        <w:rPr>
          <w:rFonts w:ascii="Times New Roman" w:eastAsia="宋体" w:hAnsi="Times New Roman" w:cs="Times New Roman"/>
          <w:sz w:val="21"/>
          <w:szCs w:val="21"/>
          <w14:ligatures w14:val="none"/>
        </w:rPr>
      </w:pPr>
      <w:proofErr w:type="gramStart"/>
      <w:r w:rsidRPr="00DA101D">
        <w:rPr>
          <w:rFonts w:ascii="Times New Roman" w:eastAsia="宋体" w:hAnsi="Times New Roman" w:cs="Times New Roman"/>
          <w:sz w:val="21"/>
          <w:szCs w:val="21"/>
          <w14:ligatures w14:val="none"/>
        </w:rPr>
        <w:t>峰特征</w:t>
      </w:r>
      <w:proofErr w:type="gramEnd"/>
      <w:r w:rsidRPr="00DA101D">
        <w:rPr>
          <w:rFonts w:ascii="Times New Roman" w:eastAsia="宋体" w:hAnsi="Times New Roman" w:cs="Times New Roman"/>
          <w:sz w:val="21"/>
          <w:szCs w:val="21"/>
          <w14:ligatures w14:val="none"/>
        </w:rPr>
        <w:t>评分标准：</w:t>
      </w:r>
    </w:p>
    <w:p w14:paraId="0DB1A231" w14:textId="77777777" w:rsidR="00DA101D" w:rsidRPr="00DA101D" w:rsidRDefault="00DA101D" w:rsidP="00DA101D">
      <w:pPr>
        <w:numPr>
          <w:ilvl w:val="0"/>
          <w:numId w:val="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峰位偏差</w:t>
      </w:r>
      <w:r w:rsidRPr="00DA101D">
        <w:rPr>
          <w:rFonts w:ascii="Times New Roman" w:eastAsia="宋体" w:hAnsi="Times New Roman" w:cs="Times New Roman"/>
          <w:sz w:val="21"/>
          <w:szCs w:val="21"/>
          <w14:ligatures w14:val="none"/>
        </w:rPr>
        <w:t xml:space="preserve"> &lt; 0.02°: </w:t>
      </w:r>
      <w:r w:rsidRPr="00DA101D">
        <w:rPr>
          <w:rFonts w:ascii="Times New Roman" w:eastAsia="宋体" w:hAnsi="Times New Roman" w:cs="Times New Roman"/>
          <w:sz w:val="21"/>
          <w:szCs w:val="21"/>
          <w14:ligatures w14:val="none"/>
        </w:rPr>
        <w:t>优秀</w:t>
      </w:r>
    </w:p>
    <w:p w14:paraId="72A7FCA7" w14:textId="77777777" w:rsidR="00DA101D" w:rsidRPr="00DA101D" w:rsidRDefault="00DA101D" w:rsidP="00DA101D">
      <w:pPr>
        <w:numPr>
          <w:ilvl w:val="0"/>
          <w:numId w:val="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0.02°-0.05°: </w:t>
      </w:r>
      <w:r w:rsidRPr="00DA101D">
        <w:rPr>
          <w:rFonts w:ascii="Times New Roman" w:eastAsia="宋体" w:hAnsi="Times New Roman" w:cs="Times New Roman"/>
          <w:sz w:val="21"/>
          <w:szCs w:val="21"/>
          <w14:ligatures w14:val="none"/>
        </w:rPr>
        <w:t>良好</w:t>
      </w:r>
    </w:p>
    <w:p w14:paraId="31947E1E" w14:textId="77777777" w:rsidR="00DA101D" w:rsidRPr="00DA101D" w:rsidRDefault="00DA101D" w:rsidP="00DA101D">
      <w:pPr>
        <w:numPr>
          <w:ilvl w:val="0"/>
          <w:numId w:val="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0.05°-0.1°: </w:t>
      </w:r>
      <w:r w:rsidRPr="00DA101D">
        <w:rPr>
          <w:rFonts w:ascii="Times New Roman" w:eastAsia="宋体" w:hAnsi="Times New Roman" w:cs="Times New Roman"/>
          <w:sz w:val="21"/>
          <w:szCs w:val="21"/>
          <w14:ligatures w14:val="none"/>
        </w:rPr>
        <w:t>合格</w:t>
      </w:r>
    </w:p>
    <w:p w14:paraId="28B70AA9" w14:textId="77777777" w:rsidR="00DA101D" w:rsidRPr="00DA101D" w:rsidRDefault="00DA101D" w:rsidP="00DA101D">
      <w:pPr>
        <w:numPr>
          <w:ilvl w:val="0"/>
          <w:numId w:val="4"/>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0.1°: </w:t>
      </w:r>
      <w:r w:rsidRPr="00DA101D">
        <w:rPr>
          <w:rFonts w:ascii="Times New Roman" w:eastAsia="宋体" w:hAnsi="Times New Roman" w:cs="Times New Roman"/>
          <w:sz w:val="21"/>
          <w:szCs w:val="21"/>
          <w14:ligatures w14:val="none"/>
        </w:rPr>
        <w:t>需要校准</w:t>
      </w:r>
    </w:p>
    <w:p w14:paraId="1120ACFF" w14:textId="77777777" w:rsidR="00DA101D" w:rsidRPr="00DA101D" w:rsidRDefault="00DA101D" w:rsidP="00DA101D">
      <w:pPr>
        <w:numPr>
          <w:ilvl w:val="0"/>
          <w:numId w:val="5"/>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FWHM</w:t>
      </w:r>
      <w:r w:rsidRPr="00DA101D">
        <w:rPr>
          <w:rFonts w:ascii="Times New Roman" w:eastAsia="宋体" w:hAnsi="Times New Roman" w:cs="Times New Roman"/>
          <w:sz w:val="21"/>
          <w:szCs w:val="21"/>
          <w14:ligatures w14:val="none"/>
        </w:rPr>
        <w:t>评价标准：</w:t>
      </w:r>
    </w:p>
    <w:p w14:paraId="2D995D92" w14:textId="77777777" w:rsidR="00DA101D" w:rsidRPr="00DA101D" w:rsidRDefault="00DA101D" w:rsidP="00DA101D">
      <w:pPr>
        <w:numPr>
          <w:ilvl w:val="0"/>
          <w:numId w:val="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&lt; 0.1°: </w:t>
      </w:r>
      <w:r w:rsidRPr="00DA101D">
        <w:rPr>
          <w:rFonts w:ascii="Times New Roman" w:eastAsia="宋体" w:hAnsi="Times New Roman" w:cs="Times New Roman"/>
          <w:sz w:val="21"/>
          <w:szCs w:val="21"/>
          <w14:ligatures w14:val="none"/>
        </w:rPr>
        <w:t>优秀</w:t>
      </w:r>
      <w:r w:rsidRPr="00DA101D">
        <w:rPr>
          <w:rFonts w:ascii="Times New Roman" w:eastAsia="宋体" w:hAnsi="Times New Roman" w:cs="Times New Roman"/>
          <w:sz w:val="21"/>
          <w:szCs w:val="21"/>
          <w14:ligatures w14:val="none"/>
        </w:rPr>
        <w:t>(</w:t>
      </w:r>
      <w:r w:rsidRPr="00DA101D">
        <w:rPr>
          <w:rFonts w:ascii="Times New Roman" w:eastAsia="宋体" w:hAnsi="Times New Roman" w:cs="Times New Roman"/>
          <w:sz w:val="21"/>
          <w:szCs w:val="21"/>
          <w14:ligatures w14:val="none"/>
        </w:rPr>
        <w:t>高分辨率</w:t>
      </w:r>
      <w:r w:rsidRPr="00DA101D">
        <w:rPr>
          <w:rFonts w:ascii="Times New Roman" w:eastAsia="宋体" w:hAnsi="Times New Roman" w:cs="Times New Roman"/>
          <w:sz w:val="21"/>
          <w:szCs w:val="21"/>
          <w14:ligatures w14:val="none"/>
        </w:rPr>
        <w:t>)</w:t>
      </w:r>
    </w:p>
    <w:p w14:paraId="6FA786F3" w14:textId="77777777" w:rsidR="00DA101D" w:rsidRPr="00DA101D" w:rsidRDefault="00DA101D" w:rsidP="00DA101D">
      <w:pPr>
        <w:numPr>
          <w:ilvl w:val="0"/>
          <w:numId w:val="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0.1°-0.2°: </w:t>
      </w:r>
      <w:r w:rsidRPr="00DA101D">
        <w:rPr>
          <w:rFonts w:ascii="Times New Roman" w:eastAsia="宋体" w:hAnsi="Times New Roman" w:cs="Times New Roman"/>
          <w:sz w:val="21"/>
          <w:szCs w:val="21"/>
          <w14:ligatures w14:val="none"/>
        </w:rPr>
        <w:t>良好</w:t>
      </w:r>
    </w:p>
    <w:p w14:paraId="08F0FB1D" w14:textId="77777777" w:rsidR="00DA101D" w:rsidRPr="00DA101D" w:rsidRDefault="00DA101D" w:rsidP="00DA101D">
      <w:pPr>
        <w:numPr>
          <w:ilvl w:val="0"/>
          <w:numId w:val="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0.2°-0.3°: </w:t>
      </w:r>
      <w:r w:rsidRPr="00DA101D">
        <w:rPr>
          <w:rFonts w:ascii="Times New Roman" w:eastAsia="宋体" w:hAnsi="Times New Roman" w:cs="Times New Roman"/>
          <w:sz w:val="21"/>
          <w:szCs w:val="21"/>
          <w14:ligatures w14:val="none"/>
        </w:rPr>
        <w:t>合格</w:t>
      </w:r>
    </w:p>
    <w:p w14:paraId="1FDE2B21" w14:textId="77777777" w:rsidR="00DA101D" w:rsidRPr="00DA101D" w:rsidRDefault="00DA101D" w:rsidP="00DA101D">
      <w:pPr>
        <w:numPr>
          <w:ilvl w:val="0"/>
          <w:numId w:val="6"/>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0.3°: </w:t>
      </w:r>
      <w:r w:rsidRPr="00DA101D">
        <w:rPr>
          <w:rFonts w:ascii="Times New Roman" w:eastAsia="宋体" w:hAnsi="Times New Roman" w:cs="Times New Roman"/>
          <w:sz w:val="21"/>
          <w:szCs w:val="21"/>
          <w14:ligatures w14:val="none"/>
        </w:rPr>
        <w:t>分辨率较低</w:t>
      </w:r>
    </w:p>
    <w:p w14:paraId="29294F2E" w14:textId="77777777" w:rsidR="00DA101D" w:rsidRPr="00DA101D" w:rsidRDefault="00DA101D" w:rsidP="00DA101D">
      <w:pPr>
        <w:numPr>
          <w:ilvl w:val="0"/>
          <w:numId w:val="7"/>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峰形对称性标准：</w:t>
      </w:r>
    </w:p>
    <w:p w14:paraId="30CF6869" w14:textId="77777777" w:rsidR="00DA101D" w:rsidRPr="00DA101D" w:rsidRDefault="00DA101D" w:rsidP="00DA101D">
      <w:pPr>
        <w:numPr>
          <w:ilvl w:val="0"/>
          <w:numId w:val="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对称性</w:t>
      </w:r>
      <w:r w:rsidRPr="00DA101D">
        <w:rPr>
          <w:rFonts w:ascii="Times New Roman" w:eastAsia="宋体" w:hAnsi="Times New Roman" w:cs="Times New Roman"/>
          <w:sz w:val="21"/>
          <w:szCs w:val="21"/>
          <w14:ligatures w14:val="none"/>
        </w:rPr>
        <w:t xml:space="preserve"> &gt; 0.9: </w:t>
      </w:r>
      <w:r w:rsidRPr="00DA101D">
        <w:rPr>
          <w:rFonts w:ascii="Times New Roman" w:eastAsia="宋体" w:hAnsi="Times New Roman" w:cs="Times New Roman"/>
          <w:sz w:val="21"/>
          <w:szCs w:val="21"/>
          <w14:ligatures w14:val="none"/>
        </w:rPr>
        <w:t>优秀</w:t>
      </w:r>
    </w:p>
    <w:p w14:paraId="1FE54FAD" w14:textId="77777777" w:rsidR="00DA101D" w:rsidRPr="00DA101D" w:rsidRDefault="00DA101D" w:rsidP="00DA101D">
      <w:pPr>
        <w:numPr>
          <w:ilvl w:val="0"/>
          <w:numId w:val="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0.8-0.9: </w:t>
      </w:r>
      <w:r w:rsidRPr="00DA101D">
        <w:rPr>
          <w:rFonts w:ascii="Times New Roman" w:eastAsia="宋体" w:hAnsi="Times New Roman" w:cs="Times New Roman"/>
          <w:sz w:val="21"/>
          <w:szCs w:val="21"/>
          <w14:ligatures w14:val="none"/>
        </w:rPr>
        <w:t>良好</w:t>
      </w:r>
    </w:p>
    <w:p w14:paraId="3B2E56EC" w14:textId="77777777" w:rsidR="00DA101D" w:rsidRPr="00DA101D" w:rsidRDefault="00DA101D" w:rsidP="00DA101D">
      <w:pPr>
        <w:numPr>
          <w:ilvl w:val="0"/>
          <w:numId w:val="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0.7-0.8: </w:t>
      </w:r>
      <w:r w:rsidRPr="00DA101D">
        <w:rPr>
          <w:rFonts w:ascii="Times New Roman" w:eastAsia="宋体" w:hAnsi="Times New Roman" w:cs="Times New Roman"/>
          <w:sz w:val="21"/>
          <w:szCs w:val="21"/>
          <w14:ligatures w14:val="none"/>
        </w:rPr>
        <w:t>合格</w:t>
      </w:r>
    </w:p>
    <w:p w14:paraId="7BC9629D" w14:textId="77777777" w:rsidR="00DA101D" w:rsidRPr="00DA101D" w:rsidRDefault="00DA101D" w:rsidP="00DA101D">
      <w:pPr>
        <w:widowControl/>
        <w:numPr>
          <w:ilvl w:val="0"/>
          <w:numId w:val="8"/>
        </w:numPr>
        <w:spacing w:after="0" w:line="240" w:lineRule="auto"/>
        <w:jc w:val="both"/>
        <w:rPr>
          <w:rFonts w:ascii="Times New Roman" w:eastAsia="宋体" w:hAnsi="Times New Roman" w:cs="Times New Roman"/>
          <w:sz w:val="21"/>
          <w:szCs w:val="21"/>
          <w14:ligatures w14:val="none"/>
        </w:rPr>
      </w:pPr>
      <w:r w:rsidRPr="00DA101D">
        <w:rPr>
          <w:rFonts w:ascii="Times New Roman" w:eastAsia="宋体" w:hAnsi="Times New Roman" w:cs="Times New Roman"/>
          <w:sz w:val="21"/>
          <w:szCs w:val="21"/>
          <w14:ligatures w14:val="none"/>
        </w:rPr>
        <w:t xml:space="preserve">&lt; 0.7: </w:t>
      </w:r>
      <w:r w:rsidRPr="00DA101D">
        <w:rPr>
          <w:rFonts w:ascii="Times New Roman" w:eastAsia="宋体" w:hAnsi="Times New Roman" w:cs="Times New Roman"/>
          <w:sz w:val="21"/>
          <w:szCs w:val="21"/>
          <w14:ligatures w14:val="none"/>
        </w:rPr>
        <w:t>需要优化</w:t>
      </w:r>
    </w:p>
    <w:p w14:paraId="3C043EE5" w14:textId="77777777" w:rsidR="0094363E" w:rsidRDefault="0094363E">
      <w:pPr>
        <w:rPr>
          <w:rFonts w:hint="eastAsia"/>
        </w:rPr>
      </w:pPr>
    </w:p>
    <w:sectPr w:rsidR="0094363E" w:rsidSect="00F048E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95065"/>
    <w:multiLevelType w:val="multilevel"/>
    <w:tmpl w:val="E320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82325"/>
    <w:multiLevelType w:val="multilevel"/>
    <w:tmpl w:val="197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0F28"/>
    <w:multiLevelType w:val="multilevel"/>
    <w:tmpl w:val="496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2054C"/>
    <w:multiLevelType w:val="multilevel"/>
    <w:tmpl w:val="C22CA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F456A"/>
    <w:multiLevelType w:val="multilevel"/>
    <w:tmpl w:val="62B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570CE"/>
    <w:multiLevelType w:val="multilevel"/>
    <w:tmpl w:val="9DD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843F4"/>
    <w:multiLevelType w:val="multilevel"/>
    <w:tmpl w:val="35C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B7710"/>
    <w:multiLevelType w:val="multilevel"/>
    <w:tmpl w:val="EB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125FF"/>
    <w:multiLevelType w:val="multilevel"/>
    <w:tmpl w:val="DF5C5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1049C"/>
    <w:multiLevelType w:val="multilevel"/>
    <w:tmpl w:val="15E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E45A0"/>
    <w:multiLevelType w:val="multilevel"/>
    <w:tmpl w:val="8F8C7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A579D0"/>
    <w:multiLevelType w:val="multilevel"/>
    <w:tmpl w:val="C37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00CEA"/>
    <w:multiLevelType w:val="multilevel"/>
    <w:tmpl w:val="3BF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F162C"/>
    <w:multiLevelType w:val="multilevel"/>
    <w:tmpl w:val="7D9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90487"/>
    <w:multiLevelType w:val="multilevel"/>
    <w:tmpl w:val="99C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04030"/>
    <w:multiLevelType w:val="multilevel"/>
    <w:tmpl w:val="43EE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90C52"/>
    <w:multiLevelType w:val="multilevel"/>
    <w:tmpl w:val="8F8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C7B0E"/>
    <w:multiLevelType w:val="multilevel"/>
    <w:tmpl w:val="2C1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95695">
    <w:abstractNumId w:val="9"/>
  </w:num>
  <w:num w:numId="2" w16cid:durableId="106389642">
    <w:abstractNumId w:val="5"/>
  </w:num>
  <w:num w:numId="3" w16cid:durableId="249194308">
    <w:abstractNumId w:val="10"/>
  </w:num>
  <w:num w:numId="4" w16cid:durableId="481427869">
    <w:abstractNumId w:val="16"/>
  </w:num>
  <w:num w:numId="5" w16cid:durableId="1720474479">
    <w:abstractNumId w:val="8"/>
  </w:num>
  <w:num w:numId="6" w16cid:durableId="543903858">
    <w:abstractNumId w:val="14"/>
  </w:num>
  <w:num w:numId="7" w16cid:durableId="1625040433">
    <w:abstractNumId w:val="3"/>
  </w:num>
  <w:num w:numId="8" w16cid:durableId="1245384604">
    <w:abstractNumId w:val="12"/>
  </w:num>
  <w:num w:numId="9" w16cid:durableId="1827431066">
    <w:abstractNumId w:val="11"/>
  </w:num>
  <w:num w:numId="10" w16cid:durableId="603880283">
    <w:abstractNumId w:val="0"/>
  </w:num>
  <w:num w:numId="11" w16cid:durableId="1426416229">
    <w:abstractNumId w:val="6"/>
  </w:num>
  <w:num w:numId="12" w16cid:durableId="761026963">
    <w:abstractNumId w:val="15"/>
  </w:num>
  <w:num w:numId="13" w16cid:durableId="433019386">
    <w:abstractNumId w:val="4"/>
  </w:num>
  <w:num w:numId="14" w16cid:durableId="1568956205">
    <w:abstractNumId w:val="1"/>
  </w:num>
  <w:num w:numId="15" w16cid:durableId="1845245559">
    <w:abstractNumId w:val="2"/>
  </w:num>
  <w:num w:numId="16" w16cid:durableId="210921254">
    <w:abstractNumId w:val="7"/>
  </w:num>
  <w:num w:numId="17" w16cid:durableId="204870389">
    <w:abstractNumId w:val="17"/>
  </w:num>
  <w:num w:numId="18" w16cid:durableId="1996254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6"/>
    <w:rsid w:val="00021C38"/>
    <w:rsid w:val="000226B6"/>
    <w:rsid w:val="000248A1"/>
    <w:rsid w:val="00036249"/>
    <w:rsid w:val="00043115"/>
    <w:rsid w:val="00043445"/>
    <w:rsid w:val="00106C10"/>
    <w:rsid w:val="00107DE6"/>
    <w:rsid w:val="0011479A"/>
    <w:rsid w:val="001322D8"/>
    <w:rsid w:val="0015513A"/>
    <w:rsid w:val="00176B4F"/>
    <w:rsid w:val="00191253"/>
    <w:rsid w:val="001C645F"/>
    <w:rsid w:val="001E4634"/>
    <w:rsid w:val="00221701"/>
    <w:rsid w:val="00262CA2"/>
    <w:rsid w:val="002632F4"/>
    <w:rsid w:val="002747ED"/>
    <w:rsid w:val="00280099"/>
    <w:rsid w:val="00280E4A"/>
    <w:rsid w:val="002975B3"/>
    <w:rsid w:val="002B74FB"/>
    <w:rsid w:val="002D67D2"/>
    <w:rsid w:val="002F6991"/>
    <w:rsid w:val="002F7FD1"/>
    <w:rsid w:val="00366CBE"/>
    <w:rsid w:val="0037766B"/>
    <w:rsid w:val="003868C4"/>
    <w:rsid w:val="003966AC"/>
    <w:rsid w:val="00397F55"/>
    <w:rsid w:val="003D0F1F"/>
    <w:rsid w:val="003E1E64"/>
    <w:rsid w:val="003E25F6"/>
    <w:rsid w:val="003F25DE"/>
    <w:rsid w:val="003F7D6E"/>
    <w:rsid w:val="004801B1"/>
    <w:rsid w:val="004A753B"/>
    <w:rsid w:val="004C7CC1"/>
    <w:rsid w:val="004F6F77"/>
    <w:rsid w:val="00511142"/>
    <w:rsid w:val="005114A8"/>
    <w:rsid w:val="00514D48"/>
    <w:rsid w:val="005353F5"/>
    <w:rsid w:val="00535963"/>
    <w:rsid w:val="00573C40"/>
    <w:rsid w:val="00595BE0"/>
    <w:rsid w:val="005A4980"/>
    <w:rsid w:val="005B4BFE"/>
    <w:rsid w:val="006408BA"/>
    <w:rsid w:val="006535EA"/>
    <w:rsid w:val="0069250F"/>
    <w:rsid w:val="00694E56"/>
    <w:rsid w:val="006A55AB"/>
    <w:rsid w:val="006C7DB9"/>
    <w:rsid w:val="006D421E"/>
    <w:rsid w:val="006E7EF7"/>
    <w:rsid w:val="006F23BB"/>
    <w:rsid w:val="006F753A"/>
    <w:rsid w:val="00700077"/>
    <w:rsid w:val="007108A5"/>
    <w:rsid w:val="00710D4E"/>
    <w:rsid w:val="00715D88"/>
    <w:rsid w:val="00720822"/>
    <w:rsid w:val="00731BF3"/>
    <w:rsid w:val="007417D6"/>
    <w:rsid w:val="0077159F"/>
    <w:rsid w:val="0077443A"/>
    <w:rsid w:val="00791A20"/>
    <w:rsid w:val="007E04F1"/>
    <w:rsid w:val="0084754D"/>
    <w:rsid w:val="008572E2"/>
    <w:rsid w:val="00862E2F"/>
    <w:rsid w:val="0087123F"/>
    <w:rsid w:val="0087531A"/>
    <w:rsid w:val="00887100"/>
    <w:rsid w:val="008B0DAB"/>
    <w:rsid w:val="008D3CE7"/>
    <w:rsid w:val="00905CF6"/>
    <w:rsid w:val="009105AD"/>
    <w:rsid w:val="009144F1"/>
    <w:rsid w:val="00932FD9"/>
    <w:rsid w:val="0094363E"/>
    <w:rsid w:val="0095301D"/>
    <w:rsid w:val="00982E32"/>
    <w:rsid w:val="00991762"/>
    <w:rsid w:val="009B3B0A"/>
    <w:rsid w:val="009C4FCF"/>
    <w:rsid w:val="009D3B5F"/>
    <w:rsid w:val="009E093F"/>
    <w:rsid w:val="009E139C"/>
    <w:rsid w:val="009E6CFF"/>
    <w:rsid w:val="00A100F0"/>
    <w:rsid w:val="00A15D82"/>
    <w:rsid w:val="00AA28EA"/>
    <w:rsid w:val="00AE21D0"/>
    <w:rsid w:val="00AE4CBC"/>
    <w:rsid w:val="00AE77A6"/>
    <w:rsid w:val="00B10595"/>
    <w:rsid w:val="00B16F0C"/>
    <w:rsid w:val="00B27F7F"/>
    <w:rsid w:val="00B610DB"/>
    <w:rsid w:val="00B97EA8"/>
    <w:rsid w:val="00BA60D9"/>
    <w:rsid w:val="00BB4F27"/>
    <w:rsid w:val="00C46B11"/>
    <w:rsid w:val="00CA6F7C"/>
    <w:rsid w:val="00CB3375"/>
    <w:rsid w:val="00CC025E"/>
    <w:rsid w:val="00CE07C5"/>
    <w:rsid w:val="00D110B5"/>
    <w:rsid w:val="00D353D0"/>
    <w:rsid w:val="00D61985"/>
    <w:rsid w:val="00D74F8F"/>
    <w:rsid w:val="00D81A74"/>
    <w:rsid w:val="00DA101D"/>
    <w:rsid w:val="00DB2929"/>
    <w:rsid w:val="00DE359D"/>
    <w:rsid w:val="00DF36F9"/>
    <w:rsid w:val="00E0177E"/>
    <w:rsid w:val="00E03383"/>
    <w:rsid w:val="00E11564"/>
    <w:rsid w:val="00E315C3"/>
    <w:rsid w:val="00E34921"/>
    <w:rsid w:val="00E36D0C"/>
    <w:rsid w:val="00E431FD"/>
    <w:rsid w:val="00E94A4E"/>
    <w:rsid w:val="00EC1D52"/>
    <w:rsid w:val="00EC7186"/>
    <w:rsid w:val="00ED0076"/>
    <w:rsid w:val="00ED7169"/>
    <w:rsid w:val="00EE0095"/>
    <w:rsid w:val="00EE2893"/>
    <w:rsid w:val="00EF6771"/>
    <w:rsid w:val="00F048E7"/>
    <w:rsid w:val="00F261F7"/>
    <w:rsid w:val="00F643AB"/>
    <w:rsid w:val="00F73D53"/>
    <w:rsid w:val="00F756A3"/>
    <w:rsid w:val="00FA6337"/>
    <w:rsid w:val="00FD3A83"/>
    <w:rsid w:val="00FF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7C01"/>
  <w15:chartTrackingRefBased/>
  <w15:docId w15:val="{F5AA4BD5-F3A0-441E-A5E4-553D3EAD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D007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007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00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007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007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D007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007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007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D007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007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007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00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0076"/>
    <w:rPr>
      <w:rFonts w:cstheme="majorBidi"/>
      <w:color w:val="0F4761" w:themeColor="accent1" w:themeShade="BF"/>
      <w:sz w:val="28"/>
      <w:szCs w:val="28"/>
    </w:rPr>
  </w:style>
  <w:style w:type="character" w:customStyle="1" w:styleId="50">
    <w:name w:val="标题 5 字符"/>
    <w:basedOn w:val="a0"/>
    <w:link w:val="5"/>
    <w:uiPriority w:val="9"/>
    <w:semiHidden/>
    <w:rsid w:val="00ED0076"/>
    <w:rPr>
      <w:rFonts w:cstheme="majorBidi"/>
      <w:color w:val="0F4761" w:themeColor="accent1" w:themeShade="BF"/>
      <w:sz w:val="24"/>
    </w:rPr>
  </w:style>
  <w:style w:type="character" w:customStyle="1" w:styleId="60">
    <w:name w:val="标题 6 字符"/>
    <w:basedOn w:val="a0"/>
    <w:link w:val="6"/>
    <w:uiPriority w:val="9"/>
    <w:semiHidden/>
    <w:rsid w:val="00ED0076"/>
    <w:rPr>
      <w:rFonts w:cstheme="majorBidi"/>
      <w:b/>
      <w:bCs/>
      <w:color w:val="0F4761" w:themeColor="accent1" w:themeShade="BF"/>
    </w:rPr>
  </w:style>
  <w:style w:type="character" w:customStyle="1" w:styleId="70">
    <w:name w:val="标题 7 字符"/>
    <w:basedOn w:val="a0"/>
    <w:link w:val="7"/>
    <w:uiPriority w:val="9"/>
    <w:semiHidden/>
    <w:rsid w:val="00ED0076"/>
    <w:rPr>
      <w:rFonts w:cstheme="majorBidi"/>
      <w:b/>
      <w:bCs/>
      <w:color w:val="595959" w:themeColor="text1" w:themeTint="A6"/>
    </w:rPr>
  </w:style>
  <w:style w:type="character" w:customStyle="1" w:styleId="80">
    <w:name w:val="标题 8 字符"/>
    <w:basedOn w:val="a0"/>
    <w:link w:val="8"/>
    <w:uiPriority w:val="9"/>
    <w:semiHidden/>
    <w:rsid w:val="00ED0076"/>
    <w:rPr>
      <w:rFonts w:cstheme="majorBidi"/>
      <w:color w:val="595959" w:themeColor="text1" w:themeTint="A6"/>
    </w:rPr>
  </w:style>
  <w:style w:type="character" w:customStyle="1" w:styleId="90">
    <w:name w:val="标题 9 字符"/>
    <w:basedOn w:val="a0"/>
    <w:link w:val="9"/>
    <w:uiPriority w:val="9"/>
    <w:semiHidden/>
    <w:rsid w:val="00ED0076"/>
    <w:rPr>
      <w:rFonts w:eastAsiaTheme="majorEastAsia" w:cstheme="majorBidi"/>
      <w:color w:val="595959" w:themeColor="text1" w:themeTint="A6"/>
    </w:rPr>
  </w:style>
  <w:style w:type="paragraph" w:styleId="a3">
    <w:name w:val="Title"/>
    <w:basedOn w:val="a"/>
    <w:next w:val="a"/>
    <w:link w:val="a4"/>
    <w:uiPriority w:val="10"/>
    <w:qFormat/>
    <w:rsid w:val="00ED00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00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007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D007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0076"/>
    <w:pPr>
      <w:spacing w:before="160"/>
      <w:jc w:val="center"/>
    </w:pPr>
    <w:rPr>
      <w:i/>
      <w:iCs/>
      <w:color w:val="404040" w:themeColor="text1" w:themeTint="BF"/>
    </w:rPr>
  </w:style>
  <w:style w:type="character" w:customStyle="1" w:styleId="a8">
    <w:name w:val="引用 字符"/>
    <w:basedOn w:val="a0"/>
    <w:link w:val="a7"/>
    <w:uiPriority w:val="29"/>
    <w:rsid w:val="00ED0076"/>
    <w:rPr>
      <w:i/>
      <w:iCs/>
      <w:color w:val="404040" w:themeColor="text1" w:themeTint="BF"/>
    </w:rPr>
  </w:style>
  <w:style w:type="paragraph" w:styleId="a9">
    <w:name w:val="List Paragraph"/>
    <w:basedOn w:val="a"/>
    <w:uiPriority w:val="34"/>
    <w:qFormat/>
    <w:rsid w:val="00ED0076"/>
    <w:pPr>
      <w:ind w:left="720"/>
      <w:contextualSpacing/>
    </w:pPr>
  </w:style>
  <w:style w:type="character" w:styleId="aa">
    <w:name w:val="Intense Emphasis"/>
    <w:basedOn w:val="a0"/>
    <w:uiPriority w:val="21"/>
    <w:qFormat/>
    <w:rsid w:val="00ED0076"/>
    <w:rPr>
      <w:i/>
      <w:iCs/>
      <w:color w:val="0F4761" w:themeColor="accent1" w:themeShade="BF"/>
    </w:rPr>
  </w:style>
  <w:style w:type="paragraph" w:styleId="ab">
    <w:name w:val="Intense Quote"/>
    <w:basedOn w:val="a"/>
    <w:next w:val="a"/>
    <w:link w:val="ac"/>
    <w:uiPriority w:val="30"/>
    <w:qFormat/>
    <w:rsid w:val="00ED0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0076"/>
    <w:rPr>
      <w:i/>
      <w:iCs/>
      <w:color w:val="0F4761" w:themeColor="accent1" w:themeShade="BF"/>
    </w:rPr>
  </w:style>
  <w:style w:type="character" w:styleId="ad">
    <w:name w:val="Intense Reference"/>
    <w:basedOn w:val="a0"/>
    <w:uiPriority w:val="32"/>
    <w:qFormat/>
    <w:rsid w:val="00ED0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youzic youzic</dc:creator>
  <cp:keywords/>
  <dc:description/>
  <cp:lastModifiedBy>youzic youzic</cp:lastModifiedBy>
  <cp:revision>7</cp:revision>
  <dcterms:created xsi:type="dcterms:W3CDTF">2025-03-30T14:12:00Z</dcterms:created>
  <dcterms:modified xsi:type="dcterms:W3CDTF">2025-03-31T13:59:00Z</dcterms:modified>
</cp:coreProperties>
</file>