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0D967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</w:t>
      </w:r>
    </w:p>
    <w:p w14:paraId="31019F5C">
      <w:pPr>
        <w:pStyle w:val="5"/>
        <w:bidi w:val="0"/>
        <w:rPr>
          <w:rFonts w:hint="eastAsia"/>
          <w:lang w:val="en-US" w:eastAsia="zh-CN"/>
        </w:rPr>
      </w:pPr>
      <w:r>
        <w:t>电感式金属检测</w:t>
      </w:r>
      <w:r>
        <w:rPr>
          <w:rFonts w:hint="eastAsia"/>
          <w:lang w:val="en-US" w:eastAsia="zh-CN"/>
        </w:rPr>
        <w:t>介绍</w:t>
      </w:r>
    </w:p>
    <w:p w14:paraId="5D16B8C8">
      <w:pPr>
        <w:bidi w:val="0"/>
        <w:ind w:firstLine="420" w:firstLineChars="0"/>
      </w:pPr>
      <w:r>
        <w:t>电感式金属检测（Inductive Metal Detection）是一种基于电磁感应原理的非接触式检测方法。系统通过在线圈中建立交变磁场，当金属物体进入该磁场区域时，会在其内部产生涡流（Eddy Current）。涡流会反过来改变线圈的等效电感量 L振荡频率f，这种变化被检测电路（如 LDC1314 电感-数字转换芯片）捕获并转化为可量化的数字信号。由此，系统能够判断金属物体的存在、类型或距离变化。</w:t>
      </w:r>
    </w:p>
    <w:p w14:paraId="355EC4F0">
      <w:pPr>
        <w:bidi w:val="0"/>
        <w:ind w:firstLine="420" w:firstLineChars="0"/>
      </w:pPr>
      <w:r>
        <w:t>与光学或接触式检测不同，电感式传感器不受光照、灰尘、油污等外部环境影响，因此在复杂的工业现场具有较高的可靠性与稳定性。</w:t>
      </w:r>
    </w:p>
    <w:p w14:paraId="1BF9BC2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</w:t>
      </w:r>
    </w:p>
    <w:p w14:paraId="2013EA4F">
      <w:pPr>
        <w:bidi w:val="0"/>
      </w:pPr>
      <w:r>
        <w:rPr>
          <w:b/>
          <w:bCs/>
          <w:sz w:val="22"/>
          <w:szCs w:val="28"/>
        </w:rPr>
        <w:t>零部件存在检测（Presence Detection）</w:t>
      </w:r>
      <w:r>
        <w:rPr>
          <w:b/>
          <w:bCs/>
        </w:rPr>
        <w:br w:type="textWrapping"/>
      </w:r>
      <w:r>
        <w:rPr>
          <w:rFonts w:hint="eastAsia"/>
          <w:b/>
          <w:bCs/>
          <w:lang w:val="en-US" w:eastAsia="zh-CN"/>
        </w:rPr>
        <w:tab/>
      </w:r>
      <w:r>
        <w:t>在自动装配线上，电感式传感器用于判断金属零件是否被正确安装或放置。例如，检测齿轮、螺栓、金属垫圈是否存在，以防止装配遗漏。</w:t>
      </w:r>
    </w:p>
    <w:p w14:paraId="0B563DA8">
      <w:pPr>
        <w:bidi w:val="0"/>
      </w:pPr>
      <w:r>
        <w:rPr>
          <w:b/>
          <w:bCs/>
        </w:rPr>
        <w:t>原理对比：</w:t>
      </w:r>
      <w:r>
        <w:t>与盲盒检测类似，系统识别“是否存在特定金属物体”，只是规模不同。</w:t>
      </w:r>
    </w:p>
    <w:p w14:paraId="1D7F15BA">
      <w:pPr>
        <w:bidi w:val="0"/>
      </w:pPr>
    </w:p>
    <w:p w14:paraId="10F60083">
      <w:pPr>
        <w:bidi w:val="0"/>
      </w:pPr>
      <w:r>
        <w:rPr>
          <w:b/>
          <w:bCs/>
          <w:sz w:val="22"/>
          <w:szCs w:val="28"/>
        </w:rPr>
        <w:t>金属分类与材质识别（Material Differentiation）</w:t>
      </w:r>
      <w:r>
        <w:rPr>
          <w:b/>
          <w:bCs/>
          <w:sz w:val="22"/>
          <w:szCs w:val="28"/>
        </w:rPr>
        <w:br w:type="textWrapping"/>
      </w:r>
      <w:r>
        <w:rPr>
          <w:rFonts w:hint="eastAsia"/>
          <w:b/>
          <w:bCs/>
          <w:sz w:val="22"/>
          <w:szCs w:val="28"/>
          <w:lang w:val="en-US" w:eastAsia="zh-CN"/>
        </w:rPr>
        <w:tab/>
      </w:r>
      <w:r>
        <w:t>某些高级系统能够根据不同金属（如铜、铝、铁、不锈钢）对磁场的响应差异，区分金属类别。这在再生资源分拣、自动质检中广泛使用。</w:t>
      </w:r>
    </w:p>
    <w:p w14:paraId="5BC4A3CD">
      <w:pPr>
        <w:bidi w:val="0"/>
      </w:pPr>
      <w:r>
        <w:rPr>
          <w:b/>
          <w:bCs/>
        </w:rPr>
        <w:t>原理对比：</w:t>
      </w:r>
      <w:r>
        <w:t>盲盒检测同样是利用“不同金属导致电感变化不同”来判断类别，只是目标换成了不同硬币或盲盒内容。</w:t>
      </w:r>
    </w:p>
    <w:p w14:paraId="396452D0">
      <w:pPr>
        <w:bidi w:val="0"/>
      </w:pPr>
    </w:p>
    <w:p w14:paraId="467574E5">
      <w:pPr>
        <w:bidi w:val="0"/>
      </w:pPr>
      <w:r>
        <w:rPr>
          <w:b/>
          <w:bCs/>
          <w:sz w:val="22"/>
          <w:szCs w:val="28"/>
        </w:rPr>
        <w:t>机械部件位置与行程控制（Position / Stroke Detection）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在数控机床、冲压、机器人等设备中，电感传感器可监测金属滑块或刀具的位置，用于行程极限检测或速度反馈控制。</w:t>
      </w:r>
      <w:bookmarkStart w:id="0" w:name="_GoBack"/>
      <w:bookmarkEnd w:id="0"/>
    </w:p>
    <w:p w14:paraId="24936A8E">
      <w:pPr>
        <w:bidi w:val="0"/>
      </w:pPr>
      <w:r>
        <w:rPr>
          <w:b/>
          <w:bCs/>
        </w:rPr>
        <w:t>原理对比：</w:t>
      </w:r>
      <w:r>
        <w:t>盲盒检测中若加入位置或高度补偿模块，也是在做类似的“目标位置感应”。</w:t>
      </w:r>
    </w:p>
    <w:p w14:paraId="7CEE2AE3">
      <w:pPr>
        <w:bidi w:val="0"/>
      </w:pPr>
    </w:p>
    <w:p w14:paraId="572C48A7">
      <w:pPr>
        <w:bidi w:val="0"/>
      </w:pPr>
      <w:r>
        <w:rPr>
          <w:b/>
          <w:bCs/>
          <w:sz w:val="22"/>
          <w:szCs w:val="28"/>
        </w:rPr>
        <w:t>生产质量与缺陷检测（Quality Control）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在食品、医药或包装行业中，感应线圈可检测产品中是否混入金属杂质，实现自动剔除。</w:t>
      </w:r>
    </w:p>
    <w:p w14:paraId="724D5C55">
      <w:pPr>
        <w:bidi w:val="0"/>
      </w:pPr>
      <w:r>
        <w:rPr>
          <w:b/>
          <w:bCs/>
        </w:rPr>
        <w:t>原理对比：</w:t>
      </w:r>
      <w:r>
        <w:t>盲盒检测同样可看作“非破坏式检测”，即无需打开盒子即可识别内部金属特征。</w:t>
      </w:r>
    </w:p>
    <w:p w14:paraId="1B76941A">
      <w:pPr>
        <w:bidi w:val="0"/>
      </w:pPr>
    </w:p>
    <w:p w14:paraId="4068BD76">
      <w:pPr>
        <w:rPr>
          <w:rFonts w:hint="eastAsia"/>
          <w:lang w:val="en-US" w:eastAsia="zh-CN"/>
        </w:rPr>
      </w:pPr>
    </w:p>
    <w:p w14:paraId="5C93D606">
      <w:pPr>
        <w:bidi w:val="0"/>
        <w:rPr>
          <w:rFonts w:hint="default"/>
          <w:lang w:val="en-US" w:eastAsia="zh-CN"/>
        </w:rPr>
      </w:pPr>
    </w:p>
    <w:p w14:paraId="13CBA250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、工业金属零件检测的详细说明（与盲盒检测的对应点）</w:t>
      </w:r>
    </w:p>
    <w:p w14:paraId="60C49328">
      <w:pPr>
        <w:pStyle w:val="5"/>
        <w:bidi w:val="0"/>
        <w:rPr>
          <w:rFonts w:hint="eastAsia"/>
        </w:rPr>
      </w:pPr>
      <w:r>
        <w:rPr>
          <w:rFonts w:hint="eastAsia"/>
        </w:rPr>
        <w:t>总体原理（与盲盒相同）</w:t>
      </w:r>
    </w:p>
    <w:p w14:paraId="12A28A1B">
      <w:pPr>
        <w:rPr>
          <w:rFonts w:hint="eastAsia"/>
        </w:rPr>
      </w:pPr>
      <w:r>
        <w:rPr>
          <w:rFonts w:hint="eastAsia"/>
        </w:rPr>
        <w:t>工业金属件检测通常用电感/电磁感应原理：感应线圈与被测金属近靠时，金属在磁场中产生涡流、改变磁导率或分布，从而改变线圈的有效电感与谐振特性（或导致被测回路阻尼变化）。检测器测量该变化并据此判定“有/无”或“类别”。</w:t>
      </w:r>
    </w:p>
    <w:p w14:paraId="5F0C06F1">
      <w:pPr>
        <w:rPr>
          <w:rFonts w:hint="eastAsia"/>
        </w:rPr>
      </w:pPr>
      <w:r>
        <w:rPr>
          <w:rFonts w:hint="eastAsia"/>
        </w:rPr>
        <w:t>商用传感器多数实现为电感式接近开关（开关量），或更精密的电感-数字转换器（LDC1314、LDC1614 等）输出定量数值。</w:t>
      </w:r>
    </w:p>
    <w:p w14:paraId="38ECBB70">
      <w:pPr>
        <w:pStyle w:val="5"/>
        <w:bidi w:val="0"/>
        <w:rPr>
          <w:rFonts w:hint="eastAsia"/>
        </w:rPr>
      </w:pPr>
      <w:r>
        <w:rPr>
          <w:rFonts w:hint="eastAsia"/>
        </w:rPr>
        <w:t>工程要点（直接影响测试设计）</w:t>
      </w:r>
    </w:p>
    <w:p w14:paraId="5EBAB6CC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灵敏度与检测距离：由线圈尺寸、匝数、工作频率决定。小件检测常用小线圈、需要近距离；路面车辆线圈则很大。</w:t>
      </w:r>
    </w:p>
    <w:p w14:paraId="019DE13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材料与几何依赖性：不同材料（铁、铜、铝、不锈钢）对感应影响不同（有/无磁性、导电性不同）。形状与厚度也强影响响应。</w:t>
      </w:r>
    </w:p>
    <w:p w14:paraId="48867952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位置/角度敏感性：物件相对于线圈的摆放位置、角度、深度会显著改变响应。</w:t>
      </w:r>
    </w:p>
    <w:p w14:paraId="03F9629C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环境扰动：邻近的金属构件、温度变化、电磁噪声都会引起漂移或误触发。</w:t>
      </w:r>
    </w:p>
    <w:p w14:paraId="2A8E34F6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响应时间与滤波：工业场景常需快速响应（毫秒级），同时需要滤掉脉冲噪声与机械抖动。</w:t>
      </w:r>
    </w:p>
    <w:p w14:paraId="4E6D47A9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校准/补偿必要性：建立“空状态基线”并做温度/长期漂移补偿是实务常态。</w:t>
      </w:r>
    </w:p>
    <w:p w14:paraId="32FF86BD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多通道／冗余：工业场景常用多线圈或多传感器融合以提高可靠性与定位能力。</w:t>
      </w:r>
    </w:p>
    <w:p w14:paraId="3C06410A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三、测试方案</w:t>
      </w:r>
    </w:p>
    <w:p w14:paraId="23948320">
      <w:pPr>
        <w:pStyle w:val="5"/>
        <w:bidi w:val="0"/>
      </w:pPr>
      <w:r>
        <w:t>测试一 — 基本功能与灵敏度测试（Functional &amp; Sensitivity）</w:t>
      </w:r>
    </w:p>
    <w:p w14:paraId="608116E4">
      <w:pPr>
        <w:bidi w:val="0"/>
      </w:pPr>
      <w:r>
        <w:rPr>
          <w:b/>
          <w:bCs/>
        </w:rPr>
        <w:t>目的：</w:t>
      </w:r>
      <w:r>
        <w:t>验证在标准放置（理想位置）下系统能稳定地产生可区分的数值，确定每类盲盒在“标定位置”下的典型读数范围（基线）。</w:t>
      </w:r>
      <w:r>
        <w:br w:type="textWrapping"/>
      </w:r>
      <w:r>
        <w:rPr>
          <w:b/>
          <w:bCs/>
        </w:rPr>
        <w:t>设备：</w:t>
      </w:r>
      <w:r>
        <w:t>LDC1314 + MCU、固定夹具（保持盒子位置）、样本 A/B/C（每类至少 10 件）、记录电脑或表格、秒表。</w:t>
      </w:r>
      <w:r>
        <w:br w:type="textWrapping"/>
      </w:r>
      <w:r>
        <w:t>步骤：</w:t>
      </w:r>
    </w:p>
    <w:p w14:paraId="0D13BE98">
      <w:pPr>
        <w:numPr>
          <w:ilvl w:val="0"/>
          <w:numId w:val="3"/>
        </w:numPr>
        <w:bidi w:val="0"/>
        <w:ind w:left="425" w:leftChars="0" w:hanging="425" w:firstLineChars="0"/>
      </w:pPr>
      <w:r>
        <w:t xml:space="preserve">将线圈固定在夹具上，设定标准空盒位置（定义 z = 0；盒子正面对准线圈中心）；记录空盒基线读数 200 次，求均值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base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与标准差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base</m:t>
            </m:r>
            <m:ctrlPr>
              <w:rPr>
                <w:rFonts w:ascii="Cambria Math" w:hAnsi="Cambria Math"/>
              </w:rPr>
            </m:ctrlPr>
          </m:sub>
        </m:sSub>
      </m:oMath>
      <w:r>
        <w:t>​。</w:t>
      </w:r>
    </w:p>
    <w:p w14:paraId="5EF79460">
      <w:pPr>
        <w:numPr>
          <w:ilvl w:val="0"/>
          <w:numId w:val="3"/>
        </w:numPr>
        <w:bidi w:val="0"/>
        <w:ind w:left="425" w:leftChars="0" w:hanging="425" w:firstLineChars="0"/>
      </w:pPr>
      <w:r>
        <w:t>分别对 A、B、C：在相同标准位置放入盲盒，重复 30 次“放—稳定—记录”。每次采样 50 次读取，取最后 10 次均值为一次结果。</w:t>
      </w:r>
    </w:p>
    <w:p w14:paraId="4A68882F">
      <w:pPr>
        <w:numPr>
          <w:ilvl w:val="0"/>
          <w:numId w:val="3"/>
        </w:numPr>
        <w:bidi w:val="0"/>
        <w:ind w:left="425" w:leftChars="0" w:hanging="425" w:firstLineChars="0"/>
      </w:pPr>
      <w:r>
        <w:t xml:space="preserve">记录每次均值与标准差，计算每类的均值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和类内标准差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σ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σ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σ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t>。</w:t>
      </w:r>
      <w:r>
        <w:br w:type="textWrapping"/>
      </w:r>
      <w:r>
        <w:rPr>
          <w:rStyle w:val="9"/>
        </w:rPr>
        <w:t>要记录的数据字段</w:t>
      </w:r>
      <w:r>
        <w:t>（CSV）：</w:t>
      </w:r>
      <m:oMath>
        <m:r>
          <m:rPr>
            <m:sty m:val="p"/>
          </m:rPr>
          <w:rPr>
            <w:rFonts w:ascii="Cambria Math" w:hAnsi="Cambria Math"/>
            <w:sz w:val="21"/>
          </w:rPr>
          <m:t>test_id,class,x,y,z,trial,channel_mean,channel_std,timestamp,notes</m:t>
        </m:r>
      </m:oMath>
    </w:p>
    <w:p w14:paraId="03689CAF">
      <w:pPr>
        <w:bidi w:val="0"/>
        <w:rPr>
          <w:b/>
          <w:bCs/>
        </w:rPr>
      </w:pPr>
      <w:r>
        <w:rPr>
          <w:b/>
          <w:bCs/>
        </w:rPr>
        <w:t>判定/验收标准：</w:t>
      </w:r>
    </w:p>
    <w:p w14:paraId="6C6632E3">
      <w:pPr>
        <w:bidi w:val="0"/>
      </w:pPr>
      <w:r>
        <w:t>每类的均值与空盒差异显著（</w:t>
      </w:r>
      <m:oMath>
        <m:r>
          <m:rPr/>
          <w:rPr>
            <w:rFonts w:hint="default" w:ascii="Cambria Math" w:hAnsi="Cambria Math"/>
            <w:sz w:val="21"/>
          </w:rPr>
          <m:t>|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μ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base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|≥5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σ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base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t>）。</w:t>
      </w:r>
    </w:p>
    <w:p w14:paraId="52A4D0D9">
      <w:pPr>
        <w:bidi w:val="0"/>
      </w:pPr>
      <w:r>
        <w:t>类间可分性：两类均值差</w:t>
      </w:r>
      <m:oMath>
        <m:r>
          <m:rPr/>
          <w:rPr>
            <w:rFonts w:hint="default" w:ascii="Cambria Math" w:hAnsi="Cambria Math"/>
            <w:sz w:val="21"/>
          </w:rPr>
          <m:t>≥4</m:t>
        </m:r>
        <m:r>
          <m:rPr>
            <m:sty m:val="p"/>
          </m:rPr>
          <w:rPr>
            <w:rFonts w:hint="default" w:ascii="Cambria Math" w:hAnsi="Cambria Math"/>
            <w:sz w:val="21"/>
          </w:rPr>
          <m:t>×max</m:t>
        </m:r>
        <m:r>
          <m:rPr/>
          <w:rPr>
            <w:rFonts w:hint="default" w:ascii="Cambria Math" w:hAnsi="Cambria Math"/>
            <w:sz w:val="21"/>
          </w:rPr>
          <m:t>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σ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σ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j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t>) 优良，若</w:t>
      </w:r>
      <m:oMath>
        <m:r>
          <m:rPr/>
          <w:rPr>
            <w:rFonts w:hint="default" w:ascii="Cambria Math" w:hAnsi="Cambria Math"/>
            <w:sz w:val="21"/>
          </w:rPr>
          <m:t>≥2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σ</m:t>
        </m:r>
      </m:oMath>
      <w:r>
        <w:t>则可接受。</w:t>
      </w:r>
      <w:r>
        <w:br w:type="textWrapping"/>
      </w:r>
      <w:r>
        <w:t>说明：这是建立阈值/查表判定的基础。若在此测试三类不分，说明硬件或线圈需要改进。</w:t>
      </w:r>
    </w:p>
    <w:p w14:paraId="2C94EAA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09292">
      <w:pPr>
        <w:pStyle w:val="5"/>
        <w:bidi w:val="0"/>
      </w:pPr>
      <w:r>
        <w:t>测试二 — 位置/角度敏感性测试（Robustness to Placement）</w:t>
      </w:r>
    </w:p>
    <w:p w14:paraId="32B793D1">
      <w:pPr>
        <w:bidi w:val="0"/>
      </w:pPr>
      <w:r>
        <w:rPr>
          <w:b/>
          <w:bCs/>
        </w:rPr>
        <w:t>目的：</w:t>
      </w:r>
      <w:r>
        <w:t>评估日常放置误差（位置偏移、角度）对识别的影响，模拟真实用户放入盲盒时位置变化。</w:t>
      </w:r>
      <w:r>
        <w:br w:type="textWrapping"/>
      </w:r>
      <w:r>
        <w:rPr>
          <w:b/>
          <w:bCs/>
        </w:rPr>
        <w:t>设备：</w:t>
      </w:r>
      <w:r>
        <w:t>同上 + 三轴可调台或简单量尺与刻度纸（能控制 x,y 偏移和角度），A/B/C 各若干样本（每类至少 10 件）。</w:t>
      </w:r>
      <w:r>
        <w:br w:type="textWrapping"/>
      </w:r>
      <w:r>
        <w:rPr>
          <w:b/>
          <w:bCs/>
        </w:rPr>
        <w:t>步骤：</w:t>
      </w:r>
    </w:p>
    <w:p w14:paraId="3CF96BF0">
      <w:pPr>
        <w:numPr>
          <w:ilvl w:val="0"/>
          <w:numId w:val="4"/>
        </w:numPr>
        <w:bidi w:val="0"/>
        <w:ind w:left="425" w:leftChars="0" w:hanging="425" w:firstLineChars="0"/>
      </w:pPr>
      <w:r>
        <w:t>在标准位置为中心，做小范围网格采样：x,y 每方向 ±10 mm，步长 5 mm（即 5×5 网格共25点）。在每个网格点对 A、B、C 各做 5 次重复测量（每次取 30 次采样的均值）。</w:t>
      </w:r>
    </w:p>
    <w:p w14:paraId="79DCE69C">
      <w:pPr>
        <w:numPr>
          <w:ilvl w:val="0"/>
          <w:numId w:val="4"/>
        </w:numPr>
        <w:bidi w:val="0"/>
        <w:ind w:left="425" w:leftChars="0" w:hanging="425" w:firstLineChars="0"/>
      </w:pPr>
      <w:r>
        <w:t>角度测试：在 z 固定位置，按 0°, 45°, 90°, 135°, 180° 做角度变化测试，每角度取 5 次重复。</w:t>
      </w:r>
    </w:p>
    <w:p w14:paraId="654917FF">
      <w:pPr>
        <w:numPr>
          <w:ilvl w:val="0"/>
          <w:numId w:val="4"/>
        </w:numPr>
        <w:bidi w:val="0"/>
        <w:ind w:left="425" w:leftChars="0" w:hanging="425" w:firstLineChars="0"/>
      </w:pPr>
      <w:r>
        <w:t>计算每类在每个位置/角度的均值与偏差，并绘制热图（响应随 x,y 的分布）与角度曲线。</w:t>
      </w:r>
      <w:r>
        <w:br w:type="textWrapping"/>
      </w:r>
      <w:r>
        <w:t xml:space="preserve">要记录的数据字段：同上，并增加 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x_mm,y_mm,angle_deg</m:t>
        </m:r>
      </m:oMath>
      <w:r>
        <w:t>。</w:t>
      </w:r>
    </w:p>
    <w:p w14:paraId="58212867">
      <w:pPr>
        <w:numPr>
          <w:numId w:val="0"/>
        </w:numPr>
        <w:bidi w:val="0"/>
        <w:ind w:leftChars="0"/>
      </w:pPr>
      <w:r>
        <w:rPr>
          <w:b/>
          <w:bCs/>
        </w:rPr>
        <w:t>判定/验收标准：</w:t>
      </w:r>
    </w:p>
    <w:p w14:paraId="05916430">
      <w:pPr>
        <w:bidi w:val="0"/>
        <w:ind w:firstLine="420" w:firstLineChars="0"/>
      </w:pPr>
      <w:r>
        <w:t>可接受区间：在 ±5 mm 内类别识别稳定（分类决策不变）；若超过 ±10 mm 即出现显著混淆则提示需改夹具/定位或多通道融合。</w:t>
      </w:r>
    </w:p>
    <w:p w14:paraId="09F33F87">
      <w:pPr>
        <w:bidi w:val="0"/>
        <w:ind w:firstLine="420" w:firstLineChars="0"/>
      </w:pPr>
      <w:r>
        <w:t>若某类对角度极敏感（不同角度均值跨越其它类区间），需在判定逻辑中加入角度容忍或改进线圈设计。</w:t>
      </w:r>
      <w:r>
        <w:br w:type="textWrapping"/>
      </w:r>
      <w:r>
        <w:rPr>
          <w:b/>
          <w:bCs/>
        </w:rPr>
        <w:t>说明：</w:t>
      </w:r>
      <w:r>
        <w:t>若位置敏感大，可考虑在最终方案中加入定位治具或采用多通道差分/归一化策略。</w:t>
      </w:r>
    </w:p>
    <w:p w14:paraId="117F8342">
      <w:pPr>
        <w:bidi w:val="0"/>
      </w:pPr>
    </w:p>
    <w:p w14:paraId="477AA65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C796C">
      <w:pPr>
        <w:pStyle w:val="5"/>
        <w:bidi w:val="0"/>
      </w:pPr>
      <w:r>
        <w:t>测试三 — 干扰与实用环境测试（Interference &amp; Field-like Test）</w:t>
      </w:r>
    </w:p>
    <w:p w14:paraId="11B4048E">
      <w:pPr>
        <w:bidi w:val="0"/>
      </w:pPr>
      <w:r>
        <w:rPr>
          <w:b/>
          <w:bCs/>
        </w:rPr>
        <w:t>目的：</w:t>
      </w:r>
      <w:r>
        <w:t>评估在常见干扰（邻近金属、手机、电磁设备、温度变化）下系统稳定性与分类准确率，模拟真实现场使用情形。</w:t>
      </w:r>
      <w:r>
        <w:br w:type="textWrapping"/>
      </w:r>
      <w:r>
        <w:rPr>
          <w:b/>
          <w:bCs/>
        </w:rPr>
        <w:t>设备：</w:t>
      </w:r>
      <w:r>
        <w:t>同上 + 一块大铁板/金属片（模拟近旁大块金属）、手机（开/关）或小电磁干扰源、如果可用则恒温环境或在室内不同温度下测试。</w:t>
      </w:r>
      <w:r>
        <w:br w:type="textWrapping"/>
      </w:r>
      <w:r>
        <w:rPr>
          <w:b/>
          <w:bCs/>
        </w:rPr>
        <w:t>步骤：</w:t>
      </w:r>
    </w:p>
    <w:p w14:paraId="41343260">
      <w:pPr>
        <w:numPr>
          <w:ilvl w:val="0"/>
          <w:numId w:val="5"/>
        </w:numPr>
        <w:bidi w:val="0"/>
        <w:ind w:left="425" w:leftChars="0" w:hanging="425" w:firstLineChars="0"/>
      </w:pPr>
      <w:r>
        <w:t>邻近金属干扰：在标准放置位置（z=标定）下，将铁板分别放置在距离线圈 50 mm、150 mm，记录 A/B/C 各 20 次读数；比较与无干扰时的偏移。</w:t>
      </w:r>
    </w:p>
    <w:p w14:paraId="073A2D97">
      <w:pPr>
        <w:numPr>
          <w:ilvl w:val="0"/>
          <w:numId w:val="5"/>
        </w:numPr>
        <w:bidi w:val="0"/>
        <w:ind w:left="425" w:leftChars="0" w:hanging="425" w:firstLineChars="0"/>
      </w:pPr>
      <w:r>
        <w:t>移动干扰源：把手机放在距离线圈 50 mm，并处于静止 / 通话 /数据传输三种状态，分别记录结果。</w:t>
      </w:r>
    </w:p>
    <w:p w14:paraId="2D625EE7">
      <w:pPr>
        <w:numPr>
          <w:ilvl w:val="0"/>
          <w:numId w:val="5"/>
        </w:numPr>
        <w:bidi w:val="0"/>
        <w:ind w:left="425" w:leftChars="0" w:hanging="425" w:firstLineChars="0"/>
      </w:pPr>
      <w:r>
        <w:t>温度/时间漂移：在室温下持续运行 6 小时，每小时对 A/B/C 各做 10 次测量；若可做，额外在高温（约40°C）下重复一次关键点测量。</w:t>
      </w:r>
    </w:p>
    <w:p w14:paraId="6B78B758">
      <w:pPr>
        <w:bidi w:val="0"/>
        <w:ind w:firstLine="420" w:firstLineChars="0"/>
      </w:pPr>
      <w:r>
        <w:t>统计在每种干扰下的识别正确率、误报率和偏移量（均值差）。</w:t>
      </w:r>
      <w:r>
        <w:br w:type="textWrapping"/>
      </w:r>
      <w:r>
        <w:rPr>
          <w:rFonts w:hint="eastAsia"/>
          <w:lang w:val="en-US" w:eastAsia="zh-CN"/>
        </w:rPr>
        <w:tab/>
      </w:r>
      <w:r>
        <w:t xml:space="preserve">要记录的数据字段：在原字段外增加 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interference_type, interference_distance, device_state, temperature_C, elapsed_time_h</m:t>
        </m:r>
      </m:oMath>
      <w:r>
        <w:t>。</w:t>
      </w:r>
      <w:r>
        <w:br w:type="textWrapping"/>
      </w:r>
      <w:r>
        <w:t>判定/验收标准：</w:t>
      </w:r>
    </w:p>
    <w:p w14:paraId="4CC1575C">
      <w:pPr>
        <w:bidi w:val="0"/>
        <w:ind w:firstLine="420" w:firstLineChars="0"/>
      </w:pPr>
      <w:r>
        <w:t>干扰条件下误判率 ≤ 10% 为可接受；若 &gt; 20% 则需强干扰抑制或物理屏蔽。</w:t>
      </w:r>
    </w:p>
    <w:p w14:paraId="6FAD0C2B">
      <w:pPr>
        <w:bidi w:val="0"/>
        <w:ind w:firstLine="420" w:firstLineChars="0"/>
      </w:pPr>
      <w:r>
        <w:t>温度引起的均值漂移 ≤ 5%（相对于 ΔL_mean），若大于则需温度补偿。</w:t>
      </w:r>
      <w:r>
        <w:br w:type="textWrapping"/>
      </w:r>
      <w:r>
        <w:rPr>
          <w:b/>
          <w:bCs/>
        </w:rPr>
        <w:t>说明：</w:t>
      </w:r>
      <w:r>
        <w:t>此测试直接反映产品在真实场景下的可用性，结果决定是否需做屏蔽/补偿或多通道策略。</w:t>
      </w:r>
    </w:p>
    <w:p w14:paraId="74491244">
      <w:pPr>
        <w:bidi w:val="0"/>
      </w:pPr>
    </w:p>
    <w:p w14:paraId="2651F3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C28DE"/>
    <w:multiLevelType w:val="singleLevel"/>
    <w:tmpl w:val="822C28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6AD40DD"/>
    <w:multiLevelType w:val="singleLevel"/>
    <w:tmpl w:val="B6AD40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E9F43EE"/>
    <w:multiLevelType w:val="singleLevel"/>
    <w:tmpl w:val="EE9F43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BD885CB"/>
    <w:multiLevelType w:val="singleLevel"/>
    <w:tmpl w:val="2BD885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2BFD413"/>
    <w:multiLevelType w:val="singleLevel"/>
    <w:tmpl w:val="72BFD4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5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2025-10-30T08:05:15Z</dcterms:created>
  <dc:creator>small</dc:creator>
  <cp:lastModifiedBy>HooCF</cp:lastModifiedBy>
  <dcterms:modified xsi:type="dcterms:W3CDTF">2025-10-30T08:27:00Z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eyJoZGlkIjoiZmFiMjM3Y2E2ZjQ5Njg4ZTg5ODkyYWE0ZTViZjhmZTgiLCJ1c2VySWQiOiIzNDM5NDcyNjgifQ==</vt:lpwstr>
  </property>
  <property fmtid="{D5CDD505-2E9C-101B-9397-08002B2CF9AE}" pid="4" name="ICV">
    <vt:lpwstr>805D8EB0004A4EDFBF2CA0A57008A004_12</vt:lpwstr>
  </property>
</Properties>
</file>