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PPG 无创血压预测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5C8A"/>
          <w:sz w:val="40"/>
          <w:szCs w:val="40"/>
        </w:rPr>
        <w:t xml:space="preserve">项目技术报告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基于 1D-ResNet 的光电容积脉搏波血压预测</w:t>
      </w:r>
    </w:p>
    <w:p>
      <w:pPr>
        <w:spacing w:before="1200"/>
      </w:pPr>
    </w:p>
    <w:p>
      <w:pPr>
        <w:jc w:val="center"/>
      </w:pPr>
      <w:r>
        <w:rPr>
          <w:sz w:val="24"/>
          <w:szCs w:val="24"/>
        </w:rPr>
        <w:t xml:space="preserve">WuYJ2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2026 年 6 月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spacing w:after="120" w:line="360"/>
      </w:pPr>
      <w:r>
        <w:rPr>
          <w:sz w:val="22"/>
          <w:szCs w:val="22"/>
        </w:rPr>
        <w:t xml:space="preserve">本项目基于光电容积脉搏波 (PPG) 信号，利用深度学习技术实现无创血压预测。输入为 PPG 信号及其一阶、二阶导数组成的三通道数据，输出为收缩压 (SBP) 和舒张压 (DBP)。项目同时保留了基于手工特征提取和 SVR 回归的传统方案。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项目基本信息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任务类型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PPG → SBP/DBP 双输出回归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模型骨干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1D-ResNet (3 残差块, 3 输入通道)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数据来源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公开数据集 (7904 样本, 125Hz)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信号长度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2048 采样点 (约 16.4 秒)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框架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PyTorch 2.x + CUDA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v1.0 → v1.1 → v1.2</w:t>
            </w:r>
          </w:p>
        </w:tc>
      </w:tr>
    </w:tbl>
    <w:p>
      <w:pPr>
        <w:pStyle w:val="Heading1"/>
      </w:pPr>
      <w:r>
        <w:t xml:space="preserve">2. 项目结构</w:t>
      </w:r>
    </w:p>
    <w:p>
      <w:pPr>
        <w:spacing w:after="120" w:line="360"/>
      </w:pPr>
      <w:r>
        <w:rPr>
          <w:sz w:val="22"/>
          <w:szCs w:val="22"/>
        </w:rPr>
        <w:t xml:space="preserve">项目代码由 Python (深度学习) 和 MATLAB (传统方案) 两部分组成，以下为主要文件说明: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核心 Python 文件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model.py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1D-ResNet 模型定义 + 数据加载 + 预处理工具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train_base_model.py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基础模型训练 (70% 公开数据)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fine_tune_model.py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微调: 冻结浅层 + 旧新混合 + 可选蒸馏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evaluate_model.py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评估: 预测值 / MAE / STD / 图表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split_data.py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公开数据 7:3 随机拆分</w:t>
            </w:r>
          </w:p>
        </w:tc>
      </w:tr>
    </w:tbl>
    <w:p>
      <w:pPr>
        <w:pStyle w:val="Heading1"/>
      </w:pPr>
      <w:r>
        <w:t xml:space="preserve">3. 数据管线</w:t>
      </w:r>
    </w:p>
    <w:p>
      <w:pPr>
        <w:spacing w:after="120" w:line="360"/>
      </w:pPr>
      <w:r>
        <w:rPr>
          <w:sz w:val="22"/>
          <w:szCs w:val="22"/>
        </w:rPr>
        <w:t xml:space="preserve">公开数据集包含 7904 条 PPG 信号 (2048 点, 125Hz)，划分方式如下: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数据集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样本数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基础训练集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3321 (70%)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基础模型训练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微调集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1424 (30%)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微调 / 消融实验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验证集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1577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基础训练验证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测试集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1582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最终评估</w:t>
            </w:r>
          </w:p>
        </w:tc>
      </w:tr>
    </w:tbl>
    <w:p>
      <w:pPr>
        <w:spacing w:after="120" w:line="360"/>
      </w:pPr>
      <w:r>
        <w:rPr>
          <w:sz w:val="22"/>
          <w:szCs w:val="22"/>
        </w:rPr>
        <w:t xml:space="preserve">预处理流程: 原始 PPG (2048) → 计算一阶导数 gradient(dt=1/125) → 计算二阶导数 → 堆叠为 3 通道 → z-score 归一化 (按训练集统计量) → 输入模型。</w:t>
      </w:r>
    </w:p>
    <w:p>
      <w:pPr>
        <w:pStyle w:val="Heading1"/>
      </w:pPr>
      <w:r>
        <w:t xml:space="preserve">4. 深度学习模型架构</w:t>
      </w:r>
    </w:p>
    <w:p>
      <w:pPr>
        <w:spacing w:after="120" w:line="360"/>
      </w:pPr>
      <w:r>
        <w:rPr>
          <w:sz w:val="22"/>
          <w:szCs w:val="22"/>
        </w:rPr>
        <w:t xml:space="preserve">采用 1D-ResNet 作为骨干网络，通过残差连接缓解深层网络退化问题。架构从输入到输出逐步下采样 8 倍，最后通过全局平均池化和全连接层输出 SBP 和 DBP: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层级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输出通道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输出长度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2048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PPG + dPPG + d²PPG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Conv1 (7×1)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1024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stride 2, BN, ReLU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MaxPool (3×1)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512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stride 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ResBlock1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64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512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[3×1,64]×2, no stride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ResBlock2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256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[3×1,128]×2, stride 2, 1×1 proj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ResBlock3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128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[3×1,256]×2, stride 2, 1×1 proj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GlobalAvgPool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256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AdaptiveAvgPool1d(1)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Linear(256→2) → SBP, DBP</w:t>
            </w:r>
          </w:p>
        </w:tc>
      </w:tr>
    </w:tbl>
    <w:p>
      <w:pPr>
        <w:spacing w:after="120" w:line="360"/>
      </w:pPr>
      <w:r>
        <w:rPr>
          <w:sz w:val="22"/>
          <w:szCs w:val="22"/>
        </w:rPr>
        <w:t xml:space="preserve">可学习参数约 2.3M。训练配置: Adam optimizer, 初始学习率 1e-3 (每 25 epoch 减半), batch size 64, 梯度裁剪 5.0, L2 正则 1e-4。</w:t>
      </w:r>
    </w:p>
    <w:p>
      <w:pPr>
        <w:pStyle w:val="Heading1"/>
      </w:pPr>
      <w:r>
        <w:t xml:space="preserve">5. 微调策略</w:t>
      </w:r>
    </w:p>
    <w:p>
      <w:pPr>
        <w:pStyle w:val="Heading2"/>
      </w:pPr>
      <w:r>
        <w:t xml:space="preserve">5.1 策略组合</w:t>
      </w:r>
    </w:p>
    <w:p>
      <w:pPr>
        <w:spacing w:after="120" w:line="360"/>
      </w:pPr>
      <w:r>
        <w:rPr>
          <w:sz w:val="22"/>
          <w:szCs w:val="22"/>
        </w:rPr>
        <w:t xml:space="preserve">微调阶段使用公开训练集的 30% (1424 样本) 作为新数据，与 70% 基础训练数据混合。核心策略包括:</w:t>
      </w:r>
    </w:p>
    <w:p>
      <w:pPr>
        <w:pStyle w:val="Heading2"/>
      </w:pPr>
      <w:r>
        <w:t xml:space="preserve">5.2 损失函数</w:t>
      </w:r>
    </w:p>
    <w:p>
      <w:pPr>
        <w:spacing w:after="120" w:line="360"/>
      </w:pPr>
      <w:r>
        <w:rPr>
          <w:sz w:val="22"/>
          <w:szCs w:val="22"/>
        </w:rPr>
        <w:t xml:space="preserve">蒸馏模式:</w:t>
      </w:r>
    </w:p>
    <w:p>
      <w:pPr>
        <w:spacing w:after="120" w:line="360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  <w:sz w:val="22"/>
          <w:szCs w:val="22"/>
        </w:rPr>
        <w:t xml:space="preserve">L = L_task(new) + (1-α) × L_task(old) + α × T² × MSE(pred/T, teacher/T)</w:t>
      </w:r>
    </w:p>
    <w:p>
      <w:pPr>
        <w:spacing w:after="120" w:line="360"/>
      </w:pPr>
      <w:r>
        <w:rPr>
          <w:sz w:val="22"/>
          <w:szCs w:val="22"/>
        </w:rPr>
        <w:t xml:space="preserve">消融模式 (无蒸馏):</w:t>
      </w:r>
    </w:p>
    <w:p>
      <w:pPr>
        <w:spacing w:after="120" w:line="360"/>
        <w:rPr>
          <w:rFonts w:ascii="Consolas" w:cs="Consolas" w:eastAsia="Consolas" w:hAnsi="Consolas"/>
        </w:rPr>
      </w:pPr>
      <w:r>
        <w:rPr>
          <w:rFonts w:ascii="Consolas" w:cs="Consolas" w:eastAsia="Consolas" w:hAnsi="Consolas"/>
          <w:sz w:val="22"/>
          <w:szCs w:val="22"/>
        </w:rPr>
        <w:t xml:space="preserve">L = L_task(new) + L_task(old)</w:t>
      </w:r>
    </w:p>
    <w:p>
      <w:pPr>
        <w:spacing w:after="120" w:line="360"/>
      </w:pPr>
      <w:r>
        <w:rPr>
          <w:sz w:val="22"/>
          <w:szCs w:val="22"/>
        </w:rPr>
        <w:t xml:space="preserve">默认参数: α = 0.4, T = 3.0。</w:t>
      </w:r>
    </w:p>
    <w:p>
      <w:pPr>
        <w:pStyle w:val="Heading1"/>
      </w:pPr>
      <w:r>
        <w:t xml:space="preserve">6. 实验结果</w:t>
      </w:r>
    </w:p>
    <w:p>
      <w:pPr>
        <w:pStyle w:val="Heading2"/>
      </w:pPr>
      <w:r>
        <w:t xml:space="preserve">6.1 训练曲线</w:t>
      </w:r>
    </w:p>
    <w:p>
      <w:pPr>
        <w:spacing w:after="120" w:line="360"/>
      </w:pPr>
      <w:r>
        <w:rPr>
          <w:sz w:val="22"/>
          <w:szCs w:val="22"/>
        </w:rPr>
        <w:t xml:space="preserve">基础模型在 80 epoch 训练过程中的 loss 变化。蓝线为训练 loss，红线为验证 loss。</w:t>
      </w:r>
    </w:p>
    <w:p>
      <w:pPr>
        <w:spacing w:after="80" w:before="120"/>
        <w:jc w:val="center"/>
      </w:pPr>
      <w:r>
        <w:drawing>
          <wp:inline distT="0" distB="0" distL="0" distR="0">
            <wp:extent cx="4191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 xml:space="preserve">基础模型训练曲线</w:t>
      </w:r>
    </w:p>
    <w:p>
      <w:pPr>
        <w:spacing w:after="80" w:before="120"/>
        <w:jc w:val="center"/>
      </w:pPr>
      <w:r>
        <w:drawing>
          <wp:inline distT="0" distB="0" distL="0" distR="0">
            <wp:extent cx="4191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 xml:space="preserve">微调训练曲线 (消融模式, 无蒸馏)</w:t>
      </w:r>
    </w:p>
    <w:p>
      <w:pPr>
        <w:pStyle w:val="Heading2"/>
      </w:pPr>
      <w:r>
        <w:t xml:space="preserve">6.2 模型对比</w:t>
      </w:r>
    </w:p>
    <w:p>
      <w:pPr>
        <w:spacing w:after="120" w:line="360"/>
      </w:pPr>
      <w:r>
        <w:rPr>
          <w:sz w:val="22"/>
          <w:szCs w:val="22"/>
        </w:rPr>
        <w:t xml:space="preserve">基础模型与微调模型在测试集上 SBP/DBP 的 MAE 和 STD 对比:</w:t>
      </w:r>
    </w:p>
    <w:p>
      <w:pPr>
        <w:spacing w:after="80" w:before="120"/>
        <w:jc w:val="center"/>
      </w:pPr>
      <w:r>
        <w:drawing>
          <wp:inline distT="0" distB="0" distL="0" distR="0">
            <wp:extent cx="4381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6.3 Bland-Altman 一致性分析</w:t>
      </w:r>
    </w:p>
    <w:p>
      <w:pPr>
        <w:spacing w:after="120" w:line="360"/>
      </w:pPr>
      <w:r>
        <w:rPr>
          <w:sz w:val="22"/>
          <w:szCs w:val="22"/>
        </w:rPr>
        <w:t xml:space="preserve">Bland-Altman 图展示预测值与真实值的一致程度。x 轴为两者均值，y 轴为差值。红色实线为平均偏差，红色虚线为 95% 一致性界限 (±1.96 SD)。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 xml:space="preserve">基础模型 Bland-Altman 分析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 xml:space="preserve">微调模型 Bland-Altman 分析</w:t>
      </w:r>
    </w:p>
    <w:p>
      <w:pPr>
        <w:pStyle w:val="Heading2"/>
      </w:pPr>
      <w:r>
        <w:t xml:space="preserve">6.4 相关性分析</w:t>
      </w:r>
    </w:p>
    <w:p>
      <w:pPr>
        <w:spacing w:after="120" w:line="360"/>
      </w:pPr>
      <w:r>
        <w:rPr>
          <w:sz w:val="22"/>
          <w:szCs w:val="22"/>
        </w:rPr>
        <w:t xml:space="preserve">预测值与真实值的散点图，黑色虚线为理想对角线 (y=x)，红色实线为最小二乘拟合线，右下角标注 Pearson 相关系数 r。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 xml:space="preserve">基础模型相关性分析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 xml:space="preserve">微调模型相关性分析</w:t>
      </w:r>
    </w:p>
    <w:p>
      <w:pPr>
        <w:pStyle w:val="Heading2"/>
      </w:pPr>
      <w:r>
        <w:t xml:space="preserve">6.5 预测值对比</w:t>
      </w:r>
    </w:p>
    <w:p>
      <w:pPr>
        <w:spacing w:after="120" w:line="360"/>
      </w:pPr>
      <w:r>
        <w:rPr>
          <w:sz w:val="22"/>
          <w:szCs w:val="22"/>
        </w:rPr>
        <w:t xml:space="preserve">前 80 个测试样本的预测值与真实值对比折线图:</w:t>
      </w:r>
    </w:p>
    <w:p>
      <w:pPr>
        <w:spacing w:after="80" w:before="120"/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版本演进与分支管理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分支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变更内容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关键修改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v1.0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初始版本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MATLAB SVR + DL, 自建数据微调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v1.1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数据策略调整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公开数据 7:3 拆分, 去掉自建数据依赖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v1.2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消融实验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新增 USE_DISTILL 开关, 关闭蒸馏验证冻结+混合有效性</w:t>
            </w:r>
          </w:p>
        </w:tc>
      </w:tr>
    </w:tbl>
    <w:p>
      <w:pPr>
        <w:pStyle w:val="Heading1"/>
      </w:pPr>
      <w:r>
        <w:t xml:space="preserve">8. 传统方案 (MATLAB SVR)</w:t>
      </w:r>
    </w:p>
    <w:p>
      <w:pPr>
        <w:spacing w:after="120" w:line="360"/>
      </w:pPr>
      <w:r>
        <w:rPr>
          <w:sz w:val="22"/>
          <w:szCs w:val="22"/>
        </w:rPr>
        <w:t xml:space="preserve">传统方案基于手工设计的 78 维 PPG 形态学特征，使用 ε-SVR 进行血压预测。特征涵盖五个维度:</w:t>
      </w:r>
    </w:p>
    <w:p>
      <w:pPr>
        <w:spacing w:after="120" w:line="360"/>
      </w:pPr>
      <w:r>
        <w:rPr>
          <w:sz w:val="22"/>
          <w:szCs w:val="22"/>
        </w:rPr>
        <w:t xml:space="preserve">具体流程: find_all_parameter.m → find_parameter_amend.m → 78 维特征 → train_DBP.m / train_SBP.m → SVR 模型 → 评估图表至 result/。</w:t>
      </w:r>
    </w:p>
    <w:p>
      <w:pPr>
        <w:pStyle w:val="Heading1"/>
      </w:pPr>
      <w:r>
        <w:t xml:space="preserve">9. 总结与展望</w:t>
      </w:r>
    </w:p>
    <w:p>
      <w:pPr>
        <w:spacing w:before="600"/>
      </w:pPr>
    </w:p>
    <w:p>
      <w:pPr>
        <w:spacing w:after="120" w:line="360"/>
      </w:pPr>
      <w:r>
        <w:rPr>
          <w:sz w:val="22"/>
          <w:szCs w:val="22"/>
        </w:rPr>
        <w:t xml:space="preserve">---</w:t>
      </w:r>
    </w:p>
    <w:p>
      <w:pPr>
        <w:spacing w:after="120" w:line="360"/>
        <w:rPr>
          <w:color w:val="888888"/>
        </w:rPr>
      </w:pPr>
      <w:r>
        <w:rPr>
          <w:color w:val="888888"/>
          <w:sz w:val="22"/>
          <w:szCs w:val="22"/>
        </w:rPr>
        <w:t xml:space="preserve">报告生成日期: 2026 年 6 月 3 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PPG 无创血压预测 — 项目报告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A3C6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c9509413aa858a2abe7cbceee8f93cbb848ac09.png"/><Relationship Id="rId10" Type="http://schemas.openxmlformats.org/officeDocument/2006/relationships/image" Target="media/025cddcad7ef51ed8b345a86fa3e4409a41c5779.png"/><Relationship Id="rId11" Type="http://schemas.openxmlformats.org/officeDocument/2006/relationships/image" Target="media/bf4356a8be58a101a3a20bb772e8a820fce4c637.png"/><Relationship Id="rId12" Type="http://schemas.openxmlformats.org/officeDocument/2006/relationships/image" Target="media/0f165de624c7b49c604c79d5362b1d98a745a505.png"/><Relationship Id="rId13" Type="http://schemas.openxmlformats.org/officeDocument/2006/relationships/image" Target="media/2e2c7561ad8d7f52ac91bba0118b016f5d1b3612.png"/><Relationship Id="rId14" Type="http://schemas.openxmlformats.org/officeDocument/2006/relationships/image" Target="media/35906b4fea70f02de1fe5307698bf886e369c046.png"/><Relationship Id="rId15" Type="http://schemas.openxmlformats.org/officeDocument/2006/relationships/image" Target="media/f72f939f2737f8d5742458ae394b0f0e9de6b767.png"/><Relationship Id="rId16" Type="http://schemas.openxmlformats.org/officeDocument/2006/relationships/image" Target="media/316f5cfd358092f50bace06e2d18a05d78ece2ce.png"/><Relationship Id="rId17" Type="http://schemas.openxmlformats.org/officeDocument/2006/relationships/image" Target="media/9eafba39e61a61193bb5da93b6a5ee7f70bf20b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2026-06-03T09:35:38.444Z</dcterms:created>
  <dcterms:modified xsi:type="dcterms:W3CDTF">2026-06-03T09:35:38.447Z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