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FirstParagraph"/>
      </w:pPr>
      <w:r>
        <w:rPr>
          <w:b/>
          <w:bCs/>
        </w:rPr>
        <w:t xml:space="preserve">Abstract</w:t>
      </w:r>
    </w:p>
    <w:p>
      <w:pPr>
        <w:pStyle w:val="BodyText"/>
      </w:pPr>
      <w:r>
        <w:t xml:space="preserve">How can derivation be identified where morphology is largely absent from the written record? We ask whether a native analyst’s classification can serve as evidence, and for which part of derivation.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blind semantic coding of 767 pairs. Labelled characters are over twice as often homophonous with their phonetic (35.6% vs 15.5%) and enriched in departing-tone alternations, the reflex of the Old Chinese suffix *-s, but not in other alternations of tone or voicing. They are far more often related in meaning (82% vs 17%), but the label says nothing detectable about which member is derived. In a test specified before the enlarged coding, related labelled pairs are still more often homophonous or departing-tone alternants than related ordinary pairs (52% vs 29%), a difference that coded relatedness does not account for. The preference is moderate and, like the other sound effects, smaller and less precise in the labels most likely to be Xu Shen’s own, while the contrast in meaning is not. We argue that the label evidences lexical relatedness with a moderate preference for the same word or a minimal derivative, and that where morphology is covert, relatedness, formal relation and direction must be diagnosed separately.</w:t>
      </w:r>
    </w:p>
    <w:p>
      <w:pPr>
        <w:pStyle w:val="BodyText"/>
      </w:pPr>
      <w:r>
        <w:rPr>
          <w:b/>
          <w:bCs/>
        </w:rPr>
        <w:t xml:space="preserve">Keywords</w:t>
      </w:r>
      <w:r>
        <w:t xml:space="preserve"> </w:t>
      </w:r>
      <w:r>
        <w:t xml:space="preserve">Lexical relatedness · Derivation · Conversion · Old Chinese · Suffix *-s · Writing systems</w:t>
      </w:r>
    </w:p>
    <w:bookmarkStart w:id="18" w:name="introduction"/>
    <w:p>
      <w:pPr>
        <w:pStyle w:val="Heading1"/>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BodyText"/>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dead in the coffin’</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BodyText"/>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2.2). But his test was a filing rule applied to chosen examples, with no baseline of ordinary compounds.</w:t>
      </w:r>
    </w:p>
    <w:p>
      <w:pPr>
        <w:pStyle w:val="BodyText"/>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are smaller while the relation of meaning is not.</w:t>
      </w:r>
    </w:p>
    <w:p>
      <w:pPr>
        <w:pStyle w:val="BodyText"/>
      </w:pPr>
      <w:r>
        <w:t xml:space="preserve">The paper makes three contributions. It gives Wang’s account, to our knowledge,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of the label, Section 3 the data and methods, and Section 4 the results; Section 5 discusses what the label measures, Section 6 the limits of the evidence, and Section 7 what follows.</w:t>
      </w:r>
    </w:p>
    <w:bookmarkEnd w:id="18"/>
    <w:bookmarkStart w:id="24" w:name="background"/>
    <w:p>
      <w:pPr>
        <w:pStyle w:val="Heading1"/>
      </w:pPr>
      <w:r>
        <w:t xml:space="preserve">2 Background</w:t>
      </w:r>
    </w:p>
    <w:bookmarkStart w:id="19" w:name="X4d1b1194ece0f3546f4c02ebf82f8ca5f0ea48e"/>
    <w:p>
      <w:pPr>
        <w:pStyle w:val="Heading2"/>
      </w:pPr>
      <w:r>
        <w:t xml:space="preserve">2.1 Phonetic compounds, readings and recensions</w:t>
      </w:r>
    </w:p>
    <w:p>
      <w:pPr>
        <w:pStyle w:val="FirstParagraph"/>
      </w:pPr>
      <w:r>
        <w:t xml:space="preserve">A phonetic series may hold words that extend the meaning of the phonetic’s word alongside words that have nothing in common with it but sound, because the phonetic was borrowed for them. The series of </w:t>
      </w:r>
      <w:r>
        <w:rPr>
          <w:rFonts w:hint="eastAsia"/>
        </w:rPr>
        <w:t xml:space="preserve">取</w:t>
      </w:r>
      <w:r>
        <w:t xml:space="preserve"> </w:t>
      </w:r>
      <w:r>
        <w:rPr>
          <w:i/>
          <w:iCs/>
        </w:rPr>
        <w:t xml:space="preserve">tshjuX</w:t>
      </w:r>
      <w:r>
        <w:t xml:space="preserve"> </w:t>
      </w:r>
      <w:r>
        <w:t xml:space="preserve">‘to take’</w:t>
      </w:r>
      <w:r>
        <w:t xml:space="preserve"> </w:t>
      </w:r>
      <w:r>
        <w:t xml:space="preserve">holds both: </w:t>
      </w:r>
      <w:r>
        <w:rPr>
          <w:rFonts w:hint="eastAsia"/>
        </w:rPr>
        <w:t xml:space="preserve">娶</w:t>
      </w:r>
      <w:r>
        <w:t xml:space="preserve"> </w:t>
      </w:r>
      <w:r>
        <w:rPr>
          <w:i/>
          <w:iCs/>
        </w:rPr>
        <w:t xml:space="preserve">tshjuH</w:t>
      </w:r>
      <w:r>
        <w:t xml:space="preserve"> </w:t>
      </w:r>
      <w:r>
        <w:t xml:space="preserve">‘to take a wife’</w:t>
      </w:r>
      <w:r>
        <w:t xml:space="preserve"> </w:t>
      </w:r>
      <w:r>
        <w:t xml:space="preserve">extends its meaning, whereas </w:t>
      </w:r>
      <w:r>
        <w:rPr>
          <w:rFonts w:hint="eastAsia"/>
        </w:rPr>
        <w:t xml:space="preserve">鯫</w:t>
      </w:r>
      <w:r>
        <w:t xml:space="preserve"> </w:t>
      </w:r>
      <w:r>
        <w:t xml:space="preserve">‘a white fish’</w:t>
      </w:r>
      <w:r>
        <w:t xml:space="preserve"> </w:t>
      </w:r>
      <w:r>
        <w:t xml:space="preserve">has no evident connection with taking. The</w:t>
      </w:r>
      <w:r>
        <w:t xml:space="preserve"> </w:t>
      </w:r>
      <w:r>
        <w:rPr>
          <w:i/>
          <w:iCs/>
        </w:rPr>
        <w:t xml:space="preserve">Shuōwén</w:t>
      </w:r>
      <w:r>
        <w:t xml:space="preserve"> </w:t>
      </w:r>
      <w:r>
        <w:t xml:space="preserve">analyses </w:t>
      </w:r>
      <w:r>
        <w:rPr>
          <w:rFonts w:hint="eastAsia"/>
        </w:rPr>
        <w:t xml:space="preserve">趣</w:t>
      </w:r>
      <w:r>
        <w:t xml:space="preserve"> </w:t>
      </w:r>
      <w:r>
        <w:t xml:space="preserve">‘to hasten’</w:t>
      </w:r>
      <w:r>
        <w:t xml:space="preserve"> </w:t>
      </w:r>
      <w:r>
        <w:t xml:space="preserve">as </w:t>
      </w:r>
      <w:r>
        <w:rPr>
          <w:rFonts w:hint="eastAsia"/>
        </w:rPr>
        <w:t xml:space="preserve">从走取聲</w:t>
      </w:r>
      <w:r>
        <w:t xml:space="preserve"> </w:t>
      </w:r>
      <w:r>
        <w:t xml:space="preserve">‘from </w:t>
      </w:r>
      <w:r>
        <w:rPr>
          <w:rFonts w:hint="eastAsia"/>
        </w:rPr>
        <w:t xml:space="preserve">走;</w:t>
      </w:r>
      <w:r>
        <w:t xml:space="preserve"> </w:t>
      </w:r>
      <w:r>
        <w:rPr>
          <w:rFonts w:hint="eastAsia"/>
        </w:rPr>
        <w:t xml:space="preserve">取</w:t>
      </w:r>
      <w:r>
        <w:t xml:space="preserve"> gives the sound’</w:t>
      </w:r>
      <w:r>
        <w:t xml:space="preserve"> </w:t>
      </w:r>
      <w:r>
        <w:t xml:space="preserve">and </w:t>
      </w:r>
      <w:r>
        <w:rPr>
          <w:rFonts w:hint="eastAsia"/>
        </w:rPr>
        <w:t xml:space="preserve">娶</w:t>
      </w:r>
      <w:r>
        <w:t xml:space="preserve"> as </w:t>
      </w:r>
      <w:r>
        <w:rPr>
          <w:rFonts w:hint="eastAsia"/>
        </w:rPr>
        <w:t xml:space="preserve">从女从取，取亦聲</w:t>
      </w:r>
      <w:r>
        <w:t xml:space="preserve"> </w:t>
      </w:r>
      <w:r>
        <w:t xml:space="preserve">‘from </w:t>
      </w:r>
      <w:r>
        <w:rPr>
          <w:rFonts w:hint="eastAsia"/>
        </w:rPr>
        <w:t xml:space="preserve">女</w:t>
      </w:r>
      <w:r>
        <w:t xml:space="preserve"> and from </w:t>
      </w:r>
      <w:r>
        <w:rPr>
          <w:rFonts w:hint="eastAsia"/>
        </w:rPr>
        <w:t xml:space="preserve">取;</w:t>
      </w:r>
      <w:r>
        <w:t xml:space="preserve"> </w:t>
      </w:r>
      <w:r>
        <w:rPr>
          <w:rFonts w:hint="eastAsia"/>
        </w:rPr>
        <w:t xml:space="preserve">取</w:t>
      </w:r>
      <w:r>
        <w:t xml:space="preserve"> also gives the sound’</w:t>
      </w:r>
      <w:r>
        <w:t xml:space="preserve">. The second formula is the label tested here, and the series shows why it cannot simply be read off the sound: </w:t>
      </w:r>
      <w:r>
        <w:rPr>
          <w:rFonts w:hint="eastAsia"/>
        </w:rPr>
        <w:t xml:space="preserve">趣</w:t>
      </w:r>
      <w:r>
        <w:t xml:space="preserve"> differs from </w:t>
      </w:r>
      <w:r>
        <w:rPr>
          <w:rFonts w:hint="eastAsia"/>
        </w:rPr>
        <w:t xml:space="preserve">取</w:t>
      </w:r>
      <w:r>
        <w:t xml:space="preserve"> in just the way </w:t>
      </w:r>
      <w:r>
        <w:rPr>
          <w:rFonts w:hint="eastAsia"/>
        </w:rPr>
        <w:t xml:space="preserve">娶</w:t>
      </w:r>
      <w:r>
        <w:t xml:space="preserve"> does, by the departing tone, but carries no label.</w:t>
      </w:r>
    </w:p>
    <w:p>
      <w:pPr>
        <w:pStyle w:val="BodyText"/>
      </w:pPr>
      <w:r>
        <w:t xml:space="preserve">MC readings are written in Baxter’s transcription (Baxter &amp; Sagart, 2014): -X marks the rising tone, -H the departing tone, and a syllable with neither is in the level tone or, if it ends in a stop, the entering tone. The OC forms are Baxter and Sagart’s reconstructions, which derive the rising tone from a final glottal stop *-ʔ and the departing tone largely from a suffix *-s; they write </w:t>
      </w:r>
      <w:r>
        <w:rPr>
          <w:rFonts w:hint="eastAsia"/>
        </w:rPr>
        <w:t xml:space="preserve">取</w:t>
      </w:r>
      <w:r>
        <w:t xml:space="preserve"> as *tsʰoʔ and </w:t>
      </w:r>
      <w:r>
        <w:rPr>
          <w:rFonts w:hint="eastAsia"/>
        </w:rPr>
        <w:t xml:space="preserve">娶,</w:t>
      </w:r>
      <w:r>
        <w:t xml:space="preserve"> with the suffix added, as *[ts]ʰoʔ-s (square brackets mark uncertain segments). A difference of MC tone can thus be the trace of a difference of derivation, which is why the departing tone matters below.</w:t>
      </w:r>
    </w:p>
    <w:p>
      <w:pPr>
        <w:pStyle w:val="BodyText"/>
      </w:pPr>
      <w:r>
        <w:t xml:space="preserve">Two recensions of the</w:t>
      </w:r>
      <w:r>
        <w:t xml:space="preserve"> </w:t>
      </w:r>
      <w:r>
        <w:rPr>
          <w:i/>
          <w:iCs/>
        </w:rPr>
        <w:t xml:space="preserve">Shuōwén</w:t>
      </w:r>
      <w:r>
        <w:t xml:space="preserve"> </w:t>
      </w:r>
      <w:r>
        <w:t xml:space="preserve">survive. The Dà Xú </w:t>
      </w:r>
      <w:r>
        <w:rPr>
          <w:rFonts w:hint="eastAsia"/>
        </w:rPr>
        <w:t xml:space="preserve">大徐</w:t>
      </w:r>
      <w:r>
        <w:t xml:space="preserve"> is the revision by Xu Xuan </w:t>
      </w:r>
      <w:r>
        <w:rPr>
          <w:rFonts w:hint="eastAsia"/>
        </w:rPr>
        <w:t xml:space="preserve">徐鉉</w:t>
      </w:r>
      <w:r>
        <w:t xml:space="preserve"> of 986 and the standard text; the Xiǎo Xú </w:t>
      </w:r>
      <w:r>
        <w:rPr>
          <w:rFonts w:hint="eastAsia"/>
        </w:rPr>
        <w:t xml:space="preserve">小徐</w:t>
      </w:r>
      <w:r>
        <w:t xml:space="preserve"> is the commentary edition of his brother Xu Kai </w:t>
      </w:r>
      <w:r>
        <w:rPr>
          <w:rFonts w:hint="eastAsia"/>
        </w:rPr>
        <w:t xml:space="preserve">徐鍇.</w:t>
      </w:r>
      <w:r>
        <w:t xml:space="preserve"> They differ in places, among them which characters carry the label (Section 3.1).</w:t>
      </w:r>
    </w:p>
    <w:bookmarkEnd w:id="19"/>
    <w:bookmarkStart w:id="20" w:name="X3629ca0989c67cb5e07442910b75b5559b9df83"/>
    <w:p>
      <w:pPr>
        <w:pStyle w:val="Heading2"/>
      </w:pPr>
      <w:r>
        <w:t xml:space="preserve">2.2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BodyText"/>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BodyText"/>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20"/>
    <w:bookmarkStart w:id="21" w:name="derivation-in-old-chinese"/>
    <w:p>
      <w:pPr>
        <w:pStyle w:val="Heading2"/>
      </w:pPr>
      <w:r>
        <w:t xml:space="preserve">2.3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BodyText"/>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21"/>
    <w:bookmarkStart w:id="22" w:name="X12ad8db4ba35cc53038dbfc0df125dcc9f40183"/>
    <w:p>
      <w:pPr>
        <w:pStyle w:val="Heading2"/>
      </w:pPr>
      <w:r>
        <w:t xml:space="preserve">2.4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BodyText"/>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BodyText"/>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22"/>
    <w:bookmarkStart w:id="23" w:name="four-accounts-and-their-predictions"/>
    <w:p>
      <w:pPr>
        <w:pStyle w:val="Heading2"/>
      </w:pPr>
      <w:r>
        <w:t xml:space="preserve">2.5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TableCaption"/>
      </w:pPr>
      <w:r>
        <w:rPr>
          <w:b/>
          <w:bCs/>
        </w:rPr>
        <w:t xml:space="preserve">Table 1</w:t>
      </w:r>
      <w:r>
        <w:t xml:space="preserve"> </w:t>
      </w:r>
      <w:r>
        <w:t xml:space="preserve">Predictions of four accounts of the label</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138"/>
        <w:gridCol w:w="1267"/>
        <w:gridCol w:w="1504"/>
        <w:gridCol w:w="1584"/>
        <w:gridCol w:w="1425"/>
      </w:tblGrid>
      <w:tr>
        <w:trPr>
          <w:tblHeader w:val="on"/>
          <w:cantSplit/>
        </w:trPr>
        <w:tc>
          <w:tcPr>
            <w:tcBorders>
              <w:bottom w:val="single" w:sz="4" w:space="0" w:color="000000"/>
            </w:tcBorders>
          </w:tcPr>
          <w:p>
            <w:pPr>
              <w:pStyle w:val="Compact"/>
              <w:keepNext/>
            </w:pPr>
          </w:p>
        </w:tc>
        <w:tc>
          <w:tcPr>
            <w:tcBorders>
              <w:bottom w:val="single" w:sz="4" w:space="0" w:color="000000"/>
            </w:tcBorders>
          </w:tcPr>
          <w:p>
            <w:pPr>
              <w:pStyle w:val="Compact"/>
              <w:keepNext/>
            </w:pPr>
            <w:r>
              <w:rPr>
                <w:b/>
                <w:sz w:val="18"/>
              </w:rPr>
              <w:t xml:space="preserve">(A) Meaning first</w:t>
            </w:r>
          </w:p>
        </w:tc>
        <w:tc>
          <w:tcPr>
            <w:tcBorders>
              <w:bottom w:val="single" w:sz="4" w:space="0" w:color="000000"/>
            </w:tcBorders>
          </w:tcPr>
          <w:p>
            <w:pPr>
              <w:pStyle w:val="Compact"/>
              <w:keepNext/>
            </w:pPr>
            <w:r>
              <w:rPr>
                <w:b/>
                <w:sz w:val="18"/>
              </w:rPr>
              <w:t xml:space="preserve">(B) General derivation</w:t>
            </w:r>
          </w:p>
        </w:tc>
        <w:tc>
          <w:tcPr>
            <w:tcBorders>
              <w:bottom w:val="single" w:sz="4" w:space="0" w:color="000000"/>
            </w:tcBorders>
          </w:tcPr>
          <w:p>
            <w:pPr>
              <w:pStyle w:val="Compact"/>
              <w:keepNext/>
            </w:pPr>
            <w:r>
              <w:rPr>
                <w:b/>
                <w:sz w:val="18"/>
              </w:rPr>
              <w:t xml:space="preserve">(C) Same word or minimal derivative</w:t>
            </w:r>
          </w:p>
        </w:tc>
        <w:tc>
          <w:tcPr>
            <w:tcBorders>
              <w:bottom w:val="single" w:sz="4" w:space="0" w:color="000000"/>
            </w:tcBorders>
          </w:tcPr>
          <w:p>
            <w:pPr>
              <w:pStyle w:val="Compact"/>
              <w:keepNext/>
            </w:pPr>
            <w:r>
              <w:rPr>
                <w:b/>
                <w:sz w:val="18"/>
              </w:rPr>
              <w:t xml:space="preserve">(D) Systematicity</w:t>
            </w:r>
          </w:p>
        </w:tc>
      </w:tr>
      <w:tr>
        <w:trPr>
          <w:cantSplit/>
        </w:trPr>
        <w:tc>
          <w:tcPr/>
          <w:p>
            <w:pPr>
              <w:pStyle w:val="Compact"/>
              <w:keepNext/>
            </w:pPr>
            <w:r>
              <w:rPr>
                <w:sz w:val="18"/>
              </w:rPr>
              <w:t xml:space="preserve">Identity of sound (H1a)</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Departing-tone alternation (H1c, step 1)</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Other alternations (H1b without the departing tone)</w:t>
            </w:r>
          </w:p>
        </w:tc>
        <w:tc>
          <w:tcPr/>
          <w:p>
            <w:pPr>
              <w:pStyle w:val="Compact"/>
              <w:keepNext/>
            </w:pPr>
            <w:r>
              <w:rPr>
                <w:sz w:val="18"/>
              </w:rPr>
              <w:t xml:space="preserve">0</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0</w:t>
            </w:r>
          </w:p>
        </w:tc>
        <w:tc>
          <w:tcPr/>
          <w:p>
            <w:pPr>
              <w:pStyle w:val="Compact"/>
              <w:keepNext/>
            </w:pPr>
            <w:r>
              <w:rPr>
                <w:sz w:val="18"/>
              </w:rPr>
              <w:t xml:space="preserve">small</w:t>
            </w:r>
          </w:p>
        </w:tc>
      </w:tr>
      <w:tr>
        <w:trPr>
          <w:cantSplit/>
        </w:trPr>
        <w:tc>
          <w:tcPr/>
          <w:p>
            <w:pPr>
              <w:pStyle w:val="Compact"/>
              <w:keepNext/>
            </w:pPr>
            <w:r>
              <w:rPr>
                <w:sz w:val="18"/>
              </w:rPr>
              <w:t xml:space="preserve">Relatedness of meaning (H2)</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Direction of *-s pairs</w:t>
            </w:r>
          </w:p>
        </w:tc>
        <w:tc>
          <w:tcPr/>
          <w:p>
            <w:pPr>
              <w:pStyle w:val="Compact"/>
              <w:keepNext/>
            </w:pPr>
            <w:r>
              <w:rPr>
                <w:sz w:val="18"/>
              </w:rPr>
              <w:t xml:space="preserve">–</w:t>
            </w:r>
          </w:p>
        </w:tc>
        <w:tc>
          <w:tcPr/>
          <w:p>
            <w:pPr>
              <w:pStyle w:val="Compact"/>
              <w:keepNext/>
            </w:pPr>
            <w:r>
              <w:rPr>
                <w:sz w:val="18"/>
              </w:rPr>
              <w:t xml:space="preserve">label picks the derived member</w:t>
            </w:r>
          </w:p>
        </w:tc>
        <w:tc>
          <w:tcPr/>
          <w:p>
            <w:pPr>
              <w:pStyle w:val="Compact"/>
              <w:keepNext/>
            </w:pPr>
            <w:r>
              <w:rPr>
                <w:sz w:val="18"/>
              </w:rPr>
              <w:t xml:space="preserve">no difference</w:t>
            </w:r>
          </w:p>
        </w:tc>
        <w:tc>
          <w:tcPr/>
          <w:p>
            <w:pPr>
              <w:pStyle w:val="Compact"/>
              <w:keepNext/>
            </w:pPr>
            <w:r>
              <w:rPr>
                <w:sz w:val="18"/>
              </w:rPr>
              <w:t xml:space="preserve">–</w:t>
            </w:r>
          </w:p>
        </w:tc>
      </w:tr>
      <w:tr>
        <w:trPr>
          <w:cantSplit/>
        </w:trPr>
        <w:tc>
          <w:tcPr/>
          <w:p>
            <w:pPr>
              <w:pStyle w:val="Compact"/>
            </w:pPr>
            <w:r>
              <w:rPr>
                <w:sz w:val="18"/>
              </w:rPr>
              <w:t xml:space="preserve">Sound among related pairs</w:t>
            </w:r>
          </w:p>
        </w:tc>
        <w:tc>
          <w:tcPr/>
          <w:p>
            <w:pPr>
              <w:pStyle w:val="Compact"/>
            </w:pPr>
            <w:r>
              <w:rPr>
                <w:sz w:val="18"/>
              </w:rPr>
              <w:t xml:space="preserve">no difference</w:t>
            </w:r>
          </w:p>
        </w:tc>
        <w:tc>
          <w:tcPr/>
          <w:p>
            <w:pPr>
              <w:pStyle w:val="Compact"/>
            </w:pPr>
            <w:r>
              <w:rPr>
                <w:sz w:val="18"/>
              </w:rPr>
              <w:t xml:space="preserve">+</w:t>
            </w:r>
          </w:p>
        </w:tc>
        <w:tc>
          <w:tcPr/>
          <w:p>
            <w:pPr>
              <w:pStyle w:val="Compact"/>
            </w:pPr>
            <w:r>
              <w:rPr>
                <w:sz w:val="18"/>
              </w:rPr>
              <w:t xml:space="preserve">+</w:t>
            </w:r>
          </w:p>
        </w:tc>
        <w:tc>
          <w:tcPr/>
          <w:p>
            <w:pPr>
              <w:pStyle w:val="Compact"/>
            </w:pPr>
            <w:r>
              <w:rPr>
                <w:sz w:val="18"/>
              </w:rPr>
              <w:t xml:space="preserve">–</w:t>
            </w:r>
          </w:p>
        </w:tc>
      </w:tr>
    </w:tbl>
    <w:p>
      <w:pPr>
        <w:pStyle w:val="TableNote"/>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3.4). H1c as stated combines (B)’s claim about the derived member with (C)’s claim about *-s; Section 4.2 separates the two.</w:t>
      </w:r>
    </w:p>
    <w:bookmarkEnd w:id="23"/>
    <w:bookmarkEnd w:id="24"/>
    <w:bookmarkStart w:id="31" w:name="data-and-method"/>
    <w:p>
      <w:pPr>
        <w:pStyle w:val="Heading1"/>
      </w:pPr>
      <w:r>
        <w:t xml:space="preserve">3 Data and method</w:t>
      </w:r>
    </w:p>
    <w:bookmarkStart w:id="25" w:name="population-and-comparison-group"/>
    <w:p>
      <w:pPr>
        <w:pStyle w:val="Heading2"/>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 The files that accompany the paper are listed under Supplementary Information: Online Resource 1 is a guide to them, and Online Resource 2 holds the extracted pairs with their readings and flags, the collation with the Xiǎo Xú and the register of the 104 checked entries.</w:t>
      </w:r>
    </w:p>
    <w:p>
      <w:pPr>
        <w:pStyle w:val="TableCaption"/>
      </w:pPr>
      <w:r>
        <w:rPr>
          <w:b/>
          <w:bCs/>
        </w:rPr>
        <w:t xml:space="preserve">Table 2</w:t>
      </w:r>
      <w:r>
        <w:t xml:space="preserve"> </w:t>
      </w:r>
      <w:r>
        <w:t xml:space="preserve">Population and subsets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4873"/>
        <w:gridCol w:w="990"/>
        <w:gridCol w:w="990"/>
        <w:gridCol w:w="1066"/>
      </w:tblGrid>
      <w:tr>
        <w:trPr>
          <w:tblHeader w:val="on"/>
          <w:cantSplit/>
        </w:trPr>
        <w:tc>
          <w:tcPr>
            <w:tcBorders>
              <w:bottom w:val="single" w:sz="4" w:space="0" w:color="000000"/>
            </w:tcBorders>
          </w:tcPr>
          <w:p>
            <w:pPr>
              <w:pStyle w:val="Compact"/>
              <w:keepNext/>
            </w:pPr>
            <w:r>
              <w:rPr>
                <w:b/>
                <w:sz w:val="18"/>
              </w:rPr>
              <w:t xml:space="preserve">Set</w:t>
            </w:r>
          </w:p>
        </w:tc>
        <w:tc>
          <w:tcPr>
            <w:tcBorders>
              <w:bottom w:val="single" w:sz="4" w:space="0" w:color="000000"/>
            </w:tcBorders>
          </w:tcPr>
          <w:p>
            <w:pPr>
              <w:pStyle w:val="Compact"/>
              <w:keepNext/>
              <w:jc w:val="right"/>
            </w:pPr>
            <w:r>
              <w:rPr>
                <w:b/>
                <w:sz w:val="18"/>
              </w:rPr>
              <w:t xml:space="preserve">Labelled</w:t>
            </w:r>
          </w:p>
        </w:tc>
        <w:tc>
          <w:tcPr>
            <w:tcBorders>
              <w:bottom w:val="single" w:sz="4" w:space="0" w:color="000000"/>
            </w:tcBorders>
          </w:tcPr>
          <w:p>
            <w:pPr>
              <w:pStyle w:val="Compact"/>
              <w:keepNext/>
              <w:jc w:val="right"/>
            </w:pPr>
            <w:r>
              <w:rPr>
                <w:b/>
                <w:sz w:val="18"/>
              </w:rPr>
              <w:t xml:space="preserve">Ordinary</w:t>
            </w:r>
          </w:p>
        </w:tc>
        <w:tc>
          <w:tcPr>
            <w:tcBorders>
              <w:bottom w:val="single" w:sz="4" w:space="0" w:color="000000"/>
            </w:tcBorders>
          </w:tcPr>
          <w:p>
            <w:pPr>
              <w:pStyle w:val="Compact"/>
              <w:keepNext/>
              <w:jc w:val="right"/>
            </w:pPr>
            <w:r>
              <w:rPr>
                <w:b/>
                <w:sz w:val="18"/>
              </w:rPr>
              <w:t xml:space="preserve">Phonetics</w:t>
            </w:r>
          </w:p>
        </w:tc>
      </w:tr>
      <w:tr>
        <w:trPr>
          <w:cantSplit/>
        </w:trPr>
        <w:tc>
          <w:tcPr/>
          <w:p>
            <w:pPr>
              <w:pStyle w:val="Compact"/>
              <w:keepNext/>
            </w:pPr>
            <w:r>
              <w:rPr>
                <w:sz w:val="18"/>
              </w:rPr>
              <w:t xml:space="preserve">Dà Xú head entries containing </w:t>
            </w:r>
            <w:r>
              <w:rPr>
                <w:rFonts w:hint="eastAsia"/>
                <w:sz w:val="18"/>
              </w:rPr>
              <w:t xml:space="preserve">亦聲</w:t>
            </w:r>
          </w:p>
        </w:tc>
        <w:tc>
          <w:tcPr/>
          <w:p>
            <w:pPr>
              <w:pStyle w:val="Compact"/>
              <w:keepNext/>
              <w:jc w:val="right"/>
            </w:pPr>
            <w:r>
              <w:rPr>
                <w:sz w:val="18"/>
              </w:rPr>
              <w:t xml:space="preserve">227</w:t>
            </w:r>
          </w:p>
        </w:tc>
        <w:tc>
          <w:tcPr/>
          <w:p>
            <w:pPr>
              <w:pStyle w:val="Compact"/>
              <w:keepNext/>
            </w:pPr>
          </w:p>
        </w:tc>
        <w:tc>
          <w:tcPr/>
          <w:p>
            <w:pPr>
              <w:pStyle w:val="Compact"/>
              <w:keepNext/>
            </w:pPr>
          </w:p>
        </w:tc>
      </w:tr>
      <w:tr>
        <w:trPr>
          <w:cantSplit/>
        </w:trPr>
        <w:tc>
          <w:tcPr/>
          <w:p>
            <w:pPr>
              <w:pStyle w:val="Compact"/>
              <w:keepNext/>
            </w:pPr>
            <w:r>
              <w:rPr>
                <w:sz w:val="18"/>
              </w:rPr>
              <w:t xml:space="preserve">Analysis set (minus 4 false hits and 11</w:t>
            </w:r>
            <w:r>
              <w:rPr>
                <w:sz w:val="18"/>
              </w:rPr>
              <w:t xml:space="preserve"> </w:t>
            </w:r>
            <w:r>
              <w:rPr>
                <w:i/>
                <w:iCs/>
                <w:sz w:val="18"/>
              </w:rPr>
              <w:t xml:space="preserve">xīnfù</w:t>
            </w:r>
            <w:r>
              <w:rPr>
                <w:sz w:val="18"/>
              </w:rPr>
              <w:t xml:space="preserve">)</w:t>
            </w:r>
          </w:p>
        </w:tc>
        <w:tc>
          <w:tcPr/>
          <w:p>
            <w:pPr>
              <w:pStyle w:val="Compact"/>
              <w:keepNext/>
              <w:jc w:val="right"/>
            </w:pPr>
            <w:r>
              <w:rPr>
                <w:sz w:val="18"/>
              </w:rPr>
              <w:t xml:space="preserve">212</w:t>
            </w:r>
          </w:p>
        </w:tc>
        <w:tc>
          <w:tcPr/>
          <w:p>
            <w:pPr>
              <w:pStyle w:val="Compact"/>
              <w:keepNext/>
              <w:jc w:val="right"/>
            </w:pPr>
            <w:r>
              <w:rPr>
                <w:sz w:val="18"/>
              </w:rPr>
              <w:t xml:space="preserve">953</w:t>
            </w:r>
          </w:p>
        </w:tc>
        <w:tc>
          <w:tcPr/>
          <w:p>
            <w:pPr>
              <w:pStyle w:val="Compact"/>
              <w:keepNext/>
              <w:jc w:val="right"/>
            </w:pPr>
            <w:r>
              <w:rPr>
                <w:sz w:val="18"/>
              </w:rPr>
              <w:t xml:space="preserve">172</w:t>
            </w:r>
          </w:p>
        </w:tc>
      </w:tr>
      <w:tr>
        <w:trPr>
          <w:cantSplit/>
        </w:trPr>
        <w:tc>
          <w:tcPr/>
          <w:p>
            <w:pPr>
              <w:pStyle w:val="Compact"/>
              <w:keepNext/>
            </w:pPr>
            <w:r>
              <w:rPr>
                <w:sz w:val="18"/>
              </w:rPr>
              <w:t xml:space="preserve">Pairs with MC readings at both ends</w:t>
            </w:r>
          </w:p>
        </w:tc>
        <w:tc>
          <w:tcPr/>
          <w:p>
            <w:pPr>
              <w:pStyle w:val="Compact"/>
              <w:keepNext/>
              <w:jc w:val="right"/>
            </w:pPr>
            <w:r>
              <w:rPr>
                <w:sz w:val="18"/>
              </w:rPr>
              <w:t xml:space="preserve">177</w:t>
            </w:r>
          </w:p>
        </w:tc>
        <w:tc>
          <w:tcPr/>
          <w:p>
            <w:pPr>
              <w:pStyle w:val="Compact"/>
              <w:keepNext/>
              <w:jc w:val="right"/>
            </w:pPr>
            <w:r>
              <w:rPr>
                <w:sz w:val="18"/>
              </w:rPr>
              <w:t xml:space="preserve">858</w:t>
            </w:r>
          </w:p>
        </w:tc>
        <w:tc>
          <w:tcPr/>
          <w:p>
            <w:pPr>
              <w:pStyle w:val="Compact"/>
              <w:keepNext/>
              <w:jc w:val="right"/>
            </w:pPr>
            <w:r>
              <w:rPr>
                <w:sz w:val="18"/>
              </w:rPr>
              <w:t xml:space="preserve">152</w:t>
            </w:r>
          </w:p>
        </w:tc>
      </w:tr>
      <w:tr>
        <w:trPr>
          <w:cantSplit/>
        </w:trPr>
        <w:tc>
          <w:tcPr/>
          <w:p>
            <w:pPr>
              <w:pStyle w:val="Compact"/>
              <w:keepNext/>
            </w:pPr>
            <w:r>
              <w:rPr>
                <w:sz w:val="18"/>
              </w:rPr>
              <w:t xml:space="preserve">Pairs with Baxter–Sagart OC forms at both ends</w:t>
            </w:r>
          </w:p>
        </w:tc>
        <w:tc>
          <w:tcPr/>
          <w:p>
            <w:pPr>
              <w:pStyle w:val="Compact"/>
              <w:keepNext/>
              <w:jc w:val="right"/>
            </w:pPr>
            <w:r>
              <w:rPr>
                <w:sz w:val="18"/>
              </w:rPr>
              <w:t xml:space="preserve">60</w:t>
            </w:r>
          </w:p>
        </w:tc>
        <w:tc>
          <w:tcPr/>
          <w:p>
            <w:pPr>
              <w:pStyle w:val="Compact"/>
              <w:keepNext/>
              <w:jc w:val="right"/>
            </w:pPr>
            <w:r>
              <w:rPr>
                <w:sz w:val="18"/>
              </w:rPr>
              <w:t xml:space="preserve">249</w:t>
            </w:r>
          </w:p>
        </w:tc>
        <w:tc>
          <w:tcPr/>
          <w:p>
            <w:pPr>
              <w:pStyle w:val="Compact"/>
              <w:keepNext/>
            </w:pPr>
          </w:p>
        </w:tc>
      </w:tr>
      <w:tr>
        <w:trPr>
          <w:cantSplit/>
        </w:trPr>
        <w:tc>
          <w:tcPr/>
          <w:p>
            <w:pPr>
              <w:pStyle w:val="Compact"/>
              <w:keepNext/>
            </w:pPr>
            <w:r>
              <w:rPr>
                <w:sz w:val="18"/>
              </w:rPr>
              <w:t xml:space="preserve">First blind semantic sample, proper names excluded</w:t>
            </w:r>
          </w:p>
        </w:tc>
        <w:tc>
          <w:tcPr/>
          <w:p>
            <w:pPr>
              <w:pStyle w:val="Compact"/>
              <w:keepNext/>
              <w:jc w:val="right"/>
            </w:pPr>
            <w:r>
              <w:rPr>
                <w:sz w:val="18"/>
              </w:rPr>
              <w:t xml:space="preserve">33</w:t>
            </w:r>
          </w:p>
        </w:tc>
        <w:tc>
          <w:tcPr/>
          <w:p>
            <w:pPr>
              <w:pStyle w:val="Compact"/>
              <w:keepNext/>
              <w:jc w:val="right"/>
            </w:pPr>
            <w:r>
              <w:rPr>
                <w:sz w:val="18"/>
              </w:rPr>
              <w:t xml:space="preserve">50</w:t>
            </w:r>
          </w:p>
        </w:tc>
        <w:tc>
          <w:tcPr/>
          <w:p>
            <w:pPr>
              <w:pStyle w:val="Compact"/>
              <w:keepNext/>
            </w:pPr>
          </w:p>
        </w:tc>
      </w:tr>
      <w:tr>
        <w:trPr>
          <w:cantSplit/>
        </w:trPr>
        <w:tc>
          <w:tcPr/>
          <w:p>
            <w:pPr>
              <w:pStyle w:val="Compact"/>
              <w:keepNext/>
            </w:pPr>
            <w:r>
              <w:rPr>
                <w:sz w:val="18"/>
              </w:rPr>
              <w:t xml:space="preserve">Enlarged blind coding: pairs coded, including the first-sample items in the frame</w:t>
            </w:r>
          </w:p>
        </w:tc>
        <w:tc>
          <w:tcPr/>
          <w:p>
            <w:pPr>
              <w:pStyle w:val="Compact"/>
              <w:keepNext/>
              <w:jc w:val="right"/>
            </w:pPr>
            <w:r>
              <w:rPr>
                <w:sz w:val="18"/>
              </w:rPr>
              <w:t xml:space="preserve">212</w:t>
            </w:r>
          </w:p>
        </w:tc>
        <w:tc>
          <w:tcPr/>
          <w:p>
            <w:pPr>
              <w:pStyle w:val="Compact"/>
              <w:keepNext/>
              <w:jc w:val="right"/>
            </w:pPr>
            <w:r>
              <w:rPr>
                <w:sz w:val="18"/>
              </w:rPr>
              <w:t xml:space="preserve">555</w:t>
            </w:r>
          </w:p>
        </w:tc>
        <w:tc>
          <w:tcPr/>
          <w:p>
            <w:pPr>
              <w:pStyle w:val="Compact"/>
              <w:keepNext/>
            </w:pPr>
          </w:p>
        </w:tc>
      </w:tr>
      <w:tr>
        <w:trPr>
          <w:cantSplit/>
        </w:trPr>
        <w:tc>
          <w:tcPr/>
          <w:p>
            <w:pPr>
              <w:pStyle w:val="Compact"/>
            </w:pPr>
            <w:r>
              <w:rPr>
                <w:sz w:val="18"/>
              </w:rPr>
              <w:t xml:space="preserve">Enlarged blind coding: MC pairs, proper names excluded (enter the tests)</w:t>
            </w:r>
          </w:p>
        </w:tc>
        <w:tc>
          <w:tcPr/>
          <w:p>
            <w:pPr>
              <w:pStyle w:val="Compact"/>
              <w:jc w:val="right"/>
            </w:pPr>
            <w:r>
              <w:rPr>
                <w:sz w:val="18"/>
              </w:rPr>
              <w:t xml:space="preserve">172</w:t>
            </w:r>
          </w:p>
        </w:tc>
        <w:tc>
          <w:tcPr/>
          <w:p>
            <w:pPr>
              <w:pStyle w:val="Compact"/>
              <w:jc w:val="right"/>
            </w:pPr>
            <w:r>
              <w:rPr>
                <w:sz w:val="18"/>
              </w:rPr>
              <w:t xml:space="preserve">462</w:t>
            </w:r>
          </w:p>
        </w:tc>
        <w:tc>
          <w:tcPr/>
          <w:p>
            <w:pPr>
              <w:pStyle w:val="Compact"/>
              <w:jc w:val="right"/>
            </w:pPr>
            <w:r>
              <w:rPr>
                <w:sz w:val="18"/>
              </w:rPr>
              <w:t xml:space="preserve">150</w:t>
            </w:r>
          </w:p>
        </w:tc>
      </w:tr>
    </w:tbl>
    <w:p>
      <w:pPr>
        <w:pStyle w:val="BodyText"/>
        <w:spacing w:before="16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The unit of analysis is the pair formed by a compound and its phonetic. In the series of </w:t>
      </w:r>
      <w:r>
        <w:rPr>
          <w:rFonts w:hint="eastAsia"/>
        </w:rPr>
        <w:t xml:space="preserve">賓</w:t>
      </w:r>
      <w:r>
        <w:t xml:space="preserve"> (Section 1), for example, the labelled </w:t>
      </w:r>
      <w:r>
        <w:rPr>
          <w:rFonts w:hint="eastAsia"/>
        </w:rPr>
        <w:t xml:space="preserve">殯</w:t>
      </w:r>
      <w:r>
        <w:t xml:space="preserve"> and the ordinary </w:t>
      </w:r>
      <w:r>
        <w:rPr>
          <w:rFonts w:hint="eastAsia"/>
        </w:rPr>
        <w:t xml:space="preserve">鬢,</w:t>
      </w:r>
      <w:r>
        <w:t xml:space="preserve"> </w:t>
      </w:r>
      <w:r>
        <w:rPr>
          <w:rFonts w:hint="eastAsia"/>
        </w:rPr>
        <w:t xml:space="preserve">儐</w:t>
      </w:r>
      <w:r>
        <w:t xml:space="preserve"> and 䚔 all differ from the phonetic by the departing tone alone; the question is whether, across all series, labelled pairs fall into such relations more often than their ordinary neighbours.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BodyText"/>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judgment unless the collation shows otherwise. This is the first of three bridging assumptions, and the 140 shared labels test it against the Song editors, though not against earlier transmission.</w:t>
      </w:r>
    </w:p>
    <w:bookmarkEnd w:id="25"/>
    <w:bookmarkStart w:id="26" w:name="sound"/>
    <w:p>
      <w:pPr>
        <w:pStyle w:val="Heading2"/>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BodyText"/>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BodyText"/>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26"/>
    <w:bookmarkStart w:id="27" w:name="meaning-the-coding-scheme"/>
    <w:p>
      <w:pPr>
        <w:pStyle w:val="Heading2"/>
      </w:pPr>
      <w:r>
        <w:t xml:space="preserve">3.3 Meaning: the coding scheme</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BodyText"/>
      </w:pPr>
      <w:r>
        <w:t xml:space="preserve">Relatedness of meaning was coded from the glosses alone. Each item shows the member and the phonetic with their</w:t>
      </w:r>
      <w:r>
        <w:t xml:space="preserve"> </w:t>
      </w:r>
      <w:r>
        <w:rPr>
          <w:i/>
          <w:iCs/>
        </w:rPr>
        <w:t xml:space="preserve">Shuōwén</w:t>
      </w:r>
      <w:r>
        <w:t xml:space="preserve"> </w:t>
      </w:r>
      <w:r>
        <w:t xml:space="preserve">glosses, stripped of the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and the coder judges the relation between their basic meanings </w:t>
      </w:r>
      <w:r>
        <w:rPr>
          <w:rFonts w:hint="eastAsia"/>
        </w:rPr>
        <w:t xml:space="preserve">(本義):</w:t>
      </w:r>
      <w:r>
        <w:t xml:space="preserve"> Y, the same or a near-synonymous meaning; E, a connection through one step of extension or inference; N, no visible relation; or X, a proper name, which is set aside (Table 3). The instructions confine the judgment to basic meanings, treat a pun-style gloss (as </w:t>
      </w:r>
      <w:r>
        <w:rPr>
          <w:rFonts w:hint="eastAsia"/>
        </w:rPr>
        <w:t xml:space="preserve">狗</w:t>
      </w:r>
      <w:r>
        <w:t xml:space="preserve"> </w:t>
      </w:r>
      <w:r>
        <w:t xml:space="preserve">‘dog’</w:t>
      </w:r>
      <w:r>
        <w:t xml:space="preserve"> </w:t>
      </w:r>
      <w:r>
        <w:t xml:space="preserve">glossed </w:t>
      </w:r>
      <w:r>
        <w:rPr>
          <w:rFonts w:hint="eastAsia"/>
        </w:rPr>
        <w:t xml:space="preserve">叩也</w:t>
      </w:r>
      <w:r>
        <w:t xml:space="preserve"> </w:t>
      </w:r>
      <w:r>
        <w:t xml:space="preserve">‘to knock’</w:t>
      </w:r>
      <w:r>
        <w:t xml:space="preserve">) as no evidence of a relation, ask for a confidence from 1 to 3, tell the coder to choose the weaker code when in doubt (E rather than Y, N rather than E), and forbid any attempt to recall whether Xu labels the character. Pairs coded Y or E count as related.</w:t>
      </w:r>
    </w:p>
    <w:p>
      <w:pPr>
        <w:pStyle w:val="TableCaption"/>
      </w:pPr>
      <w:r>
        <w:rPr>
          <w:b/>
          <w:bCs/>
        </w:rPr>
        <w:t xml:space="preserve">Table 3</w:t>
      </w:r>
      <w:r>
        <w:t xml:space="preserve"> </w:t>
      </w:r>
      <w:r>
        <w:t xml:space="preserve">The coding scheme, with pairs from the enlarged coding on which both passes agreed with confidence 3</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560"/>
        <w:gridCol w:w="3120"/>
        <w:gridCol w:w="2320"/>
        <w:gridCol w:w="1920"/>
      </w:tblGrid>
      <w:tr>
        <w:trPr>
          <w:tblHeader w:val="on"/>
          <w:cantSplit/>
        </w:trPr>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Relation between the basic meanings</w:t>
            </w:r>
          </w:p>
        </w:tc>
        <w:tc>
          <w:tcPr>
            <w:tcBorders>
              <w:bottom w:val="single" w:sz="4" w:space="0" w:color="000000"/>
            </w:tcBorders>
          </w:tcPr>
          <w:p>
            <w:pPr>
              <w:pStyle w:val="Compact"/>
              <w:keepNext/>
            </w:pPr>
            <w:r>
              <w:rPr>
                <w:b/>
                <w:sz w:val="18"/>
              </w:rPr>
              <w:t xml:space="preserve">Labelled pair</w:t>
            </w:r>
          </w:p>
        </w:tc>
        <w:tc>
          <w:tcPr>
            <w:tcBorders>
              <w:bottom w:val="single" w:sz="4" w:space="0" w:color="000000"/>
            </w:tcBorders>
          </w:tcPr>
          <w:p>
            <w:pPr>
              <w:pStyle w:val="Compact"/>
              <w:keepNext/>
            </w:pPr>
            <w:r>
              <w:rPr>
                <w:b/>
                <w:sz w:val="18"/>
              </w:rPr>
              <w:t xml:space="preserve">Ordinary pair</w:t>
            </w:r>
          </w:p>
        </w:tc>
      </w:tr>
      <w:tr>
        <w:trPr>
          <w:cantSplit/>
        </w:trPr>
        <w:tc>
          <w:tcPr/>
          <w:p>
            <w:pPr>
              <w:pStyle w:val="Compact"/>
              <w:keepNext/>
            </w:pPr>
            <w:r>
              <w:rPr>
                <w:sz w:val="18"/>
              </w:rPr>
              <w:t xml:space="preserve">Y</w:t>
            </w:r>
          </w:p>
        </w:tc>
        <w:tc>
          <w:tcPr/>
          <w:p>
            <w:pPr>
              <w:pStyle w:val="Compact"/>
              <w:keepNext/>
            </w:pPr>
            <w:r>
              <w:rPr>
                <w:sz w:val="18"/>
              </w:rPr>
              <w:t xml:space="preserve">same or near-synonymous (the instructions’ example: </w:t>
            </w:r>
            <w:r>
              <w:rPr>
                <w:rFonts w:hint="eastAsia"/>
                <w:sz w:val="18"/>
              </w:rPr>
              <w:t xml:space="preserve">厓</w:t>
            </w:r>
            <w:r>
              <w:rPr>
                <w:sz w:val="18"/>
              </w:rPr>
              <w:t xml:space="preserve"> </w:t>
            </w:r>
            <w:r>
              <w:rPr>
                <w:rFonts w:hint="eastAsia"/>
                <w:sz w:val="18"/>
              </w:rPr>
              <w:t xml:space="preserve">山邊也</w:t>
            </w:r>
            <w:r>
              <w:rPr>
                <w:sz w:val="18"/>
              </w:rPr>
              <w:t xml:space="preserve"> / </w:t>
            </w:r>
            <w:r>
              <w:rPr>
                <w:rFonts w:hint="eastAsia"/>
                <w:sz w:val="18"/>
              </w:rPr>
              <w:t xml:space="preserve">涯</w:t>
            </w:r>
            <w:r>
              <w:rPr>
                <w:sz w:val="18"/>
              </w:rPr>
              <w:t xml:space="preserve"> </w:t>
            </w:r>
            <w:r>
              <w:rPr>
                <w:rFonts w:hint="eastAsia"/>
                <w:sz w:val="18"/>
              </w:rPr>
              <w:t xml:space="preserve">水邊也)</w:t>
            </w:r>
          </w:p>
        </w:tc>
        <w:tc>
          <w:tcPr/>
          <w:p>
            <w:pPr>
              <w:pStyle w:val="Compact"/>
              <w:keepNext/>
            </w:pPr>
            <w:r>
              <w:rPr>
                <w:rFonts w:hint="eastAsia"/>
                <w:sz w:val="18"/>
              </w:rPr>
              <w:t xml:space="preserve">傾</w:t>
            </w:r>
            <w:r>
              <w:rPr>
                <w:sz w:val="18"/>
              </w:rPr>
              <w:t xml:space="preserve"> </w:t>
            </w:r>
            <w:r>
              <w:rPr>
                <w:rFonts w:hint="eastAsia"/>
                <w:sz w:val="18"/>
              </w:rPr>
              <w:t xml:space="preserve">仄也</w:t>
            </w:r>
            <w:r>
              <w:rPr>
                <w:sz w:val="18"/>
              </w:rPr>
              <w:t xml:space="preserve"> </w:t>
            </w:r>
            <w:r>
              <w:rPr>
                <w:sz w:val="18"/>
              </w:rPr>
              <w:t xml:space="preserve">‘slanting’</w:t>
            </w:r>
            <w:r>
              <w:rPr>
                <w:sz w:val="18"/>
              </w:rPr>
              <w:t xml:space="preserve"> </w:t>
            </w:r>
            <w:r>
              <w:rPr>
                <w:sz w:val="18"/>
              </w:rPr>
              <w:t xml:space="preserve">/ </w:t>
            </w:r>
            <w:r>
              <w:rPr>
                <w:rFonts w:hint="eastAsia"/>
                <w:sz w:val="18"/>
              </w:rPr>
              <w:t xml:space="preserve">頃</w:t>
            </w:r>
            <w:r>
              <w:rPr>
                <w:sz w:val="18"/>
              </w:rPr>
              <w:t xml:space="preserve"> </w:t>
            </w:r>
            <w:r>
              <w:rPr>
                <w:rFonts w:hint="eastAsia"/>
                <w:sz w:val="18"/>
              </w:rPr>
              <w:t xml:space="preserve">頭不正也</w:t>
            </w:r>
            <w:r>
              <w:rPr>
                <w:sz w:val="18"/>
              </w:rPr>
              <w:t xml:space="preserve"> </w:t>
            </w:r>
            <w:r>
              <w:rPr>
                <w:sz w:val="18"/>
              </w:rPr>
              <w:t xml:space="preserve">‘head not straight’</w:t>
            </w:r>
          </w:p>
        </w:tc>
        <w:tc>
          <w:tcPr/>
          <w:p>
            <w:pPr>
              <w:pStyle w:val="Compact"/>
              <w:keepNext/>
            </w:pPr>
            <w:r>
              <w:rPr>
                <w:rFonts w:hint="eastAsia"/>
                <w:sz w:val="18"/>
              </w:rPr>
              <w:t xml:space="preserve">僎</w:t>
            </w:r>
            <w:r>
              <w:rPr>
                <w:sz w:val="18"/>
              </w:rPr>
              <w:t xml:space="preserve"> </w:t>
            </w:r>
            <w:r>
              <w:rPr>
                <w:rFonts w:hint="eastAsia"/>
                <w:sz w:val="18"/>
              </w:rPr>
              <w:t xml:space="preserve">具也</w:t>
            </w:r>
            <w:r>
              <w:rPr>
                <w:sz w:val="18"/>
              </w:rPr>
              <w:t xml:space="preserve"> </w:t>
            </w:r>
            <w:r>
              <w:rPr>
                <w:sz w:val="18"/>
              </w:rPr>
              <w:t xml:space="preserve">‘to provide’</w:t>
            </w:r>
            <w:r>
              <w:rPr>
                <w:sz w:val="18"/>
              </w:rPr>
              <w:t xml:space="preserve"> </w:t>
            </w:r>
            <w:r>
              <w:rPr>
                <w:sz w:val="18"/>
              </w:rPr>
              <w:t xml:space="preserve">/ </w:t>
            </w:r>
            <w:r>
              <w:rPr>
                <w:rFonts w:hint="eastAsia"/>
                <w:sz w:val="18"/>
              </w:rPr>
              <w:t xml:space="preserve">巽</w:t>
            </w:r>
            <w:r>
              <w:rPr>
                <w:sz w:val="18"/>
              </w:rPr>
              <w:t xml:space="preserve"> </w:t>
            </w:r>
            <w:r>
              <w:rPr>
                <w:rFonts w:hint="eastAsia"/>
                <w:sz w:val="18"/>
              </w:rPr>
              <w:t xml:space="preserve">具也</w:t>
            </w:r>
            <w:r>
              <w:rPr>
                <w:sz w:val="18"/>
              </w:rPr>
              <w:t xml:space="preserve"> </w:t>
            </w:r>
            <w:r>
              <w:rPr>
                <w:sz w:val="18"/>
              </w:rPr>
              <w:t xml:space="preserve">‘to provide’</w:t>
            </w:r>
          </w:p>
        </w:tc>
      </w:tr>
      <w:tr>
        <w:trPr>
          <w:cantSplit/>
        </w:trPr>
        <w:tc>
          <w:tcPr/>
          <w:p>
            <w:pPr>
              <w:pStyle w:val="Compact"/>
              <w:keepNext/>
            </w:pPr>
            <w:r>
              <w:rPr>
                <w:sz w:val="18"/>
              </w:rPr>
              <w:t xml:space="preserve">E</w:t>
            </w:r>
          </w:p>
        </w:tc>
        <w:tc>
          <w:tcPr/>
          <w:p>
            <w:pPr>
              <w:pStyle w:val="Compact"/>
              <w:keepNext/>
            </w:pPr>
            <w:r>
              <w:rPr>
                <w:sz w:val="18"/>
              </w:rPr>
              <w:t xml:space="preserve">one step of extension or inference (the instructions’ example: </w:t>
            </w:r>
            <w:r>
              <w:rPr>
                <w:rFonts w:hint="eastAsia"/>
                <w:sz w:val="18"/>
              </w:rPr>
              <w:t xml:space="preserve">亡</w:t>
            </w:r>
            <w:r>
              <w:rPr>
                <w:sz w:val="18"/>
              </w:rPr>
              <w:t xml:space="preserve"> </w:t>
            </w:r>
            <w:r>
              <w:rPr>
                <w:rFonts w:hint="eastAsia"/>
                <w:sz w:val="18"/>
              </w:rPr>
              <w:t xml:space="preserve">逃也</w:t>
            </w:r>
            <w:r>
              <w:rPr>
                <w:sz w:val="18"/>
              </w:rPr>
              <w:t xml:space="preserve"> / </w:t>
            </w:r>
            <w:r>
              <w:rPr>
                <w:rFonts w:hint="eastAsia"/>
                <w:sz w:val="18"/>
              </w:rPr>
              <w:t xml:space="preserve">忘</w:t>
            </w:r>
            <w:r>
              <w:rPr>
                <w:sz w:val="18"/>
              </w:rPr>
              <w:t xml:space="preserve"> </w:t>
            </w:r>
            <w:r>
              <w:rPr>
                <w:rFonts w:hint="eastAsia"/>
                <w:sz w:val="18"/>
              </w:rPr>
              <w:t xml:space="preserve">不識也)</w:t>
            </w:r>
          </w:p>
        </w:tc>
        <w:tc>
          <w:tcPr/>
          <w:p>
            <w:pPr>
              <w:pStyle w:val="Compact"/>
              <w:keepNext/>
            </w:pPr>
            <w:r>
              <w:rPr>
                <w:rFonts w:hint="eastAsia"/>
                <w:sz w:val="18"/>
              </w:rPr>
              <w:t xml:space="preserve">珥</w:t>
            </w:r>
            <w:r>
              <w:rPr>
                <w:sz w:val="18"/>
              </w:rPr>
              <w:t xml:space="preserve"> </w:t>
            </w:r>
            <w:r>
              <w:rPr>
                <w:rFonts w:hint="eastAsia"/>
                <w:sz w:val="18"/>
              </w:rPr>
              <w:t xml:space="preserve">瑱也</w:t>
            </w:r>
            <w:r>
              <w:rPr>
                <w:sz w:val="18"/>
              </w:rPr>
              <w:t xml:space="preserve"> </w:t>
            </w:r>
            <w:r>
              <w:rPr>
                <w:sz w:val="18"/>
              </w:rPr>
              <w:t xml:space="preserve">‘ear-jade’</w:t>
            </w:r>
            <w:r>
              <w:rPr>
                <w:sz w:val="18"/>
              </w:rPr>
              <w:t xml:space="preserve"> </w:t>
            </w:r>
            <w:r>
              <w:rPr>
                <w:sz w:val="18"/>
              </w:rPr>
              <w:t xml:space="preserve">/ </w:t>
            </w:r>
            <w:r>
              <w:rPr>
                <w:rFonts w:hint="eastAsia"/>
                <w:sz w:val="18"/>
              </w:rPr>
              <w:t xml:space="preserve">耳</w:t>
            </w:r>
            <w:r>
              <w:rPr>
                <w:sz w:val="18"/>
              </w:rPr>
              <w:t xml:space="preserve"> </w:t>
            </w:r>
            <w:r>
              <w:rPr>
                <w:rFonts w:hint="eastAsia"/>
                <w:sz w:val="18"/>
              </w:rPr>
              <w:t xml:space="preserve">主聽也</w:t>
            </w:r>
            <w:r>
              <w:rPr>
                <w:sz w:val="18"/>
              </w:rPr>
              <w:t xml:space="preserve"> </w:t>
            </w:r>
            <w:r>
              <w:rPr>
                <w:sz w:val="18"/>
              </w:rPr>
              <w:t xml:space="preserve">‘what governs hearing’</w:t>
            </w:r>
          </w:p>
        </w:tc>
        <w:tc>
          <w:tcPr/>
          <w:p>
            <w:pPr>
              <w:pStyle w:val="Compact"/>
              <w:keepNext/>
            </w:pPr>
            <w:r>
              <w:rPr>
                <w:rFonts w:hint="eastAsia"/>
                <w:sz w:val="18"/>
              </w:rPr>
              <w:t xml:space="preserve">鬻</w:t>
            </w:r>
            <w:r>
              <w:rPr>
                <w:sz w:val="18"/>
              </w:rPr>
              <w:t xml:space="preserve"> </w:t>
            </w:r>
            <w:r>
              <w:rPr>
                <w:rFonts w:hint="eastAsia"/>
                <w:sz w:val="18"/>
              </w:rPr>
              <w:t xml:space="preserve">䭈也</w:t>
            </w:r>
            <w:r>
              <w:rPr>
                <w:sz w:val="18"/>
              </w:rPr>
              <w:t xml:space="preserve"> </w:t>
            </w:r>
            <w:r>
              <w:rPr>
                <w:sz w:val="18"/>
              </w:rPr>
              <w:t xml:space="preserve">‘gruel’</w:t>
            </w:r>
            <w:r>
              <w:rPr>
                <w:sz w:val="18"/>
              </w:rPr>
              <w:t xml:space="preserve"> </w:t>
            </w:r>
            <w:r>
              <w:rPr>
                <w:sz w:val="18"/>
              </w:rPr>
              <w:t xml:space="preserve">/ </w:t>
            </w:r>
            <w:r>
              <w:rPr>
                <w:rFonts w:hint="eastAsia"/>
                <w:sz w:val="18"/>
              </w:rPr>
              <w:t xml:space="preserve">米</w:t>
            </w:r>
            <w:r>
              <w:rPr>
                <w:sz w:val="18"/>
              </w:rPr>
              <w:t xml:space="preserve"> </w:t>
            </w:r>
            <w:r>
              <w:rPr>
                <w:rFonts w:hint="eastAsia"/>
                <w:sz w:val="18"/>
              </w:rPr>
              <w:t xml:space="preserve">粟實也</w:t>
            </w:r>
            <w:r>
              <w:rPr>
                <w:sz w:val="18"/>
              </w:rPr>
              <w:t xml:space="preserve"> </w:t>
            </w:r>
            <w:r>
              <w:rPr>
                <w:sz w:val="18"/>
              </w:rPr>
              <w:t xml:space="preserve">‘grain’</w:t>
            </w:r>
          </w:p>
        </w:tc>
      </w:tr>
      <w:tr>
        <w:trPr>
          <w:cantSplit/>
        </w:trPr>
        <w:tc>
          <w:tcPr/>
          <w:p>
            <w:pPr>
              <w:pStyle w:val="Compact"/>
              <w:keepNext/>
            </w:pPr>
            <w:r>
              <w:rPr>
                <w:sz w:val="18"/>
              </w:rPr>
              <w:t xml:space="preserve">N</w:t>
            </w:r>
          </w:p>
        </w:tc>
        <w:tc>
          <w:tcPr/>
          <w:p>
            <w:pPr>
              <w:pStyle w:val="Compact"/>
              <w:keepNext/>
            </w:pPr>
            <w:r>
              <w:rPr>
                <w:sz w:val="18"/>
              </w:rPr>
              <w:t xml:space="preserve">no relation visible</w:t>
            </w:r>
          </w:p>
        </w:tc>
        <w:tc>
          <w:tcPr/>
          <w:p>
            <w:pPr>
              <w:pStyle w:val="Compact"/>
              <w:keepNext/>
            </w:pPr>
            <w:r>
              <w:rPr>
                <w:rFonts w:hint="eastAsia"/>
                <w:sz w:val="18"/>
              </w:rPr>
              <w:t xml:space="preserve">恇</w:t>
            </w:r>
            <w:r>
              <w:rPr>
                <w:sz w:val="18"/>
              </w:rPr>
              <w:t xml:space="preserve"> </w:t>
            </w:r>
            <w:r>
              <w:rPr>
                <w:rFonts w:hint="eastAsia"/>
                <w:sz w:val="18"/>
              </w:rPr>
              <w:t xml:space="preserve">怯也</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rFonts w:hint="eastAsia"/>
                <w:sz w:val="18"/>
              </w:rPr>
              <w:t xml:space="preserve">飲器，筥也</w:t>
            </w:r>
            <w:r>
              <w:rPr>
                <w:sz w:val="18"/>
              </w:rPr>
              <w:t xml:space="preserve"> </w:t>
            </w:r>
            <w:r>
              <w:rPr>
                <w:sz w:val="18"/>
              </w:rPr>
              <w:t xml:space="preserve">‘basket’</w:t>
            </w:r>
          </w:p>
        </w:tc>
        <w:tc>
          <w:tcPr/>
          <w:p>
            <w:pPr>
              <w:pStyle w:val="Compact"/>
              <w:keepNext/>
            </w:pPr>
            <w:r>
              <w:rPr>
                <w:rFonts w:hint="eastAsia"/>
                <w:sz w:val="18"/>
              </w:rPr>
              <w:t xml:space="preserve">良</w:t>
            </w:r>
            <w:r>
              <w:rPr>
                <w:sz w:val="18"/>
              </w:rPr>
              <w:t xml:space="preserve"> </w:t>
            </w:r>
            <w:r>
              <w:rPr>
                <w:rFonts w:hint="eastAsia"/>
                <w:sz w:val="18"/>
              </w:rPr>
              <w:t xml:space="preserve">善也</w:t>
            </w:r>
            <w:r>
              <w:rPr>
                <w:sz w:val="18"/>
              </w:rPr>
              <w:t xml:space="preserve"> </w:t>
            </w:r>
            <w:r>
              <w:rPr>
                <w:sz w:val="18"/>
              </w:rPr>
              <w:t xml:space="preserve">‘good’</w:t>
            </w:r>
            <w:r>
              <w:rPr>
                <w:sz w:val="18"/>
              </w:rPr>
              <w:t xml:space="preserve"> </w:t>
            </w:r>
            <w:r>
              <w:rPr>
                <w:sz w:val="18"/>
              </w:rPr>
              <w:t xml:space="preserve">/ </w:t>
            </w:r>
            <w:r>
              <w:rPr>
                <w:rFonts w:hint="eastAsia"/>
                <w:sz w:val="18"/>
              </w:rPr>
              <w:t xml:space="preserve">亡</w:t>
            </w:r>
            <w:r>
              <w:rPr>
                <w:sz w:val="18"/>
              </w:rPr>
              <w:t xml:space="preserve"> </w:t>
            </w:r>
            <w:r>
              <w:rPr>
                <w:rFonts w:hint="eastAsia"/>
                <w:sz w:val="18"/>
              </w:rPr>
              <w:t xml:space="preserve">逃也</w:t>
            </w:r>
            <w:r>
              <w:rPr>
                <w:sz w:val="18"/>
              </w:rPr>
              <w:t xml:space="preserve"> </w:t>
            </w:r>
            <w:r>
              <w:rPr>
                <w:sz w:val="18"/>
              </w:rPr>
              <w:t xml:space="preserve">‘to flee’</w:t>
            </w:r>
          </w:p>
        </w:tc>
      </w:tr>
      <w:tr>
        <w:trPr>
          <w:cantSplit/>
        </w:trPr>
        <w:tc>
          <w:tcPr/>
          <w:p>
            <w:pPr>
              <w:pStyle w:val="Compact"/>
            </w:pPr>
            <w:r>
              <w:rPr>
                <w:sz w:val="18"/>
              </w:rPr>
              <w:t xml:space="preserve">X</w:t>
            </w:r>
          </w:p>
        </w:tc>
        <w:tc>
          <w:tcPr/>
          <w:p>
            <w:pPr>
              <w:pStyle w:val="Compact"/>
            </w:pPr>
            <w:r>
              <w:rPr>
                <w:sz w:val="18"/>
              </w:rPr>
              <w:t xml:space="preserve">proper name; set aside</w:t>
            </w:r>
          </w:p>
        </w:tc>
        <w:tc>
          <w:tcPr/>
          <w:p>
            <w:pPr>
              <w:pStyle w:val="Compact"/>
            </w:pPr>
            <w:r>
              <w:rPr>
                <w:rFonts w:hint="eastAsia"/>
                <w:sz w:val="18"/>
              </w:rPr>
              <w:t xml:space="preserve">鄯</w:t>
            </w:r>
            <w:r>
              <w:rPr>
                <w:sz w:val="18"/>
              </w:rPr>
              <w:t xml:space="preserve"> </w:t>
            </w:r>
            <w:r>
              <w:rPr>
                <w:rFonts w:hint="eastAsia"/>
                <w:sz w:val="18"/>
              </w:rPr>
              <w:t xml:space="preserve">鄯善，西胡國也</w:t>
            </w:r>
            <w:r>
              <w:rPr>
                <w:sz w:val="18"/>
              </w:rPr>
              <w:t xml:space="preserve"> </w:t>
            </w:r>
            <w:r>
              <w:rPr>
                <w:sz w:val="18"/>
              </w:rPr>
              <w:t xml:space="preserve">‘Shanshan, a western state’</w:t>
            </w:r>
            <w:r>
              <w:rPr>
                <w:sz w:val="18"/>
              </w:rPr>
              <w:t xml:space="preserve"> </w:t>
            </w:r>
            <w:r>
              <w:rPr>
                <w:sz w:val="18"/>
              </w:rPr>
              <w:t xml:space="preserve">/ </w:t>
            </w:r>
            <w:r>
              <w:rPr>
                <w:rFonts w:hint="eastAsia"/>
                <w:sz w:val="18"/>
              </w:rPr>
              <w:t xml:space="preserve">善</w:t>
            </w:r>
            <w:r>
              <w:rPr>
                <w:sz w:val="18"/>
              </w:rPr>
              <w:t xml:space="preserve"> </w:t>
            </w:r>
            <w:r>
              <w:rPr>
                <w:rFonts w:hint="eastAsia"/>
                <w:sz w:val="18"/>
              </w:rPr>
              <w:t xml:space="preserve">吉也</w:t>
            </w:r>
            <w:r>
              <w:rPr>
                <w:sz w:val="18"/>
              </w:rPr>
              <w:t xml:space="preserve"> </w:t>
            </w:r>
            <w:r>
              <w:rPr>
                <w:sz w:val="18"/>
              </w:rPr>
              <w:t xml:space="preserve">‘good’</w:t>
            </w:r>
          </w:p>
        </w:tc>
        <w:tc>
          <w:tcPr/>
          <w:p>
            <w:pPr>
              <w:pStyle w:val="Compact"/>
            </w:pPr>
            <w:r>
              <w:rPr>
                <w:rFonts w:hint="eastAsia"/>
                <w:sz w:val="18"/>
              </w:rPr>
              <w:t xml:space="preserve">汶</w:t>
            </w:r>
            <w:r>
              <w:rPr>
                <w:sz w:val="18"/>
              </w:rPr>
              <w:t xml:space="preserve"> </w:t>
            </w:r>
            <w:r>
              <w:rPr>
                <w:rFonts w:hint="eastAsia"/>
                <w:sz w:val="18"/>
              </w:rPr>
              <w:t xml:space="preserve">水</w:t>
            </w:r>
            <w:r>
              <w:rPr>
                <w:sz w:val="18"/>
              </w:rPr>
              <w:t xml:space="preserve"> </w:t>
            </w:r>
            <w:r>
              <w:rPr>
                <w:sz w:val="18"/>
              </w:rPr>
              <w:t xml:space="preserve">‘the Wen, a river’</w:t>
            </w:r>
            <w:r>
              <w:rPr>
                <w:sz w:val="18"/>
              </w:rPr>
              <w:t xml:space="preserve"> </w:t>
            </w:r>
            <w:r>
              <w:rPr>
                <w:sz w:val="18"/>
              </w:rPr>
              <w:t xml:space="preserve">/ </w:t>
            </w:r>
            <w:r>
              <w:rPr>
                <w:rFonts w:hint="eastAsia"/>
                <w:sz w:val="18"/>
              </w:rPr>
              <w:t xml:space="preserve">文</w:t>
            </w:r>
            <w:r>
              <w:rPr>
                <w:sz w:val="18"/>
              </w:rPr>
              <w:t xml:space="preserve"> </w:t>
            </w:r>
            <w:r>
              <w:rPr>
                <w:rFonts w:hint="eastAsia"/>
                <w:sz w:val="18"/>
              </w:rPr>
              <w:t xml:space="preserve">錯畫也</w:t>
            </w:r>
            <w:r>
              <w:rPr>
                <w:sz w:val="18"/>
              </w:rPr>
              <w:t xml:space="preserve"> </w:t>
            </w:r>
            <w:r>
              <w:rPr>
                <w:sz w:val="18"/>
              </w:rPr>
              <w:t xml:space="preserve">‘crossed lines’</w:t>
            </w:r>
          </w:p>
        </w:tc>
      </w:tr>
    </w:tbl>
    <w:p>
      <w:pPr>
        <w:pStyle w:val="TableNote"/>
      </w:pPr>
      <w:r>
        <w:rPr>
          <w:i/>
          <w:iCs/>
        </w:rPr>
        <w:t xml:space="preserve">Note.</w:t>
      </w:r>
      <w:r>
        <w:t xml:space="preserve"> </w:t>
      </w:r>
      <w:r>
        <w:t xml:space="preserve">Glosses are abridged and translated by us.</w:t>
      </w:r>
    </w:p>
    <w:p>
      <w:pPr>
        <w:pStyle w:val="BodyText"/>
      </w:pPr>
      <w:r>
        <w:t xml:space="preserve">Meaning was first coded on a random sample of 100 pairs (40 labelled, 60 ordinary) drawn from pairs with OC forms at both ends. A large language model (Claude, Anthropic) coded each pair twice: the instance that built the dataset, knowing the group, and then a separate instance that worked blind, seeing only the instructions and the stripped glosses and barred from files and the web (protocol in Online Resource 1). They agree on 86 of 100 pairs (Cohen’s κ = 0.773), with no Y–N disagreement. We analyse the blind pass; the non-blind pass gives the same contrast (Section 4.3). Both authors also coded the pairs independently and agreed with the blind pass throughout, but their working sheets were not kept, so this check cannot be reproduced from the supplementary files. Six items were later excluded and 11 proper names set aside, leaving 83 for H2. The codes of this sample are in Online Resource 3.</w:t>
      </w:r>
    </w:p>
    <w:bookmarkEnd w:id="27"/>
    <w:bookmarkStart w:id="28" w:name="X055ec59583c936127c15016118b28d765fd4705"/>
    <w:p>
      <w:pPr>
        <w:pStyle w:val="Heading2"/>
      </w:pPr>
      <w:r>
        <w:t xml:space="preserve">3.4 The enlarged coding and the authors’ check</w:t>
      </w:r>
    </w:p>
    <w:p>
      <w:pPr>
        <w:pStyle w:val="FirstParagraph"/>
      </w:pPr>
      <w:r>
        <w:t xml:space="preserve">With only six related ordinary pairs, the first sample cannot test H5, so we enlarged it (Table 2 gives the flow).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Together with the 90 first-sample items that lie in the frame this makes 767 coded pairs, 212 labelled and 555 ordinary. Once 40 labelled entries (35 without an MC reading, 5 proper names) and 93 ordinary proper names are set aside, 634 pairs on 150 phonetics enter the tests, 172 labelled and 462 ordinary.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pass 2 is a check. The sampling, prompts and analysis plan, including H5 and its decision rule, were committed with a time-stamp before any batch was coded, though not registered externally, and later changes are logged (Online Resource 4). In two batches of pass 1 an agent returned a second answer; a rule fixed before any analysis was run, that an agent’s first valid answer counts, settled which was used; the unused answers are kept with the prompts and the raw answers (Online Resource 5), and using them instead changes the main odds ratio little (2.39; Section 4.4). The codes of both passes, the second answers and the authors’ check are in Online Resource 3.</w:t>
      </w:r>
    </w:p>
    <w:p>
      <w:pPr>
        <w:pStyle w:val="BodyText"/>
      </w:pPr>
      <w:r>
        <w:t xml:space="preserve">The two authors then each reviewed 126 of the new items separately, the 76 on which the passes disagree and 50 drawn at random from the 601 on which they agree, and consolidated their judgments into one code for each item. The sheet showed the two glosses without the group, and also the passes’ codes. The check is therefore not independent of the passes, and because only the consolidated sheet is on file it does not measure agreement between the authors. It checks the machine coding (Section 4.3) and supports a sensitivity analysis in which the 126 codes are replaced by the consolidated judgment (Section 4.4). The glosses stand for Han-period relations of meaning as Xu understood them, not for modern etymology, which is the third bridging assumption.</w:t>
      </w:r>
    </w:p>
    <w:p>
      <w:pPr>
        <w:pStyle w:val="BodyText"/>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(Section 4.4);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28"/>
    <w:bookmarkStart w:id="29" w:name="models"/>
    <w:p>
      <w:pPr>
        <w:pStyle w:val="Heading2"/>
      </w:pPr>
      <w:r>
        <w:t xml:space="preserve">3.5 Models</w:t>
      </w:r>
    </w:p>
    <w:p>
      <w:pPr>
        <w:pStyle w:val="FirstParagraph"/>
      </w:pPr>
      <w:r>
        <w:t xml:space="preserve">Results are reported as odds ratios (OR) with 95% confidence intervals (CI): 1 means no difference between labelled and ordinary pairs, and 2 means that the odds of the outcome are twice as high for labelled pairs. 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4.5 and 4.6. Secondary comparisons are two-sided and unadjusted, and tests describe this population rather than confirm predictions made in advance (Section 2.5), except H5, which is one-sided; its rule counts p below 0.05 with an upper confidence limit of at least 2, the smallest odds ratio of interest, as support for (C), a limit below 2 without significance as support for (A), and other outcomes as mixed or undecided. The plan set the smallest effect of interest at 2 after a rough calculation: with about 130 related labelled and 60 related ordinary pairs, the standard error of a log odds ratio is about 0.31, so a true odds ratio of 1 would give an upper confidence limit near 1.8, and a threshold of 1.5 could not have been excluded. Models were fitted in Python (statsmodels); the model outputs are Online Resource 6 and the code Online Resource 7.</w:t>
      </w:r>
    </w:p>
    <w:bookmarkEnd w:id="29"/>
    <w:bookmarkStart w:id="30" w:name="use-of-large-language-models"/>
    <w:p>
      <w:pPr>
        <w:pStyle w:val="Heading2"/>
      </w:pPr>
      <w:r>
        <w:t xml:space="preserve">3.6 Use of large language models</w:t>
      </w:r>
    </w:p>
    <w:p>
      <w:pPr>
        <w:pStyle w:val="FirstParagraph"/>
      </w:pP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(Sections 3.3 and 3.4). The authors verified the first coding item by item, and each reviewed 126 items of the enlarged coding separately and consolidated their judgments. Codex (OpenAI) assisted with source checks and revision planning. The authors take responsibility for the analyses and the text; the machine-assisted materials are retained in Online Resources 3 and 5 for provenance.</w:t>
      </w:r>
    </w:p>
    <w:bookmarkEnd w:id="30"/>
    <w:bookmarkEnd w:id="31"/>
    <w:bookmarkStart w:id="41" w:name="results"/>
    <w:p>
      <w:pPr>
        <w:pStyle w:val="Heading1"/>
      </w:pPr>
      <w:r>
        <w:t xml:space="preserve">4 Results</w:t>
      </w:r>
    </w:p>
    <w:bookmarkStart w:id="32" w:name="the-sound-profile-h1a"/>
    <w:p>
      <w:pPr>
        <w:pStyle w:val="Heading2"/>
      </w:pPr>
      <w:r>
        <w:t xml:space="preserve">4.1 The sound profile (H1a)</w:t>
      </w:r>
    </w:p>
    <w:p>
      <w:pPr>
        <w:pStyle w:val="FirstParagraph"/>
      </w:pPr>
      <w:r>
        <w:t xml:space="preserve">H1a holds (Table 4).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 in which the two readings differ in an initial or a final (or both) and which holds two thirds of ordinary pairs. Identity read directly from the fǎnqiè strings gives the same result (OR 2.43; Section 4.6).</w:t>
      </w:r>
    </w:p>
    <w:p>
      <w:pPr>
        <w:pStyle w:val="TableCaption"/>
      </w:pPr>
      <w:r>
        <w:rPr>
          <w:b/>
          <w:bCs/>
        </w:rPr>
        <w:t xml:space="preserve">Table 4</w:t>
      </w:r>
      <w:r>
        <w:t xml:space="preserve"> </w:t>
      </w:r>
      <w:r>
        <w:t xml:space="preserve">Sound relations between member and phonetic (MC; mutually exclusive)</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059"/>
        <w:gridCol w:w="1267"/>
        <w:gridCol w:w="1267"/>
        <w:gridCol w:w="1425"/>
        <w:gridCol w:w="1900"/>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Labelled (n = 177)</w:t>
            </w:r>
          </w:p>
        </w:tc>
        <w:tc>
          <w:tcPr>
            <w:tcBorders>
              <w:bottom w:val="single" w:sz="4" w:space="0" w:color="000000"/>
            </w:tcBorders>
          </w:tcPr>
          <w:p>
            <w:pPr>
              <w:pStyle w:val="Compact"/>
              <w:keepNext/>
            </w:pPr>
            <w:r>
              <w:rPr>
                <w:b/>
                <w:sz w:val="18"/>
              </w:rPr>
              <w:t xml:space="preserve">Ordinary (n = 858)</w:t>
            </w:r>
          </w:p>
        </w:tc>
        <w:tc>
          <w:tcPr>
            <w:tcBorders>
              <w:bottom w:val="single" w:sz="4" w:space="0" w:color="000000"/>
            </w:tcBorders>
          </w:tcPr>
          <w:p>
            <w:pPr>
              <w:pStyle w:val="Compact"/>
              <w:keepNext/>
            </w:pPr>
            <w:r>
              <w:rPr>
                <w:b/>
                <w:sz w:val="18"/>
              </w:rPr>
              <w:t xml:space="preserve">GEE OR [95% CI]</w:t>
            </w:r>
          </w:p>
        </w:tc>
        <w:tc>
          <w:tcPr>
            <w:tcBorders>
              <w:bottom w:val="single" w:sz="4" w:space="0" w:color="000000"/>
            </w:tcBorders>
          </w:tcPr>
          <w:p>
            <w:pPr>
              <w:pStyle w:val="Compact"/>
              <w:keepNext/>
            </w:pPr>
            <w:r>
              <w:rPr>
                <w:b/>
                <w:sz w:val="18"/>
              </w:rPr>
              <w:t xml:space="preserve">Within-series MH OR [95% CI]</w:t>
            </w:r>
          </w:p>
        </w:tc>
      </w:tr>
      <w:tr>
        <w:trPr>
          <w:cantSplit/>
        </w:trPr>
        <w:tc>
          <w:tcPr/>
          <w:p>
            <w:pPr>
              <w:pStyle w:val="Compact"/>
              <w:keepNext/>
            </w:pPr>
            <w:r>
              <w:rPr>
                <w:sz w:val="18"/>
              </w:rPr>
              <w:t xml:space="preserve">Identical</w:t>
            </w:r>
          </w:p>
        </w:tc>
        <w:tc>
          <w:tcPr/>
          <w:p>
            <w:pPr>
              <w:pStyle w:val="Compact"/>
              <w:keepNext/>
            </w:pPr>
            <w:r>
              <w:rPr>
                <w:sz w:val="18"/>
              </w:rPr>
              <w:t xml:space="preserve">63 (35.6%)</w:t>
            </w:r>
          </w:p>
        </w:tc>
        <w:tc>
          <w:tcPr/>
          <w:p>
            <w:pPr>
              <w:pStyle w:val="Compact"/>
              <w:keepNext/>
            </w:pPr>
            <w:r>
              <w:rPr>
                <w:sz w:val="18"/>
              </w:rPr>
              <w:t xml:space="preserve">133 (15.5%)</w:t>
            </w:r>
          </w:p>
        </w:tc>
        <w:tc>
          <w:tcPr/>
          <w:p>
            <w:pPr>
              <w:pStyle w:val="Compact"/>
              <w:keepNext/>
            </w:pPr>
            <w:r>
              <w:rPr>
                <w:sz w:val="18"/>
              </w:rPr>
              <w:t xml:space="preserve">2.38 [1.69, 3.34]</w:t>
            </w:r>
          </w:p>
        </w:tc>
        <w:tc>
          <w:tcPr/>
          <w:p>
            <w:pPr>
              <w:pStyle w:val="Compact"/>
              <w:keepNext/>
            </w:pPr>
            <w:r>
              <w:rPr>
                <w:sz w:val="18"/>
              </w:rPr>
              <w:t xml:space="preserve">2.15 [1.36, 3.42]</w:t>
            </w:r>
          </w:p>
        </w:tc>
      </w:tr>
      <w:tr>
        <w:trPr>
          <w:cantSplit/>
        </w:trPr>
        <w:tc>
          <w:tcPr/>
          <w:p>
            <w:pPr>
              <w:pStyle w:val="Compact"/>
              <w:keepNext/>
            </w:pPr>
            <w:r>
              <w:rPr>
                <w:sz w:val="18"/>
              </w:rPr>
              <w:t xml:space="preserve">Departing-tone alternation</w:t>
            </w:r>
          </w:p>
        </w:tc>
        <w:tc>
          <w:tcPr/>
          <w:p>
            <w:pPr>
              <w:pStyle w:val="Compact"/>
              <w:keepNext/>
            </w:pPr>
            <w:r>
              <w:rPr>
                <w:sz w:val="18"/>
              </w:rPr>
              <w:t xml:space="preserve">21 (11.9%)</w:t>
            </w:r>
          </w:p>
        </w:tc>
        <w:tc>
          <w:tcPr/>
          <w:p>
            <w:pPr>
              <w:pStyle w:val="Compact"/>
              <w:keepNext/>
            </w:pPr>
            <w:r>
              <w:rPr>
                <w:sz w:val="18"/>
              </w:rPr>
              <w:t xml:space="preserve">58 (6.8%)</w:t>
            </w:r>
          </w:p>
        </w:tc>
        <w:tc>
          <w:tcPr/>
          <w:p>
            <w:pPr>
              <w:pStyle w:val="Compact"/>
              <w:keepNext/>
            </w:pPr>
            <w:r>
              <w:rPr>
                <w:sz w:val="18"/>
              </w:rPr>
              <w:t xml:space="preserve">1.64 [1.04, 2.57]</w:t>
            </w:r>
          </w:p>
        </w:tc>
        <w:tc>
          <w:tcPr/>
          <w:p>
            <w:pPr>
              <w:pStyle w:val="Compact"/>
              <w:keepNext/>
            </w:pPr>
            <w:r>
              <w:rPr>
                <w:sz w:val="18"/>
              </w:rPr>
              <w:t xml:space="preserve">2.05 [1.03, 4.11]</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12 (6.8%)</w:t>
            </w:r>
          </w:p>
        </w:tc>
        <w:tc>
          <w:tcPr/>
          <w:p>
            <w:pPr>
              <w:pStyle w:val="Compact"/>
              <w:keepNext/>
            </w:pPr>
            <w:r>
              <w:rPr>
                <w:sz w:val="18"/>
              </w:rPr>
              <w:t xml:space="preserve">92 (10.7%)</w:t>
            </w:r>
          </w:p>
        </w:tc>
        <w:tc>
          <w:tcPr/>
          <w:p>
            <w:pPr>
              <w:pStyle w:val="Compact"/>
              <w:keepNext/>
            </w:pPr>
            <w:r>
              <w:rPr>
                <w:sz w:val="18"/>
              </w:rPr>
              <w:t xml:space="preserve">0.62 [0.33, 1.14]</w:t>
            </w:r>
          </w:p>
        </w:tc>
        <w:tc>
          <w:tcPr/>
          <w:p>
            <w:pPr>
              <w:pStyle w:val="Compact"/>
              <w:keepNext/>
            </w:pPr>
            <w:r>
              <w:rPr>
                <w:sz w:val="18"/>
              </w:rPr>
              <w:t xml:space="preserve">0.61 [0.28, 1.30]</w:t>
            </w:r>
          </w:p>
        </w:tc>
      </w:tr>
      <w:tr>
        <w:trPr>
          <w:cantSplit/>
        </w:trPr>
        <w:tc>
          <w:tcPr/>
          <w:p>
            <w:pPr>
              <w:pStyle w:val="Compact"/>
            </w:pPr>
            <w:r>
              <w:rPr>
                <w:sz w:val="18"/>
              </w:rPr>
              <w:t xml:space="preserve">Other difference</w:t>
            </w:r>
          </w:p>
        </w:tc>
        <w:tc>
          <w:tcPr/>
          <w:p>
            <w:pPr>
              <w:pStyle w:val="Compact"/>
            </w:pPr>
            <w:r>
              <w:rPr>
                <w:sz w:val="18"/>
              </w:rPr>
              <w:t xml:space="preserve">81 (45.8%)</w:t>
            </w:r>
          </w:p>
        </w:tc>
        <w:tc>
          <w:tcPr/>
          <w:p>
            <w:pPr>
              <w:pStyle w:val="Compact"/>
            </w:pPr>
            <w:r>
              <w:rPr>
                <w:sz w:val="18"/>
              </w:rPr>
              <w:t xml:space="preserve">575 (67.0%)</w:t>
            </w:r>
          </w:p>
        </w:tc>
        <w:tc>
          <w:tcPr/>
          <w:p>
            <w:pPr>
              <w:pStyle w:val="Compact"/>
            </w:pPr>
            <w:r>
              <w:rPr>
                <w:sz w:val="18"/>
              </w:rPr>
              <w:t xml:space="preserve">0.52 [0.38, 0.70]</w:t>
            </w:r>
          </w:p>
        </w:tc>
        <w:tc>
          <w:tcPr/>
          <w:p>
            <w:pPr>
              <w:pStyle w:val="Compact"/>
            </w:pPr>
            <w:r>
              <w:rPr>
                <w:sz w:val="18"/>
              </w:rPr>
              <w:t xml:space="preserve">0.44 [0.28, 0.70]</w:t>
            </w:r>
          </w:p>
        </w:tc>
      </w:tr>
    </w:tbl>
    <w:p>
      <w:pPr>
        <w:pStyle w:val="TableNote"/>
      </w:pPr>
      <w:r>
        <w:rPr>
          <w:i/>
          <w:iCs/>
        </w:rPr>
        <w:t xml:space="preserve">Note.</w:t>
      </w:r>
      <w:r>
        <w:t xml:space="preserve"> </w:t>
      </w:r>
      <w:r>
        <w:t xml:space="preserve">MH estimates pool the 121 phonetics with both labelled and ordinary members (148 and 839 pairs).</w:t>
      </w:r>
    </w:p>
    <w:p>
      <w:pPr>
        <w:pStyle w:val="BodyText"/>
      </w:pPr>
      <w:r>
        <w:t xml:space="preserve">The OC forms, on far smaller numbers, show the same contrast more sharply: 15 of 60 labelled pairs are identical (25.0%), against 13 of 249 ordinary ones (5.2%).</w:t>
      </w:r>
    </w:p>
    <w:bookmarkEnd w:id="32"/>
    <w:bookmarkStart w:id="33" w:name="which-alternations-h1b-h1c"/>
    <w:p>
      <w:pPr>
        <w:pStyle w:val="Heading2"/>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Table 5 lists the 16. Among those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Section 4.6).</w:t>
      </w:r>
    </w:p>
    <w:p>
      <w:pPr>
        <w:pStyle w:val="BodyText"/>
      </w:pPr>
      <w:r>
        <w:t xml:space="preserve">Eight of the 16 have a gloss that names the phonetic, 11 are shared by both recensions, and all but one are coded related in meaning (8 Y, 7 E); the exception is </w:t>
      </w:r>
      <w:r>
        <w:rPr>
          <w:rFonts w:hint="eastAsia"/>
        </w:rPr>
        <w:t xml:space="preserve">鄯,</w:t>
      </w:r>
      <w:r>
        <w:t xml:space="preserve"> the name of a state.</w:t>
      </w:r>
    </w:p>
    <w:p>
      <w:pPr>
        <w:pStyle w:val="TableCaption"/>
      </w:pPr>
      <w:r>
        <w:rPr>
          <w:b/>
          <w:bCs/>
        </w:rPr>
        <w:t xml:space="preserve">Table 5</w:t>
      </w:r>
      <w:r>
        <w:t xml:space="preserve"> </w:t>
      </w:r>
      <w:r>
        <w:t xml:space="preserve">The 16 labelled pairs in which the member is the departing-tone alternant of its phonetic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029"/>
        <w:gridCol w:w="950"/>
        <w:gridCol w:w="2692"/>
        <w:gridCol w:w="554"/>
        <w:gridCol w:w="1425"/>
        <w:gridCol w:w="1267"/>
      </w:tblGrid>
      <w:tr>
        <w:trPr>
          <w:tblHeader w:val="on"/>
          <w:cantSplit/>
        </w:trPr>
        <w:tc>
          <w:tcPr>
            <w:tcBorders>
              <w:bottom w:val="single" w:sz="4" w:space="0" w:color="000000"/>
            </w:tcBorders>
          </w:tcPr>
          <w:p>
            <w:pPr>
              <w:pStyle w:val="Compact"/>
              <w:keepNext/>
            </w:pPr>
            <w:r>
              <w:rPr>
                <w:b/>
                <w:sz w:val="18"/>
              </w:rPr>
              <w:t xml:space="preserve">Member</w:t>
            </w:r>
          </w:p>
        </w:tc>
        <w:tc>
          <w:tcPr>
            <w:tcBorders>
              <w:bottom w:val="single" w:sz="4" w:space="0" w:color="000000"/>
            </w:tcBorders>
          </w:tcPr>
          <w:p>
            <w:pPr>
              <w:pStyle w:val="Compact"/>
              <w:keepNext/>
            </w:pPr>
            <w:r>
              <w:rPr>
                <w:b/>
                <w:sz w:val="18"/>
              </w:rPr>
              <w:t xml:space="preserve">Phonetic</w:t>
            </w:r>
          </w:p>
        </w:tc>
        <w:tc>
          <w:tcPr>
            <w:tcBorders>
              <w:bottom w:val="single" w:sz="4" w:space="0" w:color="000000"/>
            </w:tcBorders>
          </w:tcPr>
          <w:p>
            <w:pPr>
              <w:pStyle w:val="Compact"/>
              <w:keepNext/>
            </w:pPr>
            <w:r>
              <w:rPr>
                <w:b/>
                <w:sz w:val="18"/>
              </w:rPr>
              <w:t xml:space="preserve">Gloss of the member (abridged)</w:t>
            </w:r>
          </w:p>
        </w:tc>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Gloss names the phonetic</w:t>
            </w:r>
          </w:p>
        </w:tc>
        <w:tc>
          <w:tcPr>
            <w:tcBorders>
              <w:bottom w:val="single" w:sz="4" w:space="0" w:color="000000"/>
            </w:tcBorders>
          </w:tcPr>
          <w:p>
            <w:pPr>
              <w:pStyle w:val="Compact"/>
              <w:keepNext/>
            </w:pPr>
            <w:r>
              <w:rPr>
                <w:b/>
                <w:sz w:val="18"/>
              </w:rPr>
              <w:t xml:space="preserve">Both recensions</w:t>
            </w:r>
          </w:p>
        </w:tc>
      </w:tr>
      <w:tr>
        <w:trPr>
          <w:cantSplit/>
        </w:trPr>
        <w:tc>
          <w:tcPr/>
          <w:p>
            <w:pPr>
              <w:pStyle w:val="Compact"/>
              <w:keepNext/>
            </w:pPr>
            <w:r>
              <w:rPr>
                <w:rFonts w:hint="eastAsia"/>
                <w:sz w:val="18"/>
              </w:rPr>
              <w:t xml:space="preserve">珥</w:t>
            </w:r>
            <w:r>
              <w:rPr>
                <w:sz w:val="18"/>
              </w:rPr>
              <w:t xml:space="preserve"> </w:t>
            </w:r>
            <w:r>
              <w:rPr>
                <w:i/>
                <w:iCs/>
                <w:sz w:val="18"/>
              </w:rPr>
              <w:t xml:space="preserve">nyiH</w:t>
            </w:r>
          </w:p>
        </w:tc>
        <w:tc>
          <w:tcPr/>
          <w:p>
            <w:pPr>
              <w:pStyle w:val="Compact"/>
              <w:keepNext/>
            </w:pPr>
            <w:r>
              <w:rPr>
                <w:rFonts w:hint="eastAsia"/>
                <w:sz w:val="18"/>
              </w:rPr>
              <w:t xml:space="preserve">耳</w:t>
            </w:r>
            <w:r>
              <w:rPr>
                <w:sz w:val="18"/>
              </w:rPr>
              <w:t xml:space="preserve"> </w:t>
            </w:r>
            <w:r>
              <w:rPr>
                <w:i/>
                <w:iCs/>
                <w:sz w:val="18"/>
              </w:rPr>
              <w:t xml:space="preserve">nyiX</w:t>
            </w:r>
          </w:p>
        </w:tc>
        <w:tc>
          <w:tcPr/>
          <w:p>
            <w:pPr>
              <w:pStyle w:val="Compact"/>
              <w:keepNext/>
            </w:pPr>
            <w:r>
              <w:rPr>
                <w:sz w:val="18"/>
              </w:rPr>
              <w:t xml:space="preserve">ear-jade</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琀</w:t>
            </w:r>
            <w:r>
              <w:rPr>
                <w:sz w:val="18"/>
              </w:rPr>
              <w:t xml:space="preserve"> </w:t>
            </w:r>
            <w:r>
              <w:rPr>
                <w:i/>
                <w:iCs/>
                <w:sz w:val="18"/>
              </w:rPr>
              <w:t xml:space="preserve">homH</w:t>
            </w:r>
          </w:p>
        </w:tc>
        <w:tc>
          <w:tcPr/>
          <w:p>
            <w:pPr>
              <w:pStyle w:val="Compact"/>
              <w:keepNext/>
            </w:pPr>
            <w:r>
              <w:rPr>
                <w:rFonts w:hint="eastAsia"/>
                <w:sz w:val="18"/>
              </w:rPr>
              <w:t xml:space="preserve">含</w:t>
            </w:r>
            <w:r>
              <w:rPr>
                <w:sz w:val="18"/>
              </w:rPr>
              <w:t xml:space="preserve"> </w:t>
            </w:r>
            <w:r>
              <w:rPr>
                <w:i/>
                <w:iCs/>
                <w:sz w:val="18"/>
              </w:rPr>
              <w:t xml:space="preserve">hom</w:t>
            </w:r>
          </w:p>
        </w:tc>
        <w:tc>
          <w:tcPr/>
          <w:p>
            <w:pPr>
              <w:pStyle w:val="Compact"/>
              <w:keepNext/>
            </w:pPr>
            <w:r>
              <w:rPr>
                <w:sz w:val="18"/>
              </w:rPr>
              <w:t xml:space="preserve">jade placed in the mouth of the dead</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雊</w:t>
            </w:r>
            <w:r>
              <w:rPr>
                <w:sz w:val="18"/>
              </w:rPr>
              <w:t xml:space="preserve"> </w:t>
            </w:r>
            <w:r>
              <w:rPr>
                <w:i/>
                <w:iCs/>
                <w:sz w:val="18"/>
              </w:rPr>
              <w:t xml:space="preserve">kuwH</w:t>
            </w:r>
          </w:p>
        </w:tc>
        <w:tc>
          <w:tcPr/>
          <w:p>
            <w:pPr>
              <w:pStyle w:val="Compact"/>
              <w:keepNext/>
            </w:pPr>
            <w:r>
              <w:rPr>
                <w:rFonts w:hint="eastAsia"/>
                <w:sz w:val="18"/>
              </w:rPr>
              <w:t xml:space="preserve">句</w:t>
            </w:r>
            <w:r>
              <w:rPr>
                <w:sz w:val="18"/>
              </w:rPr>
              <w:t xml:space="preserve"> </w:t>
            </w:r>
            <w:r>
              <w:rPr>
                <w:i/>
                <w:iCs/>
                <w:sz w:val="18"/>
              </w:rPr>
              <w:t xml:space="preserve">kuw</w:t>
            </w:r>
          </w:p>
        </w:tc>
        <w:tc>
          <w:tcPr/>
          <w:p>
            <w:pPr>
              <w:pStyle w:val="Compact"/>
              <w:keepNext/>
            </w:pPr>
            <w:r>
              <w:rPr>
                <w:sz w:val="18"/>
              </w:rPr>
              <w:t xml:space="preserve">a pheasant’s cry</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憙</w:t>
            </w:r>
            <w:r>
              <w:rPr>
                <w:sz w:val="18"/>
              </w:rPr>
              <w:t xml:space="preserve"> </w:t>
            </w:r>
            <w:r>
              <w:rPr>
                <w:i/>
                <w:iCs/>
                <w:sz w:val="18"/>
              </w:rPr>
              <w:t xml:space="preserve">xiH</w:t>
            </w:r>
          </w:p>
        </w:tc>
        <w:tc>
          <w:tcPr/>
          <w:p>
            <w:pPr>
              <w:pStyle w:val="Compact"/>
              <w:keepNext/>
            </w:pPr>
            <w:r>
              <w:rPr>
                <w:rFonts w:hint="eastAsia"/>
                <w:sz w:val="18"/>
              </w:rPr>
              <w:t xml:space="preserve">喜</w:t>
            </w:r>
            <w:r>
              <w:rPr>
                <w:sz w:val="18"/>
              </w:rPr>
              <w:t xml:space="preserve"> </w:t>
            </w:r>
            <w:r>
              <w:rPr>
                <w:i/>
                <w:iCs/>
                <w:sz w:val="18"/>
              </w:rPr>
              <w:t xml:space="preserve">xiX</w:t>
            </w:r>
          </w:p>
        </w:tc>
        <w:tc>
          <w:tcPr/>
          <w:p>
            <w:pPr>
              <w:pStyle w:val="Compact"/>
              <w:keepNext/>
            </w:pPr>
            <w:r>
              <w:rPr>
                <w:sz w:val="18"/>
              </w:rPr>
              <w:t xml:space="preserve">to delight</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從</w:t>
            </w:r>
            <w:r>
              <w:rPr>
                <w:sz w:val="18"/>
              </w:rPr>
              <w:t xml:space="preserve"> </w:t>
            </w:r>
            <w:r>
              <w:rPr>
                <w:i/>
                <w:iCs/>
                <w:sz w:val="18"/>
              </w:rPr>
              <w:t xml:space="preserve">dzjowngH</w:t>
            </w:r>
          </w:p>
        </w:tc>
        <w:tc>
          <w:tcPr/>
          <w:p>
            <w:pPr>
              <w:pStyle w:val="Compact"/>
              <w:keepNext/>
            </w:pPr>
            <w:r>
              <w:rPr>
                <w:rFonts w:hint="eastAsia"/>
                <w:sz w:val="18"/>
              </w:rPr>
              <w:t xml:space="preserve">从</w:t>
            </w:r>
            <w:r>
              <w:rPr>
                <w:sz w:val="18"/>
              </w:rPr>
              <w:t xml:space="preserve"> </w:t>
            </w:r>
            <w:r>
              <w:rPr>
                <w:i/>
                <w:iCs/>
                <w:sz w:val="18"/>
              </w:rPr>
              <w:t xml:space="preserve">dzjowng</w:t>
            </w:r>
          </w:p>
        </w:tc>
        <w:tc>
          <w:tcPr/>
          <w:p>
            <w:pPr>
              <w:pStyle w:val="Compact"/>
              <w:keepNext/>
            </w:pPr>
            <w:r>
              <w:rPr>
                <w:sz w:val="18"/>
              </w:rPr>
              <w:t xml:space="preserve">to follow</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授</w:t>
            </w:r>
            <w:r>
              <w:rPr>
                <w:sz w:val="18"/>
              </w:rPr>
              <w:t xml:space="preserve"> </w:t>
            </w:r>
            <w:r>
              <w:rPr>
                <w:i/>
                <w:iCs/>
                <w:sz w:val="18"/>
              </w:rPr>
              <w:t xml:space="preserve">dzyuwH</w:t>
            </w:r>
          </w:p>
        </w:tc>
        <w:tc>
          <w:tcPr/>
          <w:p>
            <w:pPr>
              <w:pStyle w:val="Compact"/>
              <w:keepNext/>
            </w:pPr>
            <w:r>
              <w:rPr>
                <w:rFonts w:hint="eastAsia"/>
                <w:sz w:val="18"/>
              </w:rPr>
              <w:t xml:space="preserve">受</w:t>
            </w:r>
            <w:r>
              <w:rPr>
                <w:sz w:val="18"/>
              </w:rPr>
              <w:t xml:space="preserve"> </w:t>
            </w:r>
            <w:r>
              <w:rPr>
                <w:i/>
                <w:iCs/>
                <w:sz w:val="18"/>
              </w:rPr>
              <w:t xml:space="preserve">dzyuwX</w:t>
            </w:r>
          </w:p>
        </w:tc>
        <w:tc>
          <w:tcPr/>
          <w:p>
            <w:pPr>
              <w:pStyle w:val="Compact"/>
              <w:keepNext/>
            </w:pPr>
            <w:r>
              <w:rPr>
                <w:sz w:val="18"/>
              </w:rPr>
              <w:t xml:space="preserve">to give</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no</w:t>
            </w:r>
          </w:p>
        </w:tc>
      </w:tr>
      <w:tr>
        <w:trPr>
          <w:cantSplit/>
        </w:trPr>
        <w:tc>
          <w:tcPr/>
          <w:p>
            <w:pPr>
              <w:pStyle w:val="Compact"/>
              <w:keepNext/>
            </w:pPr>
            <w:r>
              <w:rPr>
                <w:rFonts w:hint="eastAsia"/>
                <w:sz w:val="18"/>
              </w:rPr>
              <w:t xml:space="preserve">妊</w:t>
            </w:r>
            <w:r>
              <w:rPr>
                <w:sz w:val="18"/>
              </w:rPr>
              <w:t xml:space="preserve"> </w:t>
            </w:r>
            <w:r>
              <w:rPr>
                <w:i/>
                <w:iCs/>
                <w:sz w:val="18"/>
              </w:rPr>
              <w:t xml:space="preserve">nyimH</w:t>
            </w:r>
          </w:p>
        </w:tc>
        <w:tc>
          <w:tcPr/>
          <w:p>
            <w:pPr>
              <w:pStyle w:val="Compact"/>
              <w:keepNext/>
            </w:pPr>
            <w:r>
              <w:rPr>
                <w:rFonts w:hint="eastAsia"/>
                <w:sz w:val="18"/>
              </w:rPr>
              <w:t xml:space="preserve">壬</w:t>
            </w:r>
            <w:r>
              <w:rPr>
                <w:sz w:val="18"/>
              </w:rPr>
              <w:t xml:space="preserve"> </w:t>
            </w:r>
            <w:r>
              <w:rPr>
                <w:i/>
                <w:iCs/>
                <w:sz w:val="18"/>
              </w:rPr>
              <w:t xml:space="preserve">nyim</w:t>
            </w:r>
          </w:p>
        </w:tc>
        <w:tc>
          <w:tcPr/>
          <w:p>
            <w:pPr>
              <w:pStyle w:val="Compact"/>
              <w:keepNext/>
            </w:pPr>
            <w:r>
              <w:rPr>
                <w:sz w:val="18"/>
              </w:rPr>
              <w:t xml:space="preserve">to be pregnant</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字</w:t>
            </w:r>
            <w:r>
              <w:rPr>
                <w:sz w:val="18"/>
              </w:rPr>
              <w:t xml:space="preserve"> </w:t>
            </w:r>
            <w:r>
              <w:rPr>
                <w:i/>
                <w:iCs/>
                <w:sz w:val="18"/>
              </w:rPr>
              <w:t xml:space="preserve">dziH</w:t>
            </w:r>
          </w:p>
        </w:tc>
        <w:tc>
          <w:tcPr/>
          <w:p>
            <w:pPr>
              <w:pStyle w:val="Compact"/>
              <w:keepNext/>
            </w:pPr>
            <w:r>
              <w:rPr>
                <w:rFonts w:hint="eastAsia"/>
                <w:sz w:val="18"/>
              </w:rPr>
              <w:t xml:space="preserve">子</w:t>
            </w:r>
            <w:r>
              <w:rPr>
                <w:sz w:val="18"/>
              </w:rPr>
              <w:t xml:space="preserve"> </w:t>
            </w:r>
            <w:r>
              <w:rPr>
                <w:i/>
                <w:iCs/>
                <w:sz w:val="18"/>
              </w:rPr>
              <w:t xml:space="preserve">tsiX</w:t>
            </w:r>
          </w:p>
        </w:tc>
        <w:tc>
          <w:tcPr/>
          <w:p>
            <w:pPr>
              <w:pStyle w:val="Compact"/>
              <w:keepNext/>
            </w:pPr>
            <w:r>
              <w:rPr>
                <w:sz w:val="18"/>
              </w:rPr>
              <w:t xml:space="preserve">to bear young</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殯</w:t>
            </w:r>
            <w:r>
              <w:rPr>
                <w:sz w:val="18"/>
              </w:rPr>
              <w:t xml:space="preserve"> </w:t>
            </w:r>
            <w:r>
              <w:rPr>
                <w:i/>
                <w:iCs/>
                <w:sz w:val="18"/>
              </w:rPr>
              <w:t xml:space="preserve">pjinH</w:t>
            </w:r>
          </w:p>
        </w:tc>
        <w:tc>
          <w:tcPr/>
          <w:p>
            <w:pPr>
              <w:pStyle w:val="Compact"/>
              <w:keepNext/>
            </w:pPr>
            <w:r>
              <w:rPr>
                <w:rFonts w:hint="eastAsia"/>
                <w:sz w:val="18"/>
              </w:rPr>
              <w:t xml:space="preserve">賓</w:t>
            </w:r>
            <w:r>
              <w:rPr>
                <w:sz w:val="18"/>
              </w:rPr>
              <w:t xml:space="preserve"> </w:t>
            </w:r>
            <w:r>
              <w:rPr>
                <w:i/>
                <w:iCs/>
                <w:sz w:val="18"/>
              </w:rPr>
              <w:t xml:space="preserve">pjin</w:t>
            </w:r>
          </w:p>
        </w:tc>
        <w:tc>
          <w:tcPr/>
          <w:p>
            <w:pPr>
              <w:pStyle w:val="Compact"/>
              <w:keepNext/>
            </w:pPr>
            <w:r>
              <w:rPr>
                <w:sz w:val="18"/>
              </w:rPr>
              <w:t xml:space="preserve">to lay out the dead in the coffin,</w:t>
            </w:r>
            <w:r>
              <w:rPr>
                <w:sz w:val="18"/>
              </w:rPr>
              <w:t xml:space="preserve"> </w:t>
            </w:r>
            <w:r>
              <w:rPr>
                <w:sz w:val="18"/>
              </w:rPr>
              <w:t xml:space="preserve">‘treating [them] as a guest’</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腥</w:t>
            </w:r>
            <w:r>
              <w:rPr>
                <w:sz w:val="18"/>
              </w:rPr>
              <w:t xml:space="preserve"> </w:t>
            </w:r>
            <w:r>
              <w:rPr>
                <w:i/>
                <w:iCs/>
                <w:sz w:val="18"/>
              </w:rPr>
              <w:t xml:space="preserve">sengH</w:t>
            </w:r>
          </w:p>
        </w:tc>
        <w:tc>
          <w:tcPr/>
          <w:p>
            <w:pPr>
              <w:pStyle w:val="Compact"/>
              <w:keepNext/>
            </w:pPr>
            <w:r>
              <w:rPr>
                <w:rFonts w:hint="eastAsia"/>
                <w:sz w:val="18"/>
              </w:rPr>
              <w:t xml:space="preserve">星</w:t>
            </w:r>
            <w:r>
              <w:rPr>
                <w:sz w:val="18"/>
              </w:rPr>
              <w:t xml:space="preserve"> </w:t>
            </w:r>
            <w:r>
              <w:rPr>
                <w:i/>
                <w:iCs/>
                <w:sz w:val="18"/>
              </w:rPr>
              <w:t xml:space="preserve">seng</w:t>
            </w:r>
          </w:p>
        </w:tc>
        <w:tc>
          <w:tcPr/>
          <w:p>
            <w:pPr>
              <w:pStyle w:val="Compact"/>
              <w:keepNext/>
            </w:pPr>
            <w:r>
              <w:rPr>
                <w:sz w:val="18"/>
              </w:rPr>
              <w:t xml:space="preserve">pork with</w:t>
            </w:r>
            <w:r>
              <w:rPr>
                <w:sz w:val="18"/>
              </w:rPr>
              <w:t xml:space="preserve"> </w:t>
            </w:r>
            <w:r>
              <w:rPr>
                <w:sz w:val="18"/>
              </w:rPr>
              <w:t xml:space="preserve">‘stars’</w:t>
            </w:r>
            <w:r>
              <w:rPr>
                <w:sz w:val="18"/>
              </w:rPr>
              <w:t xml:space="preserve"> </w:t>
            </w:r>
            <w:r>
              <w:rPr>
                <w:sz w:val="18"/>
              </w:rPr>
              <w:t xml:space="preserve">(cysts)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劑</w:t>
            </w:r>
            <w:r>
              <w:rPr>
                <w:sz w:val="18"/>
              </w:rPr>
              <w:t xml:space="preserve"> </w:t>
            </w:r>
            <w:r>
              <w:rPr>
                <w:i/>
                <w:iCs/>
                <w:sz w:val="18"/>
              </w:rPr>
              <w:t xml:space="preserve">dzejH</w:t>
            </w:r>
          </w:p>
        </w:tc>
        <w:tc>
          <w:tcPr/>
          <w:p>
            <w:pPr>
              <w:pStyle w:val="Compact"/>
              <w:keepNext/>
            </w:pPr>
            <w:r>
              <w:rPr>
                <w:rFonts w:hint="eastAsia"/>
                <w:sz w:val="18"/>
              </w:rPr>
              <w:t xml:space="preserve">齊</w:t>
            </w:r>
            <w:r>
              <w:rPr>
                <w:sz w:val="18"/>
              </w:rPr>
              <w:t xml:space="preserve"> </w:t>
            </w:r>
            <w:r>
              <w:rPr>
                <w:i/>
                <w:iCs/>
                <w:sz w:val="18"/>
              </w:rPr>
              <w:t xml:space="preserve">dzej</w:t>
            </w:r>
          </w:p>
        </w:tc>
        <w:tc>
          <w:tcPr/>
          <w:p>
            <w:pPr>
              <w:pStyle w:val="Compact"/>
              <w:keepNext/>
            </w:pPr>
            <w:r>
              <w:rPr>
                <w:sz w:val="18"/>
              </w:rPr>
              <w:t xml:space="preserve">to make even</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鄯</w:t>
            </w:r>
            <w:r>
              <w:rPr>
                <w:sz w:val="18"/>
              </w:rPr>
              <w:t xml:space="preserve"> </w:t>
            </w:r>
            <w:r>
              <w:rPr>
                <w:i/>
                <w:iCs/>
                <w:sz w:val="18"/>
              </w:rPr>
              <w:t xml:space="preserve">dzyenH</w:t>
            </w:r>
          </w:p>
        </w:tc>
        <w:tc>
          <w:tcPr/>
          <w:p>
            <w:pPr>
              <w:pStyle w:val="Compact"/>
              <w:keepNext/>
            </w:pPr>
            <w:r>
              <w:rPr>
                <w:rFonts w:hint="eastAsia"/>
                <w:sz w:val="18"/>
              </w:rPr>
              <w:t xml:space="preserve">善</w:t>
            </w:r>
            <w:r>
              <w:rPr>
                <w:sz w:val="18"/>
              </w:rPr>
              <w:t xml:space="preserve"> </w:t>
            </w:r>
            <w:r>
              <w:rPr>
                <w:i/>
                <w:iCs/>
                <w:sz w:val="18"/>
              </w:rPr>
              <w:t xml:space="preserve">dzyenX</w:t>
            </w:r>
          </w:p>
        </w:tc>
        <w:tc>
          <w:tcPr/>
          <w:p>
            <w:pPr>
              <w:pStyle w:val="Compact"/>
              <w:keepNext/>
            </w:pPr>
            <w:r>
              <w:rPr>
                <w:sz w:val="18"/>
              </w:rPr>
              <w:t xml:space="preserve">Shanshan, a western state</w:t>
            </w:r>
          </w:p>
        </w:tc>
        <w:tc>
          <w:tcPr/>
          <w:p>
            <w:pPr>
              <w:pStyle w:val="Compact"/>
              <w:keepNext/>
            </w:pPr>
            <w:r>
              <w:rPr>
                <w:sz w:val="18"/>
              </w:rPr>
              <w:t xml:space="preserve">X</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仲</w:t>
            </w:r>
            <w:r>
              <w:rPr>
                <w:sz w:val="18"/>
              </w:rPr>
              <w:t xml:space="preserve"> </w:t>
            </w:r>
            <w:r>
              <w:rPr>
                <w:i/>
                <w:iCs/>
                <w:sz w:val="18"/>
              </w:rPr>
              <w:t xml:space="preserve">drjuwngH</w:t>
            </w:r>
          </w:p>
        </w:tc>
        <w:tc>
          <w:tcPr/>
          <w:p>
            <w:pPr>
              <w:pStyle w:val="Compact"/>
              <w:keepNext/>
            </w:pPr>
            <w:r>
              <w:rPr>
                <w:rFonts w:hint="eastAsia"/>
                <w:sz w:val="18"/>
              </w:rPr>
              <w:t xml:space="preserve">中</w:t>
            </w:r>
            <w:r>
              <w:rPr>
                <w:sz w:val="18"/>
              </w:rPr>
              <w:t xml:space="preserve"> </w:t>
            </w:r>
            <w:r>
              <w:rPr>
                <w:i/>
                <w:iCs/>
                <w:sz w:val="18"/>
              </w:rPr>
              <w:t xml:space="preserve">trjuwng</w:t>
            </w:r>
          </w:p>
        </w:tc>
        <w:tc>
          <w:tcPr/>
          <w:p>
            <w:pPr>
              <w:pStyle w:val="Compact"/>
              <w:keepNext/>
            </w:pPr>
            <w:r>
              <w:rPr>
                <w:sz w:val="18"/>
              </w:rPr>
              <w:t xml:space="preserve">the middle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娶</w:t>
            </w:r>
            <w:r>
              <w:rPr>
                <w:sz w:val="18"/>
              </w:rPr>
              <w:t xml:space="preserve"> </w:t>
            </w:r>
            <w:r>
              <w:rPr>
                <w:i/>
                <w:iCs/>
                <w:sz w:val="18"/>
              </w:rPr>
              <w:t xml:space="preserve">tshjuH</w:t>
            </w:r>
          </w:p>
        </w:tc>
        <w:tc>
          <w:tcPr/>
          <w:p>
            <w:pPr>
              <w:pStyle w:val="Compact"/>
              <w:keepNext/>
            </w:pPr>
            <w:r>
              <w:rPr>
                <w:rFonts w:hint="eastAsia"/>
                <w:sz w:val="18"/>
              </w:rPr>
              <w:t xml:space="preserve">取</w:t>
            </w:r>
            <w:r>
              <w:rPr>
                <w:sz w:val="18"/>
              </w:rPr>
              <w:t xml:space="preserve"> </w:t>
            </w:r>
            <w:r>
              <w:rPr>
                <w:i/>
                <w:iCs/>
                <w:sz w:val="18"/>
              </w:rPr>
              <w:t xml:space="preserve">tshjuX</w:t>
            </w:r>
          </w:p>
        </w:tc>
        <w:tc>
          <w:tcPr/>
          <w:p>
            <w:pPr>
              <w:pStyle w:val="Compact"/>
              <w:keepNext/>
            </w:pPr>
            <w:r>
              <w:rPr>
                <w:sz w:val="18"/>
              </w:rPr>
              <w:t xml:space="preserve">to take a wife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緉</w:t>
            </w:r>
            <w:r>
              <w:rPr>
                <w:sz w:val="18"/>
              </w:rPr>
              <w:t xml:space="preserve"> </w:t>
            </w:r>
            <w:r>
              <w:rPr>
                <w:i/>
                <w:iCs/>
                <w:sz w:val="18"/>
              </w:rPr>
              <w:t xml:space="preserve">ljangH</w:t>
            </w:r>
          </w:p>
        </w:tc>
        <w:tc>
          <w:tcPr/>
          <w:p>
            <w:pPr>
              <w:pStyle w:val="Compact"/>
              <w:keepNext/>
            </w:pPr>
            <w:r>
              <w:rPr>
                <w:rFonts w:hint="eastAsia"/>
                <w:sz w:val="18"/>
              </w:rPr>
              <w:t xml:space="preserve">兩</w:t>
            </w:r>
            <w:r>
              <w:rPr>
                <w:sz w:val="18"/>
              </w:rPr>
              <w:t xml:space="preserve"> </w:t>
            </w:r>
            <w:r>
              <w:rPr>
                <w:i/>
                <w:iCs/>
                <w:sz w:val="18"/>
              </w:rPr>
              <w:t xml:space="preserve">ljangX</w:t>
            </w:r>
          </w:p>
        </w:tc>
        <w:tc>
          <w:tcPr/>
          <w:p>
            <w:pPr>
              <w:pStyle w:val="Compact"/>
              <w:keepNext/>
            </w:pPr>
            <w:r>
              <w:rPr>
                <w:sz w:val="18"/>
              </w:rPr>
              <w:t xml:space="preserve">a pair of shoes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w:t>
            </w:r>
          </w:p>
        </w:tc>
      </w:tr>
      <w:tr>
        <w:trPr>
          <w:cantSplit/>
        </w:trPr>
        <w:tc>
          <w:tcPr/>
          <w:p>
            <w:pPr>
              <w:pStyle w:val="Compact"/>
            </w:pPr>
            <w:r>
              <w:rPr>
                <w:rFonts w:hint="eastAsia"/>
                <w:sz w:val="18"/>
              </w:rPr>
              <w:t xml:space="preserve">坪</w:t>
            </w:r>
            <w:r>
              <w:rPr>
                <w:sz w:val="18"/>
              </w:rPr>
              <w:t xml:space="preserve"> </w:t>
            </w:r>
            <w:r>
              <w:rPr>
                <w:i/>
                <w:iCs/>
                <w:sz w:val="18"/>
              </w:rPr>
              <w:t xml:space="preserve">bjaengH</w:t>
            </w:r>
          </w:p>
        </w:tc>
        <w:tc>
          <w:tcPr/>
          <w:p>
            <w:pPr>
              <w:pStyle w:val="Compact"/>
            </w:pPr>
            <w:r>
              <w:rPr>
                <w:rFonts w:hint="eastAsia"/>
                <w:sz w:val="18"/>
              </w:rPr>
              <w:t xml:space="preserve">平</w:t>
            </w:r>
            <w:r>
              <w:rPr>
                <w:sz w:val="18"/>
              </w:rPr>
              <w:t xml:space="preserve"> </w:t>
            </w:r>
            <w:r>
              <w:rPr>
                <w:i/>
                <w:iCs/>
                <w:sz w:val="18"/>
              </w:rPr>
              <w:t xml:space="preserve">bjaeng</w:t>
            </w:r>
          </w:p>
        </w:tc>
        <w:tc>
          <w:tcPr/>
          <w:p>
            <w:pPr>
              <w:pStyle w:val="Compact"/>
            </w:pPr>
            <w:r>
              <w:rPr>
                <w:sz w:val="18"/>
              </w:rPr>
              <w:t xml:space="preserve">level ground</w:t>
            </w:r>
          </w:p>
        </w:tc>
        <w:tc>
          <w:tcPr/>
          <w:p>
            <w:pPr>
              <w:pStyle w:val="Compact"/>
            </w:pPr>
            <w:r>
              <w:rPr>
                <w:sz w:val="18"/>
              </w:rPr>
              <w:t xml:space="preserve">Y</w:t>
            </w:r>
          </w:p>
        </w:tc>
        <w:tc>
          <w:tcPr/>
          <w:p>
            <w:pPr>
              <w:pStyle w:val="Compact"/>
            </w:pPr>
            <w:r>
              <w:rPr>
                <w:sz w:val="18"/>
              </w:rPr>
              <w:t xml:space="preserve">yes</w:t>
            </w:r>
          </w:p>
        </w:tc>
        <w:tc>
          <w:tcPr/>
          <w:p>
            <w:pPr>
              <w:pStyle w:val="Compact"/>
            </w:pPr>
            <w:r>
              <w:rPr>
                <w:sz w:val="18"/>
              </w:rPr>
              <w:t xml:space="preserve">no</w:t>
            </w:r>
          </w:p>
        </w:tc>
      </w:tr>
    </w:tbl>
    <w:p>
      <w:pPr>
        <w:pStyle w:val="TableNote"/>
      </w:pPr>
      <w:r>
        <w:rPr>
          <w:i/>
          <w:iCs/>
        </w:rPr>
        <w:t xml:space="preserve">Note.</w:t>
      </w:r>
      <w:r>
        <w:t xml:space="preserve"> </w:t>
      </w:r>
      <w:r>
        <w:t xml:space="preserve">First the eight pairs whose gloss does not name the phonetic, then the eight whose gloss does, each group in the order of the digital text; MC readings in Baxter’s transcription. Code: the blind code (Y near-synonymous, E one step of extension, X proper name); pass 1 for items of the enlarged coding. The recension of </w:t>
      </w:r>
      <w:r>
        <w:rPr>
          <w:rFonts w:hint="eastAsia"/>
        </w:rPr>
        <w:t xml:space="preserve">緉</w:t>
      </w:r>
      <w:r>
        <w:t xml:space="preserve"> cannot be decided. Glosses are translated by us.</w:t>
      </w:r>
    </w:p>
    <w:p>
      <w:pPr>
        <w:pStyle w:val="BodyText"/>
      </w:pPr>
      <w:r>
        <w:t xml:space="preserve">H1c, however, bundles two claims (Table 6).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BodyText"/>
      </w:pPr>
      <w:r>
        <w:t xml:space="preserve">H1b fails as stated. Tone and voicing alternations are only somewhat commoner among non-identical labelled pairs (28.9% against 20.7%; Holm p = 0.20), and the OC measure shows nothing (Holm p = 0.31). Taken apart, however, the class is informative (Table 6):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TableCaption"/>
      </w:pPr>
      <w:r>
        <w:rPr>
          <w:b/>
          <w:bCs/>
        </w:rPr>
        <w:t xml:space="preserve">Table 6</w:t>
      </w:r>
      <w:r>
        <w:t xml:space="preserve"> </w:t>
      </w:r>
      <w:r>
        <w:t xml:space="preserve">The departing tone and other regular relations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009"/>
        <w:gridCol w:w="1188"/>
        <w:gridCol w:w="1267"/>
        <w:gridCol w:w="2455"/>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w:t>
            </w:r>
          </w:p>
        </w:tc>
      </w:tr>
      <w:tr>
        <w:trPr>
          <w:cantSplit/>
        </w:trPr>
        <w:tc>
          <w:tcPr/>
          <w:p>
            <w:pPr>
              <w:pStyle w:val="Compact"/>
              <w:keepNext/>
            </w:pPr>
            <w:r>
              <w:rPr>
                <w:i/>
                <w:iCs/>
                <w:sz w:val="18"/>
              </w:rPr>
              <w:t xml:space="preserve">Pairs differing only in tone or voicing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Member has the departing tone (H1c)</w:t>
            </w:r>
          </w:p>
        </w:tc>
        <w:tc>
          <w:tcPr/>
          <w:p>
            <w:pPr>
              <w:pStyle w:val="Compact"/>
              <w:keepNext/>
            </w:pPr>
            <w:r>
              <w:rPr>
                <w:sz w:val="18"/>
              </w:rPr>
              <w:t xml:space="preserve">16/33 (48.5%)</w:t>
            </w:r>
          </w:p>
        </w:tc>
        <w:tc>
          <w:tcPr/>
          <w:p>
            <w:pPr>
              <w:pStyle w:val="Compact"/>
              <w:keepNext/>
            </w:pPr>
            <w:r>
              <w:rPr>
                <w:sz w:val="18"/>
              </w:rPr>
              <w:t xml:space="preserve">43/150 (28.7%)</w:t>
            </w:r>
          </w:p>
        </w:tc>
        <w:tc>
          <w:tcPr/>
          <w:p>
            <w:pPr>
              <w:pStyle w:val="Compact"/>
              <w:keepNext/>
            </w:pPr>
            <w:r>
              <w:rPr>
                <w:sz w:val="18"/>
              </w:rPr>
              <w:t xml:space="preserve">2.44 [1.34, 4.48]; Holm p = 0.0056</w:t>
            </w:r>
          </w:p>
        </w:tc>
      </w:tr>
      <w:tr>
        <w:trPr>
          <w:cantSplit/>
        </w:trPr>
        <w:tc>
          <w:tcPr/>
          <w:p>
            <w:pPr>
              <w:pStyle w:val="Compact"/>
              <w:keepNext/>
            </w:pPr>
            <w:r>
              <w:rPr>
                <w:sz w:val="18"/>
              </w:rPr>
              <w:t xml:space="preserve">Step 1: departing tone involved</w:t>
            </w:r>
          </w:p>
        </w:tc>
        <w:tc>
          <w:tcPr/>
          <w:p>
            <w:pPr>
              <w:pStyle w:val="Compact"/>
              <w:keepNext/>
            </w:pPr>
            <w:r>
              <w:rPr>
                <w:sz w:val="18"/>
              </w:rPr>
              <w:t xml:space="preserve">21/33 (63.6%)</w:t>
            </w:r>
          </w:p>
        </w:tc>
        <w:tc>
          <w:tcPr/>
          <w:p>
            <w:pPr>
              <w:pStyle w:val="Compact"/>
              <w:keepNext/>
            </w:pPr>
            <w:r>
              <w:rPr>
                <w:sz w:val="18"/>
              </w:rPr>
              <w:t xml:space="preserve">58/150 (38.7%)</w:t>
            </w:r>
          </w:p>
        </w:tc>
        <w:tc>
          <w:tcPr/>
          <w:p>
            <w:pPr>
              <w:pStyle w:val="Compact"/>
              <w:keepNext/>
            </w:pPr>
            <w:r>
              <w:rPr>
                <w:sz w:val="18"/>
              </w:rPr>
              <w:t xml:space="preserve">2.42 [1.32, 4.46]</w:t>
            </w:r>
          </w:p>
        </w:tc>
      </w:tr>
      <w:tr>
        <w:trPr>
          <w:cantSplit/>
        </w:trPr>
        <w:tc>
          <w:tcPr/>
          <w:p>
            <w:pPr>
              <w:pStyle w:val="Compact"/>
              <w:keepNext/>
            </w:pPr>
            <w:r>
              <w:rPr>
                <w:sz w:val="18"/>
              </w:rPr>
              <w:t xml:space="preserve">Step 2: member departing, given step 1</w:t>
            </w:r>
          </w:p>
        </w:tc>
        <w:tc>
          <w:tcPr/>
          <w:p>
            <w:pPr>
              <w:pStyle w:val="Compact"/>
              <w:keepNext/>
            </w:pPr>
            <w:r>
              <w:rPr>
                <w:sz w:val="18"/>
              </w:rPr>
              <w:t xml:space="preserve">16/21 (76.2%)</w:t>
            </w:r>
          </w:p>
        </w:tc>
        <w:tc>
          <w:tcPr/>
          <w:p>
            <w:pPr>
              <w:pStyle w:val="Compact"/>
              <w:keepNext/>
            </w:pPr>
            <w:r>
              <w:rPr>
                <w:sz w:val="18"/>
              </w:rPr>
              <w:t xml:space="preserve">43/58 (74.1%)</w:t>
            </w:r>
          </w:p>
        </w:tc>
        <w:tc>
          <w:tcPr/>
          <w:p>
            <w:pPr>
              <w:pStyle w:val="Compact"/>
              <w:keepNext/>
            </w:pPr>
            <w:r>
              <w:rPr>
                <w:sz w:val="18"/>
              </w:rPr>
              <w:t xml:space="preserve">1.11 [0.31, 4.57]</w:t>
            </w:r>
            <w:r>
              <w:rPr>
                <w:sz w:val="18"/>
                <w:vertAlign w:val="superscript"/>
              </w:rPr>
              <w:t xml:space="preserve">a</w:t>
            </w:r>
          </w:p>
        </w:tc>
      </w:tr>
      <w:tr>
        <w:trPr>
          <w:cantSplit/>
        </w:trPr>
        <w:tc>
          <w:tcPr/>
          <w:p>
            <w:pPr>
              <w:pStyle w:val="Compact"/>
              <w:keepNext/>
            </w:pPr>
            <w:r>
              <w:rPr>
                <w:i/>
                <w:iCs/>
                <w:sz w:val="18"/>
              </w:rPr>
              <w:t xml:space="preserve">Non-identical pairs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Any tone or voicing alternation (H1b)</w:t>
            </w:r>
          </w:p>
        </w:tc>
        <w:tc>
          <w:tcPr/>
          <w:p>
            <w:pPr>
              <w:pStyle w:val="Compact"/>
              <w:keepNext/>
            </w:pPr>
            <w:r>
              <w:rPr>
                <w:sz w:val="18"/>
              </w:rPr>
              <w:t xml:space="preserve">33/114 (28.9%)</w:t>
            </w:r>
          </w:p>
        </w:tc>
        <w:tc>
          <w:tcPr/>
          <w:p>
            <w:pPr>
              <w:pStyle w:val="Compact"/>
              <w:keepNext/>
            </w:pPr>
            <w:r>
              <w:rPr>
                <w:sz w:val="18"/>
              </w:rPr>
              <w:t xml:space="preserve">150/725 (20.7%)</w:t>
            </w:r>
          </w:p>
        </w:tc>
        <w:tc>
          <w:tcPr/>
          <w:p>
            <w:pPr>
              <w:pStyle w:val="Compact"/>
              <w:keepNext/>
            </w:pPr>
            <w:r>
              <w:rPr>
                <w:sz w:val="18"/>
              </w:rPr>
              <w:t xml:space="preserve">1.29 [0.87, 1.91]; Holm p = 0.20</w:t>
            </w:r>
          </w:p>
        </w:tc>
      </w:tr>
      <w:tr>
        <w:trPr>
          <w:cantSplit/>
        </w:trPr>
        <w:tc>
          <w:tcPr/>
          <w:p>
            <w:pPr>
              <w:pStyle w:val="Compact"/>
              <w:keepNext/>
            </w:pPr>
            <w:r>
              <w:rPr>
                <w:sz w:val="18"/>
              </w:rPr>
              <w:t xml:space="preserve">Departing-tone alternation</w:t>
            </w:r>
          </w:p>
        </w:tc>
        <w:tc>
          <w:tcPr/>
          <w:p>
            <w:pPr>
              <w:pStyle w:val="Compact"/>
              <w:keepNext/>
            </w:pPr>
            <w:r>
              <w:rPr>
                <w:sz w:val="18"/>
              </w:rPr>
              <w:t xml:space="preserve">21/114 (18.4%)</w:t>
            </w:r>
          </w:p>
        </w:tc>
        <w:tc>
          <w:tcPr/>
          <w:p>
            <w:pPr>
              <w:pStyle w:val="Compact"/>
              <w:keepNext/>
            </w:pPr>
            <w:r>
              <w:rPr>
                <w:sz w:val="18"/>
              </w:rPr>
              <w:t xml:space="preserve">58/725 (8.0%)</w:t>
            </w:r>
          </w:p>
        </w:tc>
        <w:tc>
          <w:tcPr/>
          <w:p>
            <w:pPr>
              <w:pStyle w:val="Compact"/>
              <w:keepNext/>
            </w:pPr>
            <w:r>
              <w:rPr>
                <w:sz w:val="18"/>
              </w:rPr>
              <w:t xml:space="preserve">2.12 [1.38, 3.26]</w:t>
            </w:r>
          </w:p>
        </w:tc>
      </w:tr>
      <w:tr>
        <w:trPr>
          <w:cantSplit/>
        </w:trPr>
        <w:tc>
          <w:tcPr/>
          <w:p>
            <w:pPr>
              <w:pStyle w:val="Compact"/>
              <w:keepNext/>
            </w:pPr>
            <w:r>
              <w:rPr>
                <w:sz w:val="18"/>
              </w:rPr>
              <w:t xml:space="preserve">Other alternation</w:t>
            </w:r>
          </w:p>
        </w:tc>
        <w:tc>
          <w:tcPr/>
          <w:p>
            <w:pPr>
              <w:pStyle w:val="Compact"/>
              <w:keepNext/>
            </w:pPr>
            <w:r>
              <w:rPr>
                <w:sz w:val="18"/>
              </w:rPr>
              <w:t xml:space="preserve">12/114 (10.5%)</w:t>
            </w:r>
          </w:p>
        </w:tc>
        <w:tc>
          <w:tcPr/>
          <w:p>
            <w:pPr>
              <w:pStyle w:val="Compact"/>
              <w:keepNext/>
            </w:pPr>
            <w:r>
              <w:rPr>
                <w:sz w:val="18"/>
              </w:rPr>
              <w:t xml:space="preserve">92/725 (12.7%)</w:t>
            </w:r>
          </w:p>
        </w:tc>
        <w:tc>
          <w:tcPr/>
          <w:p>
            <w:pPr>
              <w:pStyle w:val="Compact"/>
              <w:keepNext/>
            </w:pPr>
            <w:r>
              <w:rPr>
                <w:sz w:val="18"/>
              </w:rPr>
              <w:t xml:space="preserve">0.70 [0.36, 1.36]</w:t>
            </w:r>
          </w:p>
        </w:tc>
      </w:tr>
      <w:tr>
        <w:trPr>
          <w:cantSplit/>
        </w:trPr>
        <w:tc>
          <w:tcPr/>
          <w:p>
            <w:pPr>
              <w:pStyle w:val="Compact"/>
              <w:keepNext/>
            </w:pPr>
            <w:r>
              <w:rPr>
                <w:i/>
                <w:iCs/>
                <w:sz w:val="18"/>
              </w:rPr>
              <w:t xml:space="preserve">Non-identical pairs (OC)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Affix or regular alternation, R (H1b)</w:t>
            </w:r>
          </w:p>
        </w:tc>
        <w:tc>
          <w:tcPr/>
          <w:p>
            <w:pPr>
              <w:pStyle w:val="Compact"/>
              <w:keepNext/>
            </w:pPr>
            <w:r>
              <w:rPr>
                <w:sz w:val="18"/>
              </w:rPr>
              <w:t xml:space="preserve">18/45 (40.0%)</w:t>
            </w:r>
          </w:p>
        </w:tc>
        <w:tc>
          <w:tcPr/>
          <w:p>
            <w:pPr>
              <w:pStyle w:val="Compact"/>
              <w:keepNext/>
            </w:pPr>
            <w:r>
              <w:rPr>
                <w:sz w:val="18"/>
              </w:rPr>
              <w:t xml:space="preserve">84/236 (35.6%)</w:t>
            </w:r>
          </w:p>
        </w:tc>
        <w:tc>
          <w:tcPr/>
          <w:p>
            <w:pPr>
              <w:pStyle w:val="Compact"/>
              <w:keepNext/>
            </w:pPr>
            <w:r>
              <w:rPr>
                <w:sz w:val="18"/>
              </w:rPr>
              <w:t xml:space="preserve">1.17 [0.62, 2.22]; Holm p = 0.31</w:t>
            </w:r>
          </w:p>
        </w:tc>
      </w:tr>
      <w:tr>
        <w:trPr>
          <w:cantSplit/>
        </w:trPr>
        <w:tc>
          <w:tcPr/>
          <w:p>
            <w:pPr>
              <w:pStyle w:val="Compact"/>
              <w:keepNext/>
            </w:pPr>
            <w:r>
              <w:rPr>
                <w:sz w:val="18"/>
              </w:rPr>
              <w:t xml:space="preserve">R involving *-s</w:t>
            </w:r>
          </w:p>
        </w:tc>
        <w:tc>
          <w:tcPr/>
          <w:p>
            <w:pPr>
              <w:pStyle w:val="Compact"/>
              <w:keepNext/>
            </w:pPr>
            <w:r>
              <w:rPr>
                <w:sz w:val="18"/>
              </w:rPr>
              <w:t xml:space="preserve">8/45 (17.8%)</w:t>
            </w:r>
          </w:p>
        </w:tc>
        <w:tc>
          <w:tcPr/>
          <w:p>
            <w:pPr>
              <w:pStyle w:val="Compact"/>
              <w:keepNext/>
            </w:pPr>
            <w:r>
              <w:rPr>
                <w:sz w:val="18"/>
              </w:rPr>
              <w:t xml:space="preserve">21/236 (8.9%)</w:t>
            </w:r>
          </w:p>
        </w:tc>
        <w:tc>
          <w:tcPr/>
          <w:p>
            <w:pPr>
              <w:pStyle w:val="Compact"/>
              <w:keepNext/>
            </w:pPr>
            <w:r>
              <w:rPr>
                <w:sz w:val="18"/>
              </w:rPr>
              <w:t xml:space="preserve">2.01 [0.98, 4.10]</w:t>
            </w:r>
          </w:p>
        </w:tc>
      </w:tr>
      <w:tr>
        <w:trPr>
          <w:cantSplit/>
        </w:trPr>
        <w:tc>
          <w:tcPr/>
          <w:p>
            <w:pPr>
              <w:pStyle w:val="Compact"/>
            </w:pPr>
            <w:r>
              <w:rPr>
                <w:sz w:val="18"/>
              </w:rPr>
              <w:t xml:space="preserve">R not involving *-s</w:t>
            </w:r>
          </w:p>
        </w:tc>
        <w:tc>
          <w:tcPr/>
          <w:p>
            <w:pPr>
              <w:pStyle w:val="Compact"/>
            </w:pPr>
            <w:r>
              <w:rPr>
                <w:sz w:val="18"/>
              </w:rPr>
              <w:t xml:space="preserve">10/45 (22.2%)</w:t>
            </w:r>
          </w:p>
        </w:tc>
        <w:tc>
          <w:tcPr/>
          <w:p>
            <w:pPr>
              <w:pStyle w:val="Compact"/>
            </w:pPr>
            <w:r>
              <w:rPr>
                <w:sz w:val="18"/>
              </w:rPr>
              <w:t xml:space="preserve">63/236 (26.7%)</w:t>
            </w:r>
          </w:p>
        </w:tc>
        <w:tc>
          <w:tcPr/>
          <w:p>
            <w:pPr>
              <w:pStyle w:val="Compact"/>
            </w:pPr>
            <w:r>
              <w:rPr>
                <w:sz w:val="18"/>
              </w:rPr>
              <w:t xml:space="preserve">0.81 [0.39, 1.65]</w:t>
            </w:r>
          </w:p>
        </w:tc>
      </w:tr>
    </w:tbl>
    <w:p>
      <w:pPr>
        <w:pStyle w:val="TableNote"/>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33"/>
    <w:bookmarkStart w:id="34" w:name="meaning-h2"/>
    <w:p>
      <w:pPr>
        <w:pStyle w:val="Heading2"/>
      </w:pPr>
      <w:r>
        <w:t xml:space="preserve">4.3 Meaning (H2)</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7). Near-synonymy is almost confined to labelled pairs (38 of 172 against 4 of 462; the four ordinary pairs are </w:t>
      </w:r>
      <w:r>
        <w:rPr>
          <w:rFonts w:hint="eastAsia"/>
        </w:rPr>
        <w:t xml:space="preserve">祥</w:t>
      </w:r>
      <w:r>
        <w:t xml:space="preserve"> beside </w:t>
      </w:r>
      <w:r>
        <w:rPr>
          <w:rFonts w:hint="eastAsia"/>
        </w:rPr>
        <w:t xml:space="preserve">羊,</w:t>
      </w:r>
      <w:r>
        <w:t xml:space="preserve"> </w:t>
      </w:r>
      <w:r>
        <w:rPr>
          <w:rFonts w:hint="eastAsia"/>
        </w:rPr>
        <w:t xml:space="preserve">愷</w:t>
      </w:r>
      <w:r>
        <w:t xml:space="preserve"> beside </w:t>
      </w:r>
      <w:r>
        <w:rPr>
          <w:rFonts w:hint="eastAsia"/>
        </w:rPr>
        <w:t xml:space="preserve">豈,</w:t>
      </w:r>
      <w:r>
        <w:t xml:space="preserve"> </w:t>
      </w:r>
      <w:r>
        <w:rPr>
          <w:rFonts w:hint="eastAsia"/>
        </w:rPr>
        <w:t xml:space="preserve">佮</w:t>
      </w:r>
      <w:r>
        <w:t xml:space="preserve"> beside </w:t>
      </w:r>
      <w:r>
        <w:rPr>
          <w:rFonts w:hint="eastAsia"/>
        </w:rPr>
        <w:t xml:space="preserve">合</w:t>
      </w:r>
      <w:r>
        <w:t xml:space="preserve"> and </w:t>
      </w:r>
      <w:r>
        <w:rPr>
          <w:rFonts w:hint="eastAsia"/>
        </w:rPr>
        <w:t xml:space="preserve">僎</w:t>
      </w:r>
      <w:r>
        <w:t xml:space="preserve"> beside </w:t>
      </w:r>
      <w:r>
        <w:rPr>
          <w:rFonts w:hint="eastAsia"/>
        </w:rPr>
        <w:t xml:space="preserve">巽).</w:t>
      </w:r>
    </w:p>
    <w:p>
      <w:pPr>
        <w:pStyle w:val="TableCaption"/>
      </w:pPr>
      <w:r>
        <w:rPr>
          <w:b/>
          <w:bCs/>
        </w:rPr>
        <w:t xml:space="preserve">Table 7</w:t>
      </w:r>
      <w:r>
        <w:t xml:space="preserve"> </w:t>
      </w:r>
      <w:r>
        <w:t xml:space="preserve">Relatedness of meaning in the two codings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326"/>
        <w:gridCol w:w="1188"/>
        <w:gridCol w:w="1188"/>
        <w:gridCol w:w="2217"/>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i/>
                <w:iCs/>
                <w:sz w:val="18"/>
              </w:rPr>
              <w:t xml:space="preserve">First sample (blind pass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25/33 (75.8%)</w:t>
            </w:r>
          </w:p>
        </w:tc>
        <w:tc>
          <w:tcPr/>
          <w:p>
            <w:pPr>
              <w:pStyle w:val="Compact"/>
              <w:keepNext/>
            </w:pPr>
            <w:r>
              <w:rPr>
                <w:sz w:val="18"/>
              </w:rPr>
              <w:t xml:space="preserve">6/50 (12.0%)</w:t>
            </w:r>
          </w:p>
        </w:tc>
        <w:tc>
          <w:tcPr/>
          <w:p>
            <w:pPr>
              <w:pStyle w:val="Compact"/>
              <w:keepNext/>
            </w:pPr>
            <w:r>
              <w:rPr>
                <w:sz w:val="18"/>
              </w:rPr>
              <w:t xml:space="preserve">22.0 [7.1, 68.0]; Holm p = 2.0 × 10⁻⁷</w:t>
            </w:r>
          </w:p>
        </w:tc>
      </w:tr>
      <w:tr>
        <w:trPr>
          <w:cantSplit/>
        </w:trPr>
        <w:tc>
          <w:tcPr/>
          <w:p>
            <w:pPr>
              <w:pStyle w:val="Compact"/>
              <w:keepNext/>
            </w:pPr>
            <w:r>
              <w:rPr>
                <w:sz w:val="18"/>
              </w:rPr>
              <w:t xml:space="preserve">Related, paronomastic glosses removed</w:t>
            </w:r>
          </w:p>
        </w:tc>
        <w:tc>
          <w:tcPr/>
          <w:p>
            <w:pPr>
              <w:pStyle w:val="Compact"/>
              <w:keepNext/>
            </w:pPr>
            <w:r>
              <w:rPr>
                <w:sz w:val="18"/>
              </w:rPr>
              <w:t xml:space="preserve">18/26 (69.2%)</w:t>
            </w:r>
          </w:p>
        </w:tc>
        <w:tc>
          <w:tcPr/>
          <w:p>
            <w:pPr>
              <w:pStyle w:val="Compact"/>
              <w:keepNext/>
            </w:pPr>
            <w:r>
              <w:rPr>
                <w:sz w:val="18"/>
              </w:rPr>
              <w:t xml:space="preserve">6/50 (12.0%)</w:t>
            </w:r>
          </w:p>
        </w:tc>
        <w:tc>
          <w:tcPr/>
          <w:p>
            <w:pPr>
              <w:pStyle w:val="Compact"/>
              <w:keepNext/>
            </w:pPr>
            <w:r>
              <w:rPr>
                <w:sz w:val="18"/>
              </w:rPr>
              <w:t xml:space="preserve">16.4 [5.1, 52.9]</w:t>
            </w:r>
          </w:p>
        </w:tc>
      </w:tr>
      <w:tr>
        <w:trPr>
          <w:cantSplit/>
        </w:trPr>
        <w:tc>
          <w:tcPr/>
          <w:p>
            <w:pPr>
              <w:pStyle w:val="Compact"/>
              <w:keepNext/>
            </w:pPr>
            <w:r>
              <w:rPr>
                <w:sz w:val="18"/>
              </w:rPr>
              <w:t xml:space="preserve">Near-synonymous (Y)</w:t>
            </w:r>
          </w:p>
        </w:tc>
        <w:tc>
          <w:tcPr/>
          <w:p>
            <w:pPr>
              <w:pStyle w:val="Compact"/>
              <w:keepNext/>
            </w:pPr>
            <w:r>
              <w:rPr>
                <w:sz w:val="18"/>
              </w:rPr>
              <w:t xml:space="preserve">8/33 (24.2%)</w:t>
            </w:r>
          </w:p>
        </w:tc>
        <w:tc>
          <w:tcPr/>
          <w:p>
            <w:pPr>
              <w:pStyle w:val="Compact"/>
              <w:keepNext/>
            </w:pPr>
            <w:r>
              <w:rPr>
                <w:sz w:val="18"/>
              </w:rPr>
              <w:t xml:space="preserve">0/50 (0%)</w:t>
            </w:r>
          </w:p>
        </w:tc>
        <w:tc>
          <w:tcPr/>
          <w:p>
            <w:pPr>
              <w:pStyle w:val="Compact"/>
              <w:keepNext/>
            </w:pPr>
            <w:r>
              <w:rPr>
                <w:sz w:val="18"/>
              </w:rPr>
              <w:t xml:space="preserve">Fisher p = 3.5 × 10⁻⁴</w:t>
            </w:r>
          </w:p>
        </w:tc>
      </w:tr>
      <w:tr>
        <w:trPr>
          <w:cantSplit/>
        </w:trPr>
        <w:tc>
          <w:tcPr/>
          <w:p>
            <w:pPr>
              <w:pStyle w:val="Compact"/>
              <w:keepNext/>
            </w:pPr>
            <w:r>
              <w:rPr>
                <w:sz w:val="18"/>
              </w:rPr>
              <w:t xml:space="preserve">Related, non-blind pass</w:t>
            </w:r>
          </w:p>
        </w:tc>
        <w:tc>
          <w:tcPr/>
          <w:p>
            <w:pPr>
              <w:pStyle w:val="Compact"/>
              <w:keepNext/>
            </w:pPr>
            <w:r>
              <w:rPr>
                <w:sz w:val="18"/>
              </w:rPr>
              <w:t xml:space="preserve">27/35 (77.1%)</w:t>
            </w:r>
          </w:p>
        </w:tc>
        <w:tc>
          <w:tcPr/>
          <w:p>
            <w:pPr>
              <w:pStyle w:val="Compact"/>
              <w:keepNext/>
            </w:pPr>
            <w:r>
              <w:rPr>
                <w:sz w:val="18"/>
              </w:rPr>
              <w:t xml:space="preserve">8/53 (15.1%)</w:t>
            </w:r>
          </w:p>
        </w:tc>
        <w:tc>
          <w:tcPr/>
          <w:p>
            <w:pPr>
              <w:pStyle w:val="Compact"/>
              <w:keepNext/>
            </w:pPr>
            <w:r>
              <w:rPr>
                <w:sz w:val="18"/>
              </w:rPr>
              <w:t xml:space="preserve">Fisher OR 19.0</w:t>
            </w:r>
          </w:p>
        </w:tc>
      </w:tr>
      <w:tr>
        <w:trPr>
          <w:cantSplit/>
        </w:trPr>
        <w:tc>
          <w:tcPr/>
          <w:p>
            <w:pPr>
              <w:pStyle w:val="Compact"/>
              <w:keepNext/>
            </w:pPr>
            <w:r>
              <w:rPr>
                <w:i/>
                <w:iCs/>
                <w:sz w:val="18"/>
              </w:rPr>
              <w:t xml:space="preserve">Enlarged coding, pairs with MC readings (pass 1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141/172 (82.0%)</w:t>
            </w:r>
          </w:p>
        </w:tc>
        <w:tc>
          <w:tcPr/>
          <w:p>
            <w:pPr>
              <w:pStyle w:val="Compact"/>
              <w:keepNext/>
            </w:pPr>
            <w:r>
              <w:rPr>
                <w:sz w:val="18"/>
              </w:rPr>
              <w:t xml:space="preserve">79/462 (17.1%)</w:t>
            </w:r>
          </w:p>
        </w:tc>
        <w:tc>
          <w:tcPr/>
          <w:p>
            <w:pPr>
              <w:pStyle w:val="Compact"/>
              <w:keepNext/>
            </w:pPr>
            <w:r>
              <w:rPr>
                <w:sz w:val="18"/>
              </w:rPr>
              <w:t xml:space="preserve">21.6 [13.3, 35.0]</w:t>
            </w:r>
          </w:p>
        </w:tc>
      </w:tr>
      <w:tr>
        <w:trPr>
          <w:cantSplit/>
        </w:trPr>
        <w:tc>
          <w:tcPr/>
          <w:p>
            <w:pPr>
              <w:pStyle w:val="Compact"/>
              <w:keepNext/>
            </w:pPr>
            <w:r>
              <w:rPr>
                <w:sz w:val="18"/>
              </w:rPr>
              <w:t xml:space="preserve">Related, pass 2</w:t>
            </w:r>
          </w:p>
        </w:tc>
        <w:tc>
          <w:tcPr/>
          <w:p>
            <w:pPr>
              <w:pStyle w:val="Compact"/>
              <w:keepNext/>
            </w:pPr>
            <w:r>
              <w:rPr>
                <w:sz w:val="18"/>
              </w:rPr>
              <w:t xml:space="preserve">138/172 (80.2%)</w:t>
            </w:r>
          </w:p>
        </w:tc>
        <w:tc>
          <w:tcPr/>
          <w:p>
            <w:pPr>
              <w:pStyle w:val="Compact"/>
              <w:keepNext/>
            </w:pPr>
            <w:r>
              <w:rPr>
                <w:sz w:val="18"/>
              </w:rPr>
              <w:t xml:space="preserve">83/459 (18.1%)</w:t>
            </w:r>
          </w:p>
        </w:tc>
        <w:tc>
          <w:tcPr/>
          <w:p>
            <w:pPr>
              <w:pStyle w:val="Compact"/>
              <w:keepNext/>
            </w:pPr>
            <w:r>
              <w:rPr>
                <w:sz w:val="18"/>
              </w:rPr>
              <w:t xml:space="preserve">18.1 [11.7, 27.9]</w:t>
            </w:r>
          </w:p>
        </w:tc>
      </w:tr>
      <w:tr>
        <w:trPr>
          <w:cantSplit/>
        </w:trPr>
        <w:tc>
          <w:tcPr/>
          <w:p>
            <w:pPr>
              <w:pStyle w:val="Compact"/>
              <w:keepNext/>
            </w:pPr>
            <w:r>
              <w:rPr>
                <w:sz w:val="18"/>
              </w:rPr>
              <w:t xml:space="preserve">Related, authors’ consolidated judgment replacing 126 codes</w:t>
            </w:r>
          </w:p>
        </w:tc>
        <w:tc>
          <w:tcPr/>
          <w:p>
            <w:pPr>
              <w:pStyle w:val="Compact"/>
              <w:keepNext/>
            </w:pPr>
            <w:r>
              <w:rPr>
                <w:sz w:val="18"/>
              </w:rPr>
              <w:t xml:space="preserve">138/172 (80.2%)</w:t>
            </w:r>
          </w:p>
        </w:tc>
        <w:tc>
          <w:tcPr/>
          <w:p>
            <w:pPr>
              <w:pStyle w:val="Compact"/>
              <w:keepNext/>
            </w:pPr>
            <w:r>
              <w:rPr>
                <w:sz w:val="18"/>
              </w:rPr>
              <w:t xml:space="preserve">74/457 (16.2%)</w:t>
            </w:r>
          </w:p>
        </w:tc>
        <w:tc>
          <w:tcPr/>
          <w:p>
            <w:pPr>
              <w:pStyle w:val="Compact"/>
              <w:keepNext/>
            </w:pPr>
            <w:r>
              <w:rPr>
                <w:sz w:val="18"/>
              </w:rPr>
              <w:t xml:space="preserve">20.7 [13.0, 33.1]</w:t>
            </w:r>
          </w:p>
        </w:tc>
      </w:tr>
      <w:tr>
        <w:trPr>
          <w:cantSplit/>
        </w:trPr>
        <w:tc>
          <w:tcPr/>
          <w:p>
            <w:pPr>
              <w:pStyle w:val="Compact"/>
            </w:pPr>
            <w:r>
              <w:rPr>
                <w:sz w:val="18"/>
              </w:rPr>
              <w:t xml:space="preserve">Near-synonymous (Y)</w:t>
            </w:r>
          </w:p>
        </w:tc>
        <w:tc>
          <w:tcPr/>
          <w:p>
            <w:pPr>
              <w:pStyle w:val="Compact"/>
            </w:pPr>
            <w:r>
              <w:rPr>
                <w:sz w:val="18"/>
              </w:rPr>
              <w:t xml:space="preserve">38/172</w:t>
            </w:r>
          </w:p>
        </w:tc>
        <w:tc>
          <w:tcPr/>
          <w:p>
            <w:pPr>
              <w:pStyle w:val="Compact"/>
            </w:pPr>
            <w:r>
              <w:rPr>
                <w:sz w:val="18"/>
              </w:rPr>
              <w:t xml:space="preserve">4/462</w:t>
            </w:r>
          </w:p>
        </w:tc>
        <w:tc>
          <w:tcPr/>
          <w:p>
            <w:pPr>
              <w:pStyle w:val="Compact"/>
            </w:pPr>
            <w:r>
              <w:rPr>
                <w:sz w:val="18"/>
              </w:rPr>
              <w:t xml:space="preserve">–</w:t>
            </w:r>
          </w:p>
        </w:tc>
      </w:tr>
    </w:tbl>
    <w:p>
      <w:pPr>
        <w:pStyle w:val="TableNote"/>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w:t>
      </w:r>
    </w:p>
    <w:p>
      <w:pPr>
        <w:pStyle w:val="BodyText"/>
      </w:pPr>
      <w:r>
        <w:t xml:space="preserve">The codes can be checked in two ways. The two blind passes disagree on 76 of the 677 new items (11.2%), 33 of the 177 labelled and 43 of the 500 ordinary pairs, and the disagreements differ in kind between the groups. Among labelled pairs 16 lie between Y and E, which leaves the pair related on either reading, and 15 between E and N; among ordinary pairs 30 lie between E and N and 10 between N and a proper name. In all, 17 labelled and 31 ordinary pairs are coded related by one pass and N by the other. The authors’ check covered all 76 and 50 of the 601 items on which the passes agree. On the 50 their consolidated judgment matches the shared code in 45 cases (in 47 on whether the pair is related); of the 76 disagreements it follows pass 2 in 50, pass 1 in 23 and neither in 3. Estimated over all 677 new items, agreement with pass 1 is κ = 0.735 (95% CI 0.60–0.84) and with pass 2 κ = 0.798 (0.67–0.91), stratified estimates of agreement between a human judgment and a model. Relative to pass 1 the checked pairs move in both directions in both groups: of 45 labelled pairs, 10 from related to unrelated and 5 the other way; of 81 ordinary pairs, 13 and 8.</w:t>
      </w:r>
    </w:p>
    <w:bookmarkEnd w:id="34"/>
    <w:bookmarkStart w:id="38" w:name="sound-among-related-pairs-h5"/>
    <w:p>
      <w:pPr>
        <w:pStyle w:val="Heading2"/>
      </w:pPr>
      <w:r>
        <w:t xml:space="preserve">4.4 Sound among related pairs (H5)</w:t>
      </w:r>
    </w:p>
    <w:p>
      <w:pPr>
        <w:pStyle w:val="FirstParagraph"/>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BodyText"/>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At the ordinary rate only about 41 of the 141 would be identical or departing-tone alternants.</w:t>
      </w:r>
    </w:p>
    <w:p>
      <w:pPr>
        <w:pStyle w:val="BodyText"/>
      </w:pPr>
      <w:r>
        <w:t xml:space="preserve">The comparison counts pairs such as these. Among related labelled pairs, </w:t>
      </w:r>
      <w:r>
        <w:rPr>
          <w:rFonts w:hint="eastAsia"/>
        </w:rPr>
        <w:t xml:space="preserve">傾</w:t>
      </w:r>
      <w:r>
        <w:t xml:space="preserve"> and </w:t>
      </w:r>
      <w:r>
        <w:rPr>
          <w:rFonts w:hint="eastAsia"/>
        </w:rPr>
        <w:t xml:space="preserve">頃</w:t>
      </w:r>
      <w:r>
        <w:t xml:space="preserve"> (Y) are homophonous and </w:t>
      </w:r>
      <w:r>
        <w:rPr>
          <w:rFonts w:hint="eastAsia"/>
        </w:rPr>
        <w:t xml:space="preserve">珥</w:t>
      </w:r>
      <w:r>
        <w:t xml:space="preserve"> and </w:t>
      </w:r>
      <w:r>
        <w:rPr>
          <w:rFonts w:hint="eastAsia"/>
        </w:rPr>
        <w:t xml:space="preserve">耳</w:t>
      </w:r>
      <w:r>
        <w:t xml:space="preserve"> (E) differ by the departing tone, whereas </w:t>
      </w:r>
      <w:r>
        <w:rPr>
          <w:rFonts w:hint="eastAsia"/>
        </w:rPr>
        <w:t xml:space="preserve">窞</w:t>
      </w:r>
      <w:r>
        <w:t xml:space="preserve"> </w:t>
      </w:r>
      <w:r>
        <w:t xml:space="preserve">‘a small pit within a pit’</w:t>
      </w:r>
      <w:r>
        <w:t xml:space="preserve"> </w:t>
      </w:r>
      <w:r>
        <w:t xml:space="preserve">beside </w:t>
      </w:r>
      <w:r>
        <w:rPr>
          <w:rFonts w:hint="eastAsia"/>
        </w:rPr>
        <w:t xml:space="preserve">臽</w:t>
      </w:r>
      <w:r>
        <w:t xml:space="preserve"> </w:t>
      </w:r>
      <w:r>
        <w:t xml:space="preserve">‘a small pit’</w:t>
      </w:r>
      <w:r>
        <w:t xml:space="preserve"> </w:t>
      </w:r>
      <w:r>
        <w:t xml:space="preserve">(Y) and </w:t>
      </w:r>
      <w:r>
        <w:rPr>
          <w:rFonts w:hint="eastAsia"/>
        </w:rPr>
        <w:t xml:space="preserve">胖</w:t>
      </w:r>
      <w:r>
        <w:t xml:space="preserve"> </w:t>
      </w:r>
      <w:r>
        <w:t xml:space="preserve">‘half a carcass’</w:t>
      </w:r>
      <w:r>
        <w:t xml:space="preserve"> </w:t>
      </w:r>
      <w:r>
        <w:t xml:space="preserve">beside </w:t>
      </w:r>
      <w:r>
        <w:rPr>
          <w:rFonts w:hint="eastAsia"/>
        </w:rPr>
        <w:t xml:space="preserve">半</w:t>
      </w:r>
      <w:r>
        <w:t xml:space="preserve"> </w:t>
      </w:r>
      <w:r>
        <w:t xml:space="preserve">‘half’</w:t>
      </w:r>
      <w:r>
        <w:t xml:space="preserve"> </w:t>
      </w:r>
      <w:r>
        <w:t xml:space="preserve">(Y and E) are remote in sound; of the 141, 73 are near, 60 remote and 8 differ in other tones or voicing. Among related ordinary pairs, </w:t>
      </w:r>
      <w:r>
        <w:rPr>
          <w:rFonts w:hint="eastAsia"/>
        </w:rPr>
        <w:t xml:space="preserve">𠛎</w:t>
      </w:r>
      <w:r>
        <w:t xml:space="preserve"> </w:t>
      </w:r>
      <w:r>
        <w:t xml:space="preserve">‘sickle’</w:t>
      </w:r>
      <w:r>
        <w:t xml:space="preserve"> </w:t>
      </w:r>
      <w:r>
        <w:t xml:space="preserve">beside </w:t>
      </w:r>
      <w:r>
        <w:rPr>
          <w:rFonts w:hint="eastAsia"/>
        </w:rPr>
        <w:t xml:space="preserve">句</w:t>
      </w:r>
      <w:r>
        <w:t xml:space="preserve"> </w:t>
      </w:r>
      <w:r>
        <w:t xml:space="preserve">‘curved’</w:t>
      </w:r>
      <w:r>
        <w:t xml:space="preserve"> </w:t>
      </w:r>
      <w:r>
        <w:t xml:space="preserve">and </w:t>
      </w:r>
      <w:r>
        <w:rPr>
          <w:rFonts w:hint="eastAsia"/>
        </w:rPr>
        <w:t xml:space="preserve">繪</w:t>
      </w:r>
      <w:r>
        <w:t xml:space="preserve"> </w:t>
      </w:r>
      <w:r>
        <w:t xml:space="preserve">‘to embroider in colours’</w:t>
      </w:r>
      <w:r>
        <w:t xml:space="preserve"> </w:t>
      </w:r>
      <w:r>
        <w:t xml:space="preserve">beside </w:t>
      </w:r>
      <w:r>
        <w:rPr>
          <w:rFonts w:hint="eastAsia"/>
        </w:rPr>
        <w:t xml:space="preserve">會</w:t>
      </w:r>
      <w:r>
        <w:t xml:space="preserve"> </w:t>
      </w:r>
      <w:r>
        <w:t xml:space="preserve">‘to join’</w:t>
      </w:r>
      <w:r>
        <w:t xml:space="preserve"> </w:t>
      </w:r>
      <w:r>
        <w:t xml:space="preserve">are homophonous, whereas </w:t>
      </w:r>
      <w:r>
        <w:rPr>
          <w:rFonts w:hint="eastAsia"/>
        </w:rPr>
        <w:t xml:space="preserve">僎</w:t>
      </w:r>
      <w:r>
        <w:t xml:space="preserve"> beside </w:t>
      </w:r>
      <w:r>
        <w:rPr>
          <w:rFonts w:hint="eastAsia"/>
        </w:rPr>
        <w:t xml:space="preserve">巽</w:t>
      </w:r>
      <w:r>
        <w:t xml:space="preserve"> (Y) and </w:t>
      </w:r>
      <w:r>
        <w:rPr>
          <w:rFonts w:hint="eastAsia"/>
        </w:rPr>
        <w:t xml:space="preserve">鬻</w:t>
      </w:r>
      <w:r>
        <w:t xml:space="preserve"> beside </w:t>
      </w:r>
      <w:r>
        <w:rPr>
          <w:rFonts w:hint="eastAsia"/>
        </w:rPr>
        <w:t xml:space="preserve">米</w:t>
      </w:r>
      <w:r>
        <w:t xml:space="preserve"> (E) are remote.</w:t>
      </w:r>
    </w:p>
    <w:p>
      <w:pPr>
        <w:pStyle w:val="BodyText"/>
      </w:pPr>
      <w:r>
        <w:t xml:space="preserve">The difference holds for identity alone, without paronomastic glosses, in pass 2, where the passes agree, and with the unused second answers of two batches (2.39), and the 677 new items alone reproduce it (OR 2.42; Table 8, Fig. 1). With the 126 codes the authors checked replaced by their consolidated judgment it is 2.73 (95% CI 1.61–4.65), a sensitivity value, since only the checked items change. In a model of all 634 pairs, relatedness and the label have effects of similar size (OR 2.34, 95% CI 1.51–3.63, and 1.98, 1.30–3.02).</w:t>
      </w:r>
    </w:p>
    <w:p>
      <w:pPr>
        <w:pStyle w:val="BodyText"/>
      </w:pPr>
      <w:r>
        <w:t xml:space="preserve">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within series 1.43, 0.29–7.16), an exploratory figure.</w:t>
      </w:r>
    </w:p>
    <w:p>
      <w:pPr>
        <w:pStyle w:val="TableCaption"/>
      </w:pPr>
      <w:r>
        <w:rPr>
          <w:b/>
          <w:bCs/>
        </w:rPr>
        <w:t xml:space="preserve">Table 8</w:t>
      </w:r>
      <w:r>
        <w:t xml:space="preserve"> </w:t>
      </w:r>
      <w:r>
        <w:t xml:space="preserve">Sound among related pairs: identical or departing-tone alternation, enlarged coding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772"/>
        <w:gridCol w:w="1188"/>
        <w:gridCol w:w="1108"/>
        <w:gridCol w:w="2851"/>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sz w:val="18"/>
              </w:rPr>
              <w:t xml:space="preserve">All related pairs (H5)</w:t>
            </w:r>
          </w:p>
        </w:tc>
        <w:tc>
          <w:tcPr/>
          <w:p>
            <w:pPr>
              <w:pStyle w:val="Compact"/>
              <w:keepNext/>
            </w:pPr>
            <w:r>
              <w:rPr>
                <w:sz w:val="18"/>
              </w:rPr>
              <w:t xml:space="preserve">73/141 (51.8%)</w:t>
            </w:r>
          </w:p>
        </w:tc>
        <w:tc>
          <w:tcPr/>
          <w:p>
            <w:pPr>
              <w:pStyle w:val="Compact"/>
              <w:keepNext/>
            </w:pPr>
            <w:r>
              <w:rPr>
                <w:sz w:val="18"/>
              </w:rPr>
              <w:t xml:space="preserve">23/79 (29.1%)</w:t>
            </w:r>
          </w:p>
        </w:tc>
        <w:tc>
          <w:tcPr/>
          <w:p>
            <w:pPr>
              <w:pStyle w:val="Compact"/>
              <w:keepNext/>
            </w:pPr>
            <w:r>
              <w:rPr>
                <w:sz w:val="18"/>
              </w:rPr>
              <w:t xml:space="preserve">2.35 [1.43, 3.86]; one-sided p = 0.0004</w:t>
            </w:r>
          </w:p>
        </w:tc>
      </w:tr>
      <w:tr>
        <w:trPr>
          <w:cantSplit/>
        </w:trPr>
        <w:tc>
          <w:tcPr/>
          <w:p>
            <w:pPr>
              <w:pStyle w:val="Compact"/>
              <w:keepNext/>
            </w:pPr>
            <w:r>
              <w:rPr>
                <w:sz w:val="18"/>
              </w:rPr>
              <w:t xml:space="preserve">Same, within series (MH, 37 phonetics)</w:t>
            </w:r>
          </w:p>
        </w:tc>
        <w:tc>
          <w:tcPr/>
          <w:p>
            <w:pPr>
              <w:pStyle w:val="Compact"/>
              <w:keepNext/>
            </w:pPr>
          </w:p>
        </w:tc>
        <w:tc>
          <w:tcPr/>
          <w:p>
            <w:pPr>
              <w:pStyle w:val="Compact"/>
              <w:keepNext/>
            </w:pPr>
          </w:p>
        </w:tc>
        <w:tc>
          <w:tcPr/>
          <w:p>
            <w:pPr>
              <w:pStyle w:val="Compact"/>
              <w:keepNext/>
            </w:pPr>
            <w:r>
              <w:rPr>
                <w:sz w:val="18"/>
              </w:rPr>
              <w:t xml:space="preserve">2.01 [0.75, 5.39]</w:t>
            </w:r>
          </w:p>
        </w:tc>
      </w:tr>
      <w:tr>
        <w:trPr>
          <w:cantSplit/>
        </w:trPr>
        <w:tc>
          <w:tcPr/>
          <w:p>
            <w:pPr>
              <w:pStyle w:val="Compact"/>
              <w:keepNext/>
            </w:pPr>
            <w:r>
              <w:rPr>
                <w:sz w:val="18"/>
              </w:rPr>
              <w:t xml:space="preserve">Authors’ consolidated judgment replacing 126 codes</w:t>
            </w:r>
          </w:p>
        </w:tc>
        <w:tc>
          <w:tcPr/>
          <w:p>
            <w:pPr>
              <w:pStyle w:val="Compact"/>
              <w:keepNext/>
            </w:pPr>
            <w:r>
              <w:rPr>
                <w:sz w:val="18"/>
              </w:rPr>
              <w:t xml:space="preserve">70/138 (50.7%)</w:t>
            </w:r>
          </w:p>
        </w:tc>
        <w:tc>
          <w:tcPr/>
          <w:p>
            <w:pPr>
              <w:pStyle w:val="Compact"/>
              <w:keepNext/>
            </w:pPr>
            <w:r>
              <w:rPr>
                <w:sz w:val="18"/>
              </w:rPr>
              <w:t xml:space="preserve">19/74 (25.7%)</w:t>
            </w:r>
          </w:p>
        </w:tc>
        <w:tc>
          <w:tcPr/>
          <w:p>
            <w:pPr>
              <w:pStyle w:val="Compact"/>
              <w:keepNext/>
            </w:pPr>
            <w:r>
              <w:rPr>
                <w:sz w:val="18"/>
              </w:rPr>
              <w:t xml:space="preserve">2.73 [1.61, 4.65]; within series 2.26 [0.80, 6.33]</w:t>
            </w:r>
          </w:p>
        </w:tc>
      </w:tr>
      <w:tr>
        <w:trPr>
          <w:cantSplit/>
        </w:trPr>
        <w:tc>
          <w:tcPr/>
          <w:p>
            <w:pPr>
              <w:pStyle w:val="Compact"/>
              <w:keepNext/>
            </w:pPr>
            <w:r>
              <w:rPr>
                <w:sz w:val="18"/>
              </w:rPr>
              <w:t xml:space="preserve">Identity only</w:t>
            </w:r>
          </w:p>
        </w:tc>
        <w:tc>
          <w:tcPr/>
          <w:p>
            <w:pPr>
              <w:pStyle w:val="Compact"/>
              <w:keepNext/>
            </w:pPr>
            <w:r>
              <w:rPr>
                <w:sz w:val="18"/>
              </w:rPr>
              <w:t xml:space="preserve">54/141 (38.3%)</w:t>
            </w:r>
          </w:p>
        </w:tc>
        <w:tc>
          <w:tcPr/>
          <w:p>
            <w:pPr>
              <w:pStyle w:val="Compact"/>
              <w:keepNext/>
            </w:pPr>
            <w:r>
              <w:rPr>
                <w:sz w:val="18"/>
              </w:rPr>
              <w:t xml:space="preserve">15/79 (19.0%)</w:t>
            </w:r>
          </w:p>
        </w:tc>
        <w:tc>
          <w:tcPr/>
          <w:p>
            <w:pPr>
              <w:pStyle w:val="Compact"/>
              <w:keepNext/>
            </w:pPr>
            <w:r>
              <w:rPr>
                <w:sz w:val="18"/>
              </w:rPr>
              <w:t xml:space="preserve">2.57 [1.35, 4.87]</w:t>
            </w:r>
          </w:p>
        </w:tc>
      </w:tr>
      <w:tr>
        <w:trPr>
          <w:cantSplit/>
        </w:trPr>
        <w:tc>
          <w:tcPr/>
          <w:p>
            <w:pPr>
              <w:pStyle w:val="Compact"/>
              <w:keepNext/>
            </w:pPr>
            <w:r>
              <w:rPr>
                <w:sz w:val="18"/>
              </w:rPr>
              <w:t xml:space="preserve">Paronomastic glosses removed</w:t>
            </w:r>
          </w:p>
        </w:tc>
        <w:tc>
          <w:tcPr/>
          <w:p>
            <w:pPr>
              <w:pStyle w:val="Compact"/>
              <w:keepNext/>
            </w:pPr>
            <w:r>
              <w:rPr>
                <w:sz w:val="18"/>
              </w:rPr>
              <w:t xml:space="preserve">43/94 (45.7%)</w:t>
            </w:r>
          </w:p>
        </w:tc>
        <w:tc>
          <w:tcPr/>
          <w:p>
            <w:pPr>
              <w:pStyle w:val="Compact"/>
              <w:keepNext/>
            </w:pPr>
            <w:r>
              <w:rPr>
                <w:sz w:val="18"/>
              </w:rPr>
              <w:t xml:space="preserve">20/73 (27.4%)</w:t>
            </w:r>
          </w:p>
        </w:tc>
        <w:tc>
          <w:tcPr/>
          <w:p>
            <w:pPr>
              <w:pStyle w:val="Compact"/>
              <w:keepNext/>
            </w:pPr>
            <w:r>
              <w:rPr>
                <w:sz w:val="18"/>
              </w:rPr>
              <w:t xml:space="preserve">2.09 [1.18, 3.71]</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41/93 (44.1%)</w:t>
            </w:r>
          </w:p>
        </w:tc>
        <w:tc>
          <w:tcPr/>
          <w:p>
            <w:pPr>
              <w:pStyle w:val="Compact"/>
              <w:keepNext/>
            </w:pPr>
            <w:r>
              <w:rPr>
                <w:sz w:val="18"/>
              </w:rPr>
              <w:t xml:space="preserve">23/79 (29.1%)</w:t>
            </w:r>
          </w:p>
        </w:tc>
        <w:tc>
          <w:tcPr/>
          <w:p>
            <w:pPr>
              <w:pStyle w:val="Compact"/>
              <w:keepNext/>
            </w:pPr>
            <w:r>
              <w:rPr>
                <w:sz w:val="18"/>
              </w:rPr>
              <w:t xml:space="preserve">1.81 [1.04, 3.15]</w:t>
            </w:r>
          </w:p>
        </w:tc>
      </w:tr>
      <w:tr>
        <w:trPr>
          <w:cantSplit/>
        </w:trPr>
        <w:tc>
          <w:tcPr/>
          <w:p>
            <w:pPr>
              <w:pStyle w:val="Compact"/>
              <w:keepNext/>
            </w:pPr>
            <w:r>
              <w:rPr>
                <w:sz w:val="18"/>
              </w:rPr>
              <w:t xml:space="preserve">Shared labels, paronomastic glosses removed</w:t>
            </w:r>
            <w:r>
              <w:rPr>
                <w:sz w:val="18"/>
                <w:vertAlign w:val="superscript"/>
              </w:rPr>
              <w:t xml:space="preserve">a</w:t>
            </w:r>
          </w:p>
        </w:tc>
        <w:tc>
          <w:tcPr/>
          <w:p>
            <w:pPr>
              <w:pStyle w:val="Compact"/>
              <w:keepNext/>
            </w:pPr>
            <w:r>
              <w:rPr>
                <w:sz w:val="18"/>
              </w:rPr>
              <w:t xml:space="preserve">27/66 (40.9%)</w:t>
            </w:r>
          </w:p>
        </w:tc>
        <w:tc>
          <w:tcPr/>
          <w:p>
            <w:pPr>
              <w:pStyle w:val="Compact"/>
              <w:keepNext/>
            </w:pPr>
            <w:r>
              <w:rPr>
                <w:sz w:val="18"/>
              </w:rPr>
              <w:t xml:space="preserve">20/73 (27.4%)</w:t>
            </w:r>
          </w:p>
        </w:tc>
        <w:tc>
          <w:tcPr/>
          <w:p>
            <w:pPr>
              <w:pStyle w:val="Compact"/>
              <w:keepNext/>
            </w:pPr>
            <w:r>
              <w:rPr>
                <w:sz w:val="18"/>
              </w:rPr>
              <w:t xml:space="preserve">1.80 [0.95, 3.42]; within series 1.43 [0.29, 7.16]</w:t>
            </w:r>
          </w:p>
        </w:tc>
      </w:tr>
      <w:tr>
        <w:trPr>
          <w:cantSplit/>
        </w:trPr>
        <w:tc>
          <w:tcPr/>
          <w:p>
            <w:pPr>
              <w:pStyle w:val="Compact"/>
              <w:keepNext/>
            </w:pPr>
            <w:r>
              <w:rPr>
                <w:sz w:val="18"/>
              </w:rPr>
              <w:t xml:space="preserve">Pass 2</w:t>
            </w:r>
          </w:p>
        </w:tc>
        <w:tc>
          <w:tcPr/>
          <w:p>
            <w:pPr>
              <w:pStyle w:val="Compact"/>
              <w:keepNext/>
            </w:pPr>
            <w:r>
              <w:rPr>
                <w:sz w:val="18"/>
              </w:rPr>
              <w:t xml:space="preserve">70/138 (50.7%)</w:t>
            </w:r>
          </w:p>
        </w:tc>
        <w:tc>
          <w:tcPr/>
          <w:p>
            <w:pPr>
              <w:pStyle w:val="Compact"/>
              <w:keepNext/>
            </w:pPr>
            <w:r>
              <w:rPr>
                <w:sz w:val="18"/>
              </w:rPr>
              <w:t xml:space="preserve">23/83 (27.7%)</w:t>
            </w:r>
          </w:p>
        </w:tc>
        <w:tc>
          <w:tcPr/>
          <w:p>
            <w:pPr>
              <w:pStyle w:val="Compact"/>
              <w:keepNext/>
            </w:pPr>
            <w:r>
              <w:rPr>
                <w:sz w:val="18"/>
              </w:rPr>
              <w:t xml:space="preserve">2.44 [1.49, 3.99]</w:t>
            </w:r>
          </w:p>
        </w:tc>
      </w:tr>
      <w:tr>
        <w:trPr>
          <w:cantSplit/>
        </w:trPr>
        <w:tc>
          <w:tcPr/>
          <w:p>
            <w:pPr>
              <w:pStyle w:val="Compact"/>
              <w:keepNext/>
            </w:pPr>
            <w:r>
              <w:rPr>
                <w:sz w:val="18"/>
              </w:rPr>
              <w:t xml:space="preserve">Pairs on which the passes agree</w:t>
            </w:r>
          </w:p>
        </w:tc>
        <w:tc>
          <w:tcPr/>
          <w:p>
            <w:pPr>
              <w:pStyle w:val="Compact"/>
              <w:keepNext/>
            </w:pPr>
            <w:r>
              <w:rPr>
                <w:sz w:val="18"/>
              </w:rPr>
              <w:t xml:space="preserve">68/132 (51.5%)</w:t>
            </w:r>
          </w:p>
        </w:tc>
        <w:tc>
          <w:tcPr/>
          <w:p>
            <w:pPr>
              <w:pStyle w:val="Compact"/>
              <w:keepNext/>
            </w:pPr>
            <w:r>
              <w:rPr>
                <w:sz w:val="18"/>
              </w:rPr>
              <w:t xml:space="preserve">18/65 (27.7%)</w:t>
            </w:r>
          </w:p>
        </w:tc>
        <w:tc>
          <w:tcPr/>
          <w:p>
            <w:pPr>
              <w:pStyle w:val="Compact"/>
              <w:keepNext/>
            </w:pPr>
            <w:r>
              <w:rPr>
                <w:sz w:val="18"/>
              </w:rPr>
              <w:t xml:space="preserve">2.60 [1.48, 4.57]</w:t>
            </w:r>
          </w:p>
        </w:tc>
      </w:tr>
      <w:tr>
        <w:trPr>
          <w:cantSplit/>
        </w:trPr>
        <w:tc>
          <w:tcPr/>
          <w:p>
            <w:pPr>
              <w:pStyle w:val="Compact"/>
              <w:keepNext/>
            </w:pPr>
            <w:r>
              <w:rPr>
                <w:sz w:val="18"/>
              </w:rPr>
              <w:t xml:space="preserve">Pairs coded E only</w:t>
            </w:r>
            <w:r>
              <w:rPr>
                <w:sz w:val="18"/>
                <w:vertAlign w:val="superscript"/>
              </w:rPr>
              <w:t xml:space="preserve">a</w:t>
            </w:r>
          </w:p>
        </w:tc>
        <w:tc>
          <w:tcPr/>
          <w:p>
            <w:pPr>
              <w:pStyle w:val="Compact"/>
              <w:keepNext/>
            </w:pPr>
            <w:r>
              <w:rPr>
                <w:sz w:val="18"/>
              </w:rPr>
              <w:t xml:space="preserve">49/103 (47.6%)</w:t>
            </w:r>
          </w:p>
        </w:tc>
        <w:tc>
          <w:tcPr/>
          <w:p>
            <w:pPr>
              <w:pStyle w:val="Compact"/>
              <w:keepNext/>
            </w:pPr>
            <w:r>
              <w:rPr>
                <w:sz w:val="18"/>
              </w:rPr>
              <w:t xml:space="preserve">23/75 (30.7%)</w:t>
            </w:r>
          </w:p>
        </w:tc>
        <w:tc>
          <w:tcPr/>
          <w:p>
            <w:pPr>
              <w:pStyle w:val="Compact"/>
              <w:keepNext/>
            </w:pPr>
            <w:r>
              <w:rPr>
                <w:sz w:val="18"/>
              </w:rPr>
              <w:t xml:space="preserve">1.80 [1.00, 3.25]</w:t>
            </w:r>
          </w:p>
        </w:tc>
      </w:tr>
      <w:tr>
        <w:trPr>
          <w:cantSplit/>
        </w:trPr>
        <w:tc>
          <w:tcPr/>
          <w:p>
            <w:pPr>
              <w:pStyle w:val="Compact"/>
              <w:keepNext/>
            </w:pPr>
            <w:r>
              <w:rPr>
                <w:sz w:val="18"/>
              </w:rPr>
              <w:t xml:space="preserve">Adjusted for Y against E</w:t>
            </w:r>
            <w:r>
              <w:rPr>
                <w:sz w:val="18"/>
                <w:vertAlign w:val="superscript"/>
              </w:rPr>
              <w:t xml:space="preserve">a</w:t>
            </w:r>
          </w:p>
        </w:tc>
        <w:tc>
          <w:tcPr/>
          <w:p>
            <w:pPr>
              <w:pStyle w:val="Compact"/>
              <w:keepNext/>
            </w:pPr>
          </w:p>
        </w:tc>
        <w:tc>
          <w:tcPr/>
          <w:p>
            <w:pPr>
              <w:pStyle w:val="Compact"/>
              <w:keepNext/>
            </w:pPr>
          </w:p>
        </w:tc>
        <w:tc>
          <w:tcPr/>
          <w:p>
            <w:pPr>
              <w:pStyle w:val="Compact"/>
              <w:keepNext/>
            </w:pPr>
            <w:r>
              <w:rPr>
                <w:sz w:val="18"/>
              </w:rPr>
              <w:t xml:space="preserve">2.13 [1.26, 3.63]</w:t>
            </w:r>
          </w:p>
        </w:tc>
      </w:tr>
      <w:tr>
        <w:trPr>
          <w:cantSplit/>
        </w:trPr>
        <w:tc>
          <w:tcPr/>
          <w:p>
            <w:pPr>
              <w:pStyle w:val="Compact"/>
              <w:keepNext/>
            </w:pPr>
            <w:r>
              <w:rPr>
                <w:sz w:val="18"/>
              </w:rPr>
              <w:t xml:space="preserve">The 677 new items only</w:t>
            </w:r>
            <w:r>
              <w:rPr>
                <w:sz w:val="18"/>
                <w:vertAlign w:val="superscript"/>
              </w:rPr>
              <w:t xml:space="preserve">a</w:t>
            </w:r>
          </w:p>
        </w:tc>
        <w:tc>
          <w:tcPr/>
          <w:p>
            <w:pPr>
              <w:pStyle w:val="Compact"/>
              <w:keepNext/>
            </w:pPr>
            <w:r>
              <w:rPr>
                <w:sz w:val="18"/>
              </w:rPr>
              <w:t xml:space="preserve">59/116 (50.9%)</w:t>
            </w:r>
          </w:p>
        </w:tc>
        <w:tc>
          <w:tcPr/>
          <w:p>
            <w:pPr>
              <w:pStyle w:val="Compact"/>
              <w:keepNext/>
            </w:pPr>
            <w:r>
              <w:rPr>
                <w:sz w:val="18"/>
              </w:rPr>
              <w:t xml:space="preserve">21/73 (28.8%)</w:t>
            </w:r>
          </w:p>
        </w:tc>
        <w:tc>
          <w:tcPr/>
          <w:p>
            <w:pPr>
              <w:pStyle w:val="Compact"/>
              <w:keepNext/>
            </w:pPr>
            <w:r>
              <w:rPr>
                <w:sz w:val="18"/>
              </w:rPr>
              <w:t xml:space="preserve">2.42 [1.37, 4.25]</w:t>
            </w:r>
          </w:p>
        </w:tc>
      </w:tr>
      <w:tr>
        <w:trPr>
          <w:cantSplit/>
        </w:trPr>
        <w:tc>
          <w:tcPr/>
          <w:p>
            <w:pPr>
              <w:pStyle w:val="Compact"/>
            </w:pPr>
            <w:r>
              <w:rPr>
                <w:sz w:val="18"/>
              </w:rPr>
              <w:t xml:space="preserve">Second answers used in two batches</w:t>
            </w:r>
            <w:r>
              <w:rPr>
                <w:sz w:val="18"/>
                <w:vertAlign w:val="superscript"/>
              </w:rPr>
              <w:t xml:space="preserve">a</w:t>
            </w:r>
          </w:p>
        </w:tc>
        <w:tc>
          <w:tcPr/>
          <w:p>
            <w:pPr>
              <w:pStyle w:val="Compact"/>
            </w:pPr>
            <w:r>
              <w:rPr>
                <w:sz w:val="18"/>
              </w:rPr>
              <w:t xml:space="preserve">71/139 (51.1%)</w:t>
            </w:r>
          </w:p>
        </w:tc>
        <w:tc>
          <w:tcPr/>
          <w:p>
            <w:pPr>
              <w:pStyle w:val="Compact"/>
            </w:pPr>
            <w:r>
              <w:rPr>
                <w:sz w:val="18"/>
              </w:rPr>
              <w:t xml:space="preserve">21/74 (28.4%)</w:t>
            </w:r>
          </w:p>
        </w:tc>
        <w:tc>
          <w:tcPr/>
          <w:p>
            <w:pPr>
              <w:pStyle w:val="Compact"/>
            </w:pPr>
            <w:r>
              <w:rPr>
                <w:sz w:val="18"/>
              </w:rPr>
              <w:t xml:space="preserve">2.39 [1.38, 4.14]</w:t>
            </w:r>
          </w:p>
        </w:tc>
      </w:tr>
    </w:tbl>
    <w:p>
      <w:pPr>
        <w:pStyle w:val="TableNote"/>
      </w:pPr>
      <w:r>
        <w:rPr>
          <w:i/>
          <w:iCs/>
        </w:rPr>
        <w:t xml:space="preserve">Note.</w:t>
      </w:r>
      <w:r>
        <w:t xml:space="preserve"> </w:t>
      </w:r>
      <w:r>
        <w:t xml:space="preserve">ORs from GEE clustered by phonetic unless stated; MH, Mantel–Haenszel within series.</w:t>
      </w:r>
      <w:r>
        <w:t xml:space="preserve"> </w:t>
      </w:r>
      <w:r>
        <w:rPr>
          <w:vertAlign w:val="superscript"/>
        </w:rPr>
        <w:t xml:space="preserve">a</w:t>
      </w:r>
      <w:r>
        <w:t xml:space="preserve"> </w:t>
      </w:r>
      <w:r>
        <w:t xml:space="preserve">Exploratory, added after the results were seen. Counting only Y as related cannot be estimated, since only 4 ordinary pairs are coded Y (24 of 38 labelled against 0 of 4 identical or departing-tone; Fisher p = 0.027). The second answers are those that an agent returned in batches 3 and 6 of pass 1 and that the rule fixed beforehand did not count; they replace the first answers for 193 new items (batch 3 alone gives 2.32 [1.42, 3.79], batch 6 alone 2.40 [1.39, 4.14]). The second answer in batch 3 was given in the same context as the first, that in batch 6 by a fresh run of the same prompt. The replacement by the authors’ judgment changes only the 126 items checked, and of the 73 disagreements on which the authors sided with one pass they chose pass 2 in 50 and pass 1 in 23, so 2.73 is a sensitivity value, not a better estimate; for the shared labels without paronomastic glosses the replacement gives 2.14 [1.08, 4.25], within series 1.24 [0.23, 6.71] (13 phonetics).</w:t>
      </w:r>
    </w:p>
    <w:p>
      <w:pPr>
        <w:pStyle w:val="CaptionedFigure"/>
      </w:pPr>
      <w:r>
        <w:drawing>
          <wp:inline>
            <wp:extent cx="4283999" cy="3794791"/>
            <wp:effectExtent b="0" l="0" r="0" t="0"/>
            <wp:docPr descr="Fig. 1 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 title="" id="36" name="Picture"/>
            <a:graphic>
              <a:graphicData uri="http://schemas.openxmlformats.org/drawingml/2006/picture">
                <pic:pic>
                  <pic:nvPicPr>
                    <pic:cNvPr descr="submission/Fig1.png" id="37" name="Picture"/>
                    <pic:cNvPicPr>
                      <a:picLocks noChangeArrowheads="1" noChangeAspect="1"/>
                    </pic:cNvPicPr>
                  </pic:nvPicPr>
                  <pic:blipFill>
                    <a:blip r:embed="rId35"/>
                    <a:stretch>
                      <a:fillRect/>
                    </a:stretch>
                  </pic:blipFill>
                  <pic:spPr bwMode="auto">
                    <a:xfrm>
                      <a:off x="0" y="0"/>
                      <a:ext cx="4283999" cy="3794791"/>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w:t>
      </w:r>
    </w:p>
    <w:p>
      <w:pPr>
        <w:pStyle w:val="BodyText"/>
      </w:pPr>
      <w:r>
        <w:t xml:space="preserve">The descriptive relation types (Table 9) agree. Of the 63 homophonous labelled pairs, 42 are classed as a sense given its own graph (F), 8 as the same word with a determinative (L) and 5 as conversion (C), and only 8 as unrelated homophones (U). Among the 133 homophonous ordinary pairs unrelated homophones (73) and proper names (42) predominate, with 15 F, 3 L and no C. The labelled homophones are thus mostly pairs in which one word or sense has its own graph, as (C) describes, and the ordinary homophones mostly are not, though this coding was made with the label visible and is descriptive only.</w:t>
      </w:r>
    </w:p>
    <w:p>
      <w:pPr>
        <w:pStyle w:val="TableCaption"/>
      </w:pPr>
      <w:r>
        <w:rPr>
          <w:b/>
          <w:bCs/>
        </w:rPr>
        <w:t xml:space="preserve">Table 9</w:t>
      </w:r>
      <w:r>
        <w:t xml:space="preserve"> </w:t>
      </w:r>
      <w:r>
        <w:t xml:space="preserve">Relation types of the homophonous pairs (MC identical; coded with the label visible, descriptive only)</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534"/>
        <w:gridCol w:w="1188"/>
        <w:gridCol w:w="1267"/>
        <w:gridCol w:w="2930"/>
      </w:tblGrid>
      <w:tr>
        <w:trPr>
          <w:tblHeader w:val="on"/>
          <w:cantSplit/>
        </w:trPr>
        <w:tc>
          <w:tcPr>
            <w:tcBorders>
              <w:bottom w:val="single" w:sz="4" w:space="0" w:color="000000"/>
            </w:tcBorders>
          </w:tcPr>
          <w:p>
            <w:pPr>
              <w:pStyle w:val="Compact"/>
              <w:keepNext/>
            </w:pPr>
            <w:r>
              <w:rPr>
                <w:b/>
                <w:sz w:val="18"/>
              </w:rPr>
              <w:t xml:space="preserve">Type</w:t>
            </w:r>
          </w:p>
        </w:tc>
        <w:tc>
          <w:tcPr>
            <w:tcBorders>
              <w:bottom w:val="single" w:sz="4" w:space="0" w:color="000000"/>
            </w:tcBorders>
          </w:tcPr>
          <w:p>
            <w:pPr>
              <w:pStyle w:val="Compact"/>
              <w:keepNext/>
            </w:pPr>
            <w:r>
              <w:rPr>
                <w:b/>
                <w:sz w:val="18"/>
              </w:rPr>
              <w:t xml:space="preserve">Labelled (n = 63)</w:t>
            </w:r>
          </w:p>
        </w:tc>
        <w:tc>
          <w:tcPr>
            <w:tcBorders>
              <w:bottom w:val="single" w:sz="4" w:space="0" w:color="000000"/>
            </w:tcBorders>
          </w:tcPr>
          <w:p>
            <w:pPr>
              <w:pStyle w:val="Compact"/>
              <w:keepNext/>
            </w:pPr>
            <w:r>
              <w:rPr>
                <w:b/>
                <w:sz w:val="18"/>
              </w:rPr>
              <w:t xml:space="preserve">Ordinary (n = 133)</w:t>
            </w:r>
          </w:p>
        </w:tc>
        <w:tc>
          <w:tcPr>
            <w:tcBorders>
              <w:bottom w:val="single" w:sz="4" w:space="0" w:color="000000"/>
            </w:tcBorders>
          </w:tcPr>
          <w:p>
            <w:pPr>
              <w:pStyle w:val="Compact"/>
              <w:keepNext/>
            </w:pPr>
            <w:r>
              <w:rPr>
                <w:b/>
                <w:sz w:val="18"/>
              </w:rPr>
              <w:t xml:space="preserve">Labelled examples</w:t>
            </w:r>
          </w:p>
        </w:tc>
      </w:tr>
      <w:tr>
        <w:trPr>
          <w:cantSplit/>
        </w:trPr>
        <w:tc>
          <w:tcPr/>
          <w:p>
            <w:pPr>
              <w:pStyle w:val="Compact"/>
              <w:keepNext/>
            </w:pPr>
            <w:r>
              <w:rPr>
                <w:sz w:val="18"/>
              </w:rPr>
              <w:t xml:space="preserve">F, one sense given its own graph </w:t>
            </w:r>
            <w:r>
              <w:rPr>
                <w:rFonts w:hint="eastAsia"/>
                <w:sz w:val="18"/>
              </w:rPr>
              <w:t xml:space="preserve">(分別文)</w:t>
            </w:r>
          </w:p>
        </w:tc>
        <w:tc>
          <w:tcPr/>
          <w:p>
            <w:pPr>
              <w:pStyle w:val="Compact"/>
              <w:keepNext/>
            </w:pPr>
            <w:r>
              <w:rPr>
                <w:sz w:val="18"/>
              </w:rPr>
              <w:t xml:space="preserve">42</w:t>
            </w:r>
          </w:p>
        </w:tc>
        <w:tc>
          <w:tcPr/>
          <w:p>
            <w:pPr>
              <w:pStyle w:val="Compact"/>
              <w:keepNext/>
            </w:pPr>
            <w:r>
              <w:rPr>
                <w:sz w:val="18"/>
              </w:rPr>
              <w:t xml:space="preserve">15</w:t>
            </w:r>
          </w:p>
        </w:tc>
        <w:tc>
          <w:tcPr/>
          <w:p>
            <w:pPr>
              <w:pStyle w:val="Compact"/>
              <w:keepNext/>
            </w:pPr>
            <w:r>
              <w:rPr>
                <w:rFonts w:hint="eastAsia"/>
                <w:sz w:val="18"/>
              </w:rPr>
              <w:t xml:space="preserve">忘</w:t>
            </w:r>
            <w:r>
              <w:rPr>
                <w:sz w:val="18"/>
              </w:rPr>
              <w:t xml:space="preserve"> </w:t>
            </w:r>
            <w:r>
              <w:rPr>
                <w:sz w:val="18"/>
              </w:rPr>
              <w:t xml:space="preserve">‘to forget’</w:t>
            </w:r>
            <w:r>
              <w:rPr>
                <w:sz w:val="18"/>
              </w:rPr>
              <w:t xml:space="preserve"> </w:t>
            </w:r>
            <w:r>
              <w:rPr>
                <w:sz w:val="18"/>
              </w:rPr>
              <w:t xml:space="preserve">/ </w:t>
            </w:r>
            <w:r>
              <w:rPr>
                <w:rFonts w:hint="eastAsia"/>
                <w:sz w:val="18"/>
              </w:rPr>
              <w:t xml:space="preserve">亡</w:t>
            </w:r>
            <w:r>
              <w:rPr>
                <w:sz w:val="18"/>
              </w:rPr>
              <w:t xml:space="preserve"> </w:t>
            </w:r>
            <w:r>
              <w:rPr>
                <w:sz w:val="18"/>
              </w:rPr>
              <w:t xml:space="preserve">‘to flee’</w:t>
            </w:r>
            <w:r>
              <w:rPr>
                <w:sz w:val="18"/>
              </w:rPr>
              <w:t xml:space="preserve">; </w:t>
            </w:r>
            <w:r>
              <w:rPr>
                <w:rFonts w:hint="eastAsia"/>
                <w:sz w:val="18"/>
              </w:rPr>
              <w:t xml:space="preserve">禮</w:t>
            </w:r>
            <w:r>
              <w:rPr>
                <w:sz w:val="18"/>
              </w:rPr>
              <w:t xml:space="preserve"> </w:t>
            </w:r>
            <w:r>
              <w:rPr>
                <w:sz w:val="18"/>
              </w:rPr>
              <w:t xml:space="preserve">‘ritual’</w:t>
            </w:r>
            <w:r>
              <w:rPr>
                <w:sz w:val="18"/>
              </w:rPr>
              <w:t xml:space="preserve"> </w:t>
            </w:r>
            <w:r>
              <w:rPr>
                <w:sz w:val="18"/>
              </w:rPr>
              <w:t xml:space="preserve">/ </w:t>
            </w:r>
            <w:r>
              <w:rPr>
                <w:rFonts w:hint="eastAsia"/>
                <w:sz w:val="18"/>
              </w:rPr>
              <w:t xml:space="preserve">豊</w:t>
            </w:r>
            <w:r>
              <w:rPr>
                <w:sz w:val="18"/>
              </w:rPr>
              <w:t xml:space="preserve"> </w:t>
            </w:r>
            <w:r>
              <w:rPr>
                <w:sz w:val="18"/>
              </w:rPr>
              <w:t xml:space="preserve">‘ritual vessel’</w:t>
            </w:r>
          </w:p>
        </w:tc>
      </w:tr>
      <w:tr>
        <w:trPr>
          <w:cantSplit/>
        </w:trPr>
        <w:tc>
          <w:tcPr/>
          <w:p>
            <w:pPr>
              <w:pStyle w:val="Compact"/>
              <w:keepNext/>
            </w:pPr>
            <w:r>
              <w:rPr>
                <w:sz w:val="18"/>
              </w:rPr>
              <w:t xml:space="preserve">L, same word with an added determinative </w:t>
            </w:r>
            <w:r>
              <w:rPr>
                <w:rFonts w:hint="eastAsia"/>
                <w:sz w:val="18"/>
              </w:rPr>
              <w:t xml:space="preserve">(累增字)</w:t>
            </w:r>
          </w:p>
        </w:tc>
        <w:tc>
          <w:tcPr/>
          <w:p>
            <w:pPr>
              <w:pStyle w:val="Compact"/>
              <w:keepNext/>
            </w:pPr>
            <w:r>
              <w:rPr>
                <w:sz w:val="18"/>
              </w:rPr>
              <w:t xml:space="preserve">8</w:t>
            </w:r>
          </w:p>
        </w:tc>
        <w:tc>
          <w:tcPr/>
          <w:p>
            <w:pPr>
              <w:pStyle w:val="Compact"/>
              <w:keepNext/>
            </w:pPr>
            <w:r>
              <w:rPr>
                <w:sz w:val="18"/>
              </w:rPr>
              <w:t xml:space="preserve">3</w:t>
            </w:r>
          </w:p>
        </w:tc>
        <w:tc>
          <w:tcPr/>
          <w:p>
            <w:pPr>
              <w:pStyle w:val="Compact"/>
              <w:keepNext/>
            </w:pPr>
            <w:r>
              <w:rPr>
                <w:rFonts w:hint="eastAsia"/>
                <w:sz w:val="18"/>
              </w:rPr>
              <w:t xml:space="preserve">政</w:t>
            </w:r>
            <w:r>
              <w:rPr>
                <w:sz w:val="18"/>
              </w:rPr>
              <w:t xml:space="preserve"> </w:t>
            </w:r>
            <w:r>
              <w:rPr>
                <w:sz w:val="18"/>
              </w:rPr>
              <w:t xml:space="preserve">‘to correct’</w:t>
            </w:r>
            <w:r>
              <w:rPr>
                <w:sz w:val="18"/>
              </w:rPr>
              <w:t xml:space="preserve"> </w:t>
            </w:r>
            <w:r>
              <w:rPr>
                <w:sz w:val="18"/>
              </w:rPr>
              <w:t xml:space="preserve">/ </w:t>
            </w:r>
            <w:r>
              <w:rPr>
                <w:rFonts w:hint="eastAsia"/>
                <w:sz w:val="18"/>
              </w:rPr>
              <w:t xml:space="preserve">正</w:t>
            </w:r>
            <w:r>
              <w:rPr>
                <w:sz w:val="18"/>
              </w:rPr>
              <w:t xml:space="preserve"> </w:t>
            </w:r>
            <w:r>
              <w:rPr>
                <w:sz w:val="18"/>
              </w:rPr>
              <w:t xml:space="preserve">‘right’</w:t>
            </w:r>
            <w:r>
              <w:rPr>
                <w:sz w:val="18"/>
              </w:rPr>
              <w:t xml:space="preserve">; </w:t>
            </w:r>
            <w:r>
              <w:rPr>
                <w:rFonts w:hint="eastAsia"/>
                <w:sz w:val="18"/>
              </w:rPr>
              <w:t xml:space="preserve">派</w:t>
            </w:r>
            <w:r>
              <w:rPr>
                <w:sz w:val="18"/>
              </w:rPr>
              <w:t xml:space="preserve"> </w:t>
            </w:r>
            <w:r>
              <w:rPr>
                <w:sz w:val="18"/>
              </w:rPr>
              <w:t xml:space="preserve">‘branching stream’</w:t>
            </w:r>
            <w:r>
              <w:rPr>
                <w:sz w:val="18"/>
              </w:rPr>
              <w:t xml:space="preserve"> </w:t>
            </w:r>
            <w:r>
              <w:rPr>
                <w:sz w:val="18"/>
              </w:rPr>
              <w:t xml:space="preserve">/ </w:t>
            </w:r>
            <w:r>
              <w:rPr>
                <w:rFonts w:hint="eastAsia"/>
                <w:sz w:val="18"/>
              </w:rPr>
              <w:t xml:space="preserve">𠂢</w:t>
            </w:r>
          </w:p>
        </w:tc>
      </w:tr>
      <w:tr>
        <w:trPr>
          <w:cantSplit/>
        </w:trPr>
        <w:tc>
          <w:tcPr/>
          <w:p>
            <w:pPr>
              <w:pStyle w:val="Compact"/>
              <w:keepNext/>
            </w:pPr>
            <w:r>
              <w:rPr>
                <w:sz w:val="18"/>
              </w:rPr>
              <w:t xml:space="preserve">C, conversion</w:t>
            </w:r>
          </w:p>
        </w:tc>
        <w:tc>
          <w:tcPr/>
          <w:p>
            <w:pPr>
              <w:pStyle w:val="Compact"/>
              <w:keepNext/>
            </w:pPr>
            <w:r>
              <w:rPr>
                <w:sz w:val="18"/>
              </w:rPr>
              <w:t xml:space="preserve">5</w:t>
            </w:r>
          </w:p>
        </w:tc>
        <w:tc>
          <w:tcPr/>
          <w:p>
            <w:pPr>
              <w:pStyle w:val="Compact"/>
              <w:keepNext/>
            </w:pPr>
            <w:r>
              <w:rPr>
                <w:sz w:val="18"/>
              </w:rPr>
              <w:t xml:space="preserve">0</w:t>
            </w:r>
          </w:p>
        </w:tc>
        <w:tc>
          <w:tcPr/>
          <w:p>
            <w:pPr>
              <w:pStyle w:val="Compact"/>
              <w:keepNext/>
            </w:pPr>
            <w:r>
              <w:rPr>
                <w:rFonts w:hint="eastAsia"/>
                <w:sz w:val="18"/>
              </w:rPr>
              <w:t xml:space="preserve">刺</w:t>
            </w:r>
            <w:r>
              <w:rPr>
                <w:sz w:val="18"/>
              </w:rPr>
              <w:t xml:space="preserve"> </w:t>
            </w:r>
            <w:r>
              <w:rPr>
                <w:sz w:val="18"/>
              </w:rPr>
              <w:t xml:space="preserve">‘to stab’</w:t>
            </w:r>
            <w:r>
              <w:rPr>
                <w:sz w:val="18"/>
              </w:rPr>
              <w:t xml:space="preserve"> </w:t>
            </w:r>
            <w:r>
              <w:rPr>
                <w:sz w:val="18"/>
              </w:rPr>
              <w:t xml:space="preserve">/ </w:t>
            </w:r>
            <w:r>
              <w:rPr>
                <w:rFonts w:hint="eastAsia"/>
                <w:sz w:val="18"/>
              </w:rPr>
              <w:t xml:space="preserve">朿</w:t>
            </w:r>
            <w:r>
              <w:rPr>
                <w:sz w:val="18"/>
              </w:rPr>
              <w:t xml:space="preserve"> </w:t>
            </w:r>
            <w:r>
              <w:rPr>
                <w:sz w:val="18"/>
              </w:rPr>
              <w:t xml:space="preserve">‘thorn’</w:t>
            </w:r>
            <w:r>
              <w:rPr>
                <w:sz w:val="18"/>
              </w:rPr>
              <w:t xml:space="preserve">; </w:t>
            </w:r>
            <w:r>
              <w:rPr>
                <w:rFonts w:hint="eastAsia"/>
                <w:sz w:val="18"/>
              </w:rPr>
              <w:t xml:space="preserve">犓</w:t>
            </w:r>
            <w:r>
              <w:rPr>
                <w:sz w:val="18"/>
              </w:rPr>
              <w:t xml:space="preserve"> </w:t>
            </w:r>
            <w:r>
              <w:rPr>
                <w:sz w:val="18"/>
              </w:rPr>
              <w:t xml:space="preserve">‘to feed cattle’</w:t>
            </w:r>
            <w:r>
              <w:rPr>
                <w:sz w:val="18"/>
              </w:rPr>
              <w:t xml:space="preserve"> </w:t>
            </w:r>
            <w:r>
              <w:rPr>
                <w:sz w:val="18"/>
              </w:rPr>
              <w:t xml:space="preserve">/ </w:t>
            </w:r>
            <w:r>
              <w:rPr>
                <w:rFonts w:hint="eastAsia"/>
                <w:sz w:val="18"/>
              </w:rPr>
              <w:t xml:space="preserve">芻</w:t>
            </w:r>
            <w:r>
              <w:rPr>
                <w:sz w:val="18"/>
              </w:rPr>
              <w:t xml:space="preserve"> </w:t>
            </w:r>
            <w:r>
              <w:rPr>
                <w:sz w:val="18"/>
              </w:rPr>
              <w:t xml:space="preserve">‘cut grass’</w:t>
            </w:r>
          </w:p>
        </w:tc>
      </w:tr>
      <w:tr>
        <w:trPr>
          <w:cantSplit/>
        </w:trPr>
        <w:tc>
          <w:tcPr/>
          <w:p>
            <w:pPr>
              <w:pStyle w:val="Compact"/>
              <w:keepNext/>
            </w:pPr>
            <w:r>
              <w:rPr>
                <w:sz w:val="18"/>
              </w:rPr>
              <w:t xml:space="preserve">U, unrelated homophone or loan</w:t>
            </w:r>
          </w:p>
        </w:tc>
        <w:tc>
          <w:tcPr/>
          <w:p>
            <w:pPr>
              <w:pStyle w:val="Compact"/>
              <w:keepNext/>
            </w:pPr>
            <w:r>
              <w:rPr>
                <w:sz w:val="18"/>
              </w:rPr>
              <w:t xml:space="preserve">8</w:t>
            </w:r>
          </w:p>
        </w:tc>
        <w:tc>
          <w:tcPr/>
          <w:p>
            <w:pPr>
              <w:pStyle w:val="Compact"/>
              <w:keepNext/>
            </w:pPr>
            <w:r>
              <w:rPr>
                <w:sz w:val="18"/>
              </w:rPr>
              <w:t xml:space="preserve">73</w:t>
            </w:r>
          </w:p>
        </w:tc>
        <w:tc>
          <w:tcPr/>
          <w:p>
            <w:pPr>
              <w:pStyle w:val="Compact"/>
              <w:keepNext/>
            </w:pPr>
            <w:r>
              <w:rPr>
                <w:rFonts w:hint="eastAsia"/>
                <w:sz w:val="18"/>
              </w:rPr>
              <w:t xml:space="preserve">城</w:t>
            </w:r>
            <w:r>
              <w:rPr>
                <w:sz w:val="18"/>
              </w:rPr>
              <w:t xml:space="preserve"> </w:t>
            </w:r>
            <w:r>
              <w:rPr>
                <w:sz w:val="18"/>
              </w:rPr>
              <w:t xml:space="preserve">‘city wall’</w:t>
            </w:r>
            <w:r>
              <w:rPr>
                <w:sz w:val="18"/>
              </w:rPr>
              <w:t xml:space="preserve"> </w:t>
            </w:r>
            <w:r>
              <w:rPr>
                <w:sz w:val="18"/>
              </w:rPr>
              <w:t xml:space="preserve">/ </w:t>
            </w:r>
            <w:r>
              <w:rPr>
                <w:rFonts w:hint="eastAsia"/>
                <w:sz w:val="18"/>
              </w:rPr>
              <w:t xml:space="preserve">成</w:t>
            </w:r>
            <w:r>
              <w:rPr>
                <w:sz w:val="18"/>
              </w:rPr>
              <w:t xml:space="preserve"> </w:t>
            </w:r>
            <w:r>
              <w:rPr>
                <w:sz w:val="18"/>
              </w:rPr>
              <w:t xml:space="preserve">‘to accomplish’</w:t>
            </w:r>
            <w:r>
              <w:rPr>
                <w:sz w:val="18"/>
              </w:rPr>
              <w:t xml:space="preserve">; </w:t>
            </w:r>
            <w:r>
              <w:rPr>
                <w:rFonts w:hint="eastAsia"/>
                <w:sz w:val="18"/>
              </w:rPr>
              <w:t xml:space="preserve">恇</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sz w:val="18"/>
              </w:rPr>
              <w:t xml:space="preserve">‘basket’</w:t>
            </w:r>
          </w:p>
        </w:tc>
      </w:tr>
      <w:tr>
        <w:trPr>
          <w:cantSplit/>
        </w:trPr>
        <w:tc>
          <w:tcPr/>
          <w:p>
            <w:pPr>
              <w:pStyle w:val="Compact"/>
            </w:pPr>
            <w:r>
              <w:rPr>
                <w:sz w:val="18"/>
              </w:rPr>
              <w:t xml:space="preserve">X, proper name</w:t>
            </w:r>
          </w:p>
        </w:tc>
        <w:tc>
          <w:tcPr/>
          <w:p>
            <w:pPr>
              <w:pStyle w:val="Compact"/>
            </w:pPr>
            <w:r>
              <w:rPr>
                <w:sz w:val="18"/>
              </w:rPr>
              <w:t xml:space="preserve">0</w:t>
            </w:r>
          </w:p>
        </w:tc>
        <w:tc>
          <w:tcPr/>
          <w:p>
            <w:pPr>
              <w:pStyle w:val="Compact"/>
            </w:pPr>
            <w:r>
              <w:rPr>
                <w:sz w:val="18"/>
              </w:rPr>
              <w:t xml:space="preserve">42</w:t>
            </w:r>
          </w:p>
        </w:tc>
        <w:tc>
          <w:tcPr/>
          <w:p>
            <w:pPr>
              <w:pStyle w:val="Compact"/>
            </w:pPr>
            <w:r>
              <w:rPr>
                <w:sz w:val="18"/>
              </w:rPr>
              <w:t xml:space="preserve">–</w:t>
            </w:r>
          </w:p>
        </w:tc>
      </w:tr>
    </w:tbl>
    <w:bookmarkEnd w:id="38"/>
    <w:bookmarkStart w:id="39" w:name="how-much-of-the-label"/>
    <w:p>
      <w:pPr>
        <w:pStyle w:val="Heading2"/>
      </w:pPr>
      <w:r>
        <w:t xml:space="preserve">4.5 How much of the label?</w:t>
      </w:r>
    </w:p>
    <w:p>
      <w:pPr>
        <w:pStyle w:val="FirstParagraph"/>
      </w:pPr>
      <w:r>
        <w:t xml:space="preserve">Identity exceeds the ordinary rate by 20 percentage points and the departing-tone alternation by 5 (Table 4),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among those with OC forms at both ends, 6 of 29 are related by affix or regular alternation, against 48 of 179 ordinary ones (p = 0.65).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39"/>
    <w:bookmarkStart w:id="40" w:name="Xa6e2b16ec4a710089cfa48b37017510b80669a9"/>
    <w:p>
      <w:pPr>
        <w:pStyle w:val="Heading2"/>
      </w:pPr>
      <w:r>
        <w:t xml:space="preserve">4.6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10):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own phonetic (24 of 46 against 26 of 90; Fisher p = 0.009), which matters because 37 of the 40 filed-under labels lie in the shared layer. The Dà Xú-only labels also more often have paronomastic glosses (21 of 62 entries against 31 of 140; p = 0.08), but do not differ in meaning (8 of 10 against 16 of 22 related).</w:t>
      </w:r>
    </w:p>
    <w:p>
      <w:pPr>
        <w:pStyle w:val="TableCaption"/>
      </w:pPr>
      <w:r>
        <w:rPr>
          <w:b/>
          <w:bCs/>
        </w:rPr>
        <w:t xml:space="preserve">Table 10</w:t>
      </w:r>
      <w:r>
        <w:t xml:space="preserve"> </w:t>
      </w:r>
      <w:r>
        <w:t xml:space="preserve">Sound relations of labelled pairs by recension layer (MC)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455"/>
        <w:gridCol w:w="2455"/>
        <w:gridCol w:w="1504"/>
        <w:gridCol w:w="1504"/>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Shared by both recensions (n = 122)</w:t>
            </w:r>
          </w:p>
        </w:tc>
        <w:tc>
          <w:tcPr>
            <w:tcBorders>
              <w:bottom w:val="single" w:sz="4" w:space="0" w:color="000000"/>
            </w:tcBorders>
          </w:tcPr>
          <w:p>
            <w:pPr>
              <w:pStyle w:val="Compact"/>
              <w:keepNext/>
            </w:pPr>
            <w:r>
              <w:rPr>
                <w:b/>
                <w:sz w:val="18"/>
              </w:rPr>
              <w:t xml:space="preserve">Dà Xú only (n = 48)</w:t>
            </w:r>
          </w:p>
        </w:tc>
        <w:tc>
          <w:tcPr>
            <w:tcBorders>
              <w:bottom w:val="single" w:sz="4" w:space="0" w:color="000000"/>
            </w:tcBorders>
          </w:tcPr>
          <w:p>
            <w:pPr>
              <w:pStyle w:val="Compact"/>
              <w:keepNext/>
            </w:pPr>
            <w:r>
              <w:rPr>
                <w:b/>
                <w:sz w:val="18"/>
              </w:rPr>
              <w:t xml:space="preserve">Ordinary (n = 858)</w:t>
            </w:r>
          </w:p>
        </w:tc>
      </w:tr>
      <w:tr>
        <w:trPr>
          <w:cantSplit/>
        </w:trPr>
        <w:tc>
          <w:tcPr/>
          <w:p>
            <w:pPr>
              <w:pStyle w:val="Compact"/>
              <w:keepNext/>
            </w:pPr>
            <w:r>
              <w:rPr>
                <w:sz w:val="18"/>
              </w:rPr>
              <w:t xml:space="preserve">Identical</w:t>
            </w:r>
          </w:p>
        </w:tc>
        <w:tc>
          <w:tcPr/>
          <w:p>
            <w:pPr>
              <w:pStyle w:val="Compact"/>
              <w:keepNext/>
            </w:pPr>
            <w:r>
              <w:rPr>
                <w:sz w:val="18"/>
              </w:rPr>
              <w:t xml:space="preserve">35 (28.7%)</w:t>
            </w:r>
          </w:p>
        </w:tc>
        <w:tc>
          <w:tcPr/>
          <w:p>
            <w:pPr>
              <w:pStyle w:val="Compact"/>
              <w:keepNext/>
            </w:pPr>
            <w:r>
              <w:rPr>
                <w:sz w:val="18"/>
              </w:rPr>
              <w:t xml:space="preserve">24 (50.0%)</w:t>
            </w:r>
          </w:p>
        </w:tc>
        <w:tc>
          <w:tcPr/>
          <w:p>
            <w:pPr>
              <w:pStyle w:val="Compact"/>
              <w:keepNext/>
            </w:pPr>
            <w:r>
              <w:rPr>
                <w:sz w:val="18"/>
              </w:rPr>
              <w:t xml:space="preserve">133 (15.5%)</w:t>
            </w:r>
          </w:p>
        </w:tc>
      </w:tr>
      <w:tr>
        <w:trPr>
          <w:cantSplit/>
        </w:trPr>
        <w:tc>
          <w:tcPr/>
          <w:p>
            <w:pPr>
              <w:pStyle w:val="Compact"/>
              <w:keepNext/>
            </w:pPr>
            <w:r>
              <w:rPr>
                <w:sz w:val="18"/>
              </w:rPr>
              <w:t xml:space="preserve">Departing-tone alternation</w:t>
            </w:r>
          </w:p>
        </w:tc>
        <w:tc>
          <w:tcPr/>
          <w:p>
            <w:pPr>
              <w:pStyle w:val="Compact"/>
              <w:keepNext/>
            </w:pPr>
            <w:r>
              <w:rPr>
                <w:sz w:val="18"/>
              </w:rPr>
              <w:t xml:space="preserve">14 (11.5%)</w:t>
            </w:r>
          </w:p>
        </w:tc>
        <w:tc>
          <w:tcPr/>
          <w:p>
            <w:pPr>
              <w:pStyle w:val="Compact"/>
              <w:keepNext/>
            </w:pPr>
            <w:r>
              <w:rPr>
                <w:sz w:val="18"/>
              </w:rPr>
              <w:t xml:space="preserve">6 (12.5%)</w:t>
            </w:r>
          </w:p>
        </w:tc>
        <w:tc>
          <w:tcPr/>
          <w:p>
            <w:pPr>
              <w:pStyle w:val="Compact"/>
              <w:keepNext/>
            </w:pPr>
            <w:r>
              <w:rPr>
                <w:sz w:val="18"/>
              </w:rPr>
              <w:t xml:space="preserve">58 (6.8%)</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10 (8.2%)</w:t>
            </w:r>
          </w:p>
        </w:tc>
        <w:tc>
          <w:tcPr/>
          <w:p>
            <w:pPr>
              <w:pStyle w:val="Compact"/>
              <w:keepNext/>
            </w:pPr>
            <w:r>
              <w:rPr>
                <w:sz w:val="18"/>
              </w:rPr>
              <w:t xml:space="preserve">2 (4.2%)</w:t>
            </w:r>
          </w:p>
        </w:tc>
        <w:tc>
          <w:tcPr/>
          <w:p>
            <w:pPr>
              <w:pStyle w:val="Compact"/>
              <w:keepNext/>
            </w:pPr>
            <w:r>
              <w:rPr>
                <w:sz w:val="18"/>
              </w:rPr>
              <w:t xml:space="preserve">92 (10.7%)</w:t>
            </w:r>
          </w:p>
        </w:tc>
      </w:tr>
      <w:tr>
        <w:trPr>
          <w:cantSplit/>
        </w:trPr>
        <w:tc>
          <w:tcPr/>
          <w:p>
            <w:pPr>
              <w:pStyle w:val="Compact"/>
            </w:pPr>
            <w:r>
              <w:rPr>
                <w:sz w:val="18"/>
              </w:rPr>
              <w:t xml:space="preserve">Other difference</w:t>
            </w:r>
          </w:p>
        </w:tc>
        <w:tc>
          <w:tcPr/>
          <w:p>
            <w:pPr>
              <w:pStyle w:val="Compact"/>
            </w:pPr>
            <w:r>
              <w:rPr>
                <w:sz w:val="18"/>
              </w:rPr>
              <w:t xml:space="preserve">63 (51.6%)</w:t>
            </w:r>
          </w:p>
        </w:tc>
        <w:tc>
          <w:tcPr/>
          <w:p>
            <w:pPr>
              <w:pStyle w:val="Compact"/>
            </w:pPr>
            <w:r>
              <w:rPr>
                <w:sz w:val="18"/>
              </w:rPr>
              <w:t xml:space="preserve">16 (33.3%)</w:t>
            </w:r>
          </w:p>
        </w:tc>
        <w:tc>
          <w:tcPr/>
          <w:p>
            <w:pPr>
              <w:pStyle w:val="Compact"/>
            </w:pPr>
            <w:r>
              <w:rPr>
                <w:sz w:val="18"/>
              </w:rPr>
              <w:t xml:space="preserve">575 (67.0%)</w:t>
            </w:r>
          </w:p>
        </w:tc>
      </w:tr>
    </w:tbl>
    <w:p>
      <w:pPr>
        <w:pStyle w:val="TableNote"/>
      </w:pPr>
      <w:r>
        <w:rPr>
          <w:i/>
          <w:iCs/>
        </w:rPr>
        <w:t xml:space="preserve">Note.</w:t>
      </w:r>
      <w:r>
        <w:t xml:space="preserve"> </w:t>
      </w:r>
      <w:r>
        <w:t xml:space="preserve">Seven labelled pairs whose layer cannot be decided are omitted.</w:t>
      </w:r>
    </w:p>
    <w:p>
      <w:pPr>
        <w:pStyle w:val="BodyText"/>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11).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4.4). The 92 core labels are also homophonous less often than all other labels (24 of 92, 26%, against 39 of 85, 46%; Fisher p = 0.0075), a comparison that does not use the ordinary baseline. The sound effects are thus carried mainly by the Dà Xú-only labels and the paronomastic glosses; the relation of meaning holds throughout.</w:t>
      </w:r>
    </w:p>
    <w:p>
      <w:pPr>
        <w:pStyle w:val="BodyText"/>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rate of other ordinary compounds (15%; p = 0.55), though the sample is small.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three of the nine labels he rejects, carry the label in both recensions.</w:t>
      </w:r>
    </w:p>
    <w:p>
      <w:pPr>
        <w:pStyle w:val="TableCaption"/>
      </w:pPr>
      <w:r>
        <w:rPr>
          <w:b/>
          <w:bCs/>
        </w:rPr>
        <w:t xml:space="preserve">Table 11</w:t>
      </w:r>
      <w:r>
        <w:t xml:space="preserve"> </w:t>
      </w:r>
      <w:r>
        <w:t xml:space="preserve">Checks on the main results (OR [95% CI])</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20"/>
        <w:gridCol w:w="1280"/>
        <w:gridCol w:w="1280"/>
        <w:gridCol w:w="1280"/>
        <w:gridCol w:w="1280"/>
        <w:gridCol w:w="1280"/>
      </w:tblGrid>
      <w:tr>
        <w:trPr>
          <w:tblHeader w:val="on"/>
          <w:cantSplit/>
        </w:trPr>
        <w:tc>
          <w:tcPr>
            <w:tcBorders>
              <w:bottom w:val="single" w:sz="4" w:space="0" w:color="000000"/>
            </w:tcBorders>
          </w:tcPr>
          <w:p>
            <w:pPr>
              <w:pStyle w:val="Compact"/>
              <w:keepNext/>
            </w:pPr>
            <w:r>
              <w:rPr>
                <w:b/>
                <w:sz w:val="18"/>
              </w:rPr>
              <w:t xml:space="preserve">Check</w:t>
            </w:r>
          </w:p>
        </w:tc>
        <w:tc>
          <w:tcPr>
            <w:tcBorders>
              <w:bottom w:val="single" w:sz="4" w:space="0" w:color="000000"/>
            </w:tcBorders>
          </w:tcPr>
          <w:p>
            <w:pPr>
              <w:pStyle w:val="Compact"/>
              <w:keepNext/>
            </w:pPr>
            <w:r>
              <w:rPr>
                <w:b/>
                <w:sz w:val="18"/>
              </w:rPr>
              <w:t xml:space="preserve">H1a GEE</w:t>
            </w:r>
          </w:p>
        </w:tc>
        <w:tc>
          <w:tcPr>
            <w:tcBorders>
              <w:bottom w:val="single" w:sz="4" w:space="0" w:color="000000"/>
            </w:tcBorders>
          </w:tcPr>
          <w:p>
            <w:pPr>
              <w:pStyle w:val="Compact"/>
              <w:keepNext/>
            </w:pPr>
            <w:r>
              <w:rPr>
                <w:b/>
                <w:sz w:val="18"/>
              </w:rPr>
              <w:t xml:space="preserve">H1a within series</w:t>
            </w:r>
          </w:p>
        </w:tc>
        <w:tc>
          <w:tcPr>
            <w:tcBorders>
              <w:bottom w:val="single" w:sz="4" w:space="0" w:color="000000"/>
            </w:tcBorders>
          </w:tcPr>
          <w:p>
            <w:pPr>
              <w:pStyle w:val="Compact"/>
              <w:keepNext/>
            </w:pPr>
            <w:r>
              <w:rPr>
                <w:b/>
                <w:sz w:val="18"/>
              </w:rPr>
              <w:t xml:space="preserve">H1c GEE</w:t>
            </w:r>
          </w:p>
        </w:tc>
        <w:tc>
          <w:tcPr>
            <w:tcBorders>
              <w:bottom w:val="single" w:sz="4" w:space="0" w:color="000000"/>
            </w:tcBorders>
          </w:tcPr>
          <w:p>
            <w:pPr>
              <w:pStyle w:val="Compact"/>
              <w:keepNext/>
            </w:pPr>
            <w:r>
              <w:rPr>
                <w:b/>
                <w:sz w:val="18"/>
              </w:rPr>
              <w:t xml:space="preserve">H1c within series</w:t>
            </w:r>
          </w:p>
        </w:tc>
        <w:tc>
          <w:tcPr>
            <w:tcBorders>
              <w:bottom w:val="single" w:sz="4" w:space="0" w:color="000000"/>
            </w:tcBorders>
          </w:tcPr>
          <w:p>
            <w:pPr>
              <w:pStyle w:val="Compact"/>
              <w:keepNext/>
            </w:pPr>
            <w:r>
              <w:rPr>
                <w:b/>
                <w:sz w:val="18"/>
              </w:rPr>
              <w:t xml:space="preserve">H2 GEE (first sample)</w:t>
            </w:r>
          </w:p>
        </w:tc>
      </w:tr>
      <w:tr>
        <w:trPr>
          <w:cantSplit/>
        </w:trPr>
        <w:tc>
          <w:tcPr/>
          <w:p>
            <w:pPr>
              <w:pStyle w:val="Compact"/>
              <w:keepNext/>
            </w:pPr>
            <w:r>
              <w:rPr>
                <w:sz w:val="18"/>
              </w:rPr>
              <w:t xml:space="preserve">All labels</w:t>
            </w:r>
          </w:p>
        </w:tc>
        <w:tc>
          <w:tcPr/>
          <w:p>
            <w:pPr>
              <w:pStyle w:val="Compact"/>
              <w:keepNext/>
            </w:pPr>
            <w:r>
              <w:rPr>
                <w:sz w:val="18"/>
              </w:rPr>
              <w:t xml:space="preserve">2.38 [1.69, 3.34]</w:t>
            </w:r>
          </w:p>
        </w:tc>
        <w:tc>
          <w:tcPr/>
          <w:p>
            <w:pPr>
              <w:pStyle w:val="Compact"/>
              <w:keepNext/>
            </w:pPr>
            <w:r>
              <w:rPr>
                <w:sz w:val="18"/>
              </w:rPr>
              <w:t xml:space="preserve">2.15 [1.36, 3.42]</w:t>
            </w:r>
          </w:p>
        </w:tc>
        <w:tc>
          <w:tcPr/>
          <w:p>
            <w:pPr>
              <w:pStyle w:val="Compact"/>
              <w:keepNext/>
            </w:pPr>
            <w:r>
              <w:rPr>
                <w:sz w:val="18"/>
              </w:rPr>
              <w:t xml:space="preserve">2.44 [1.34, 4.48]</w:t>
            </w:r>
          </w:p>
        </w:tc>
        <w:tc>
          <w:tcPr/>
          <w:p>
            <w:pPr>
              <w:pStyle w:val="Compact"/>
              <w:keepNext/>
            </w:pPr>
            <w:r>
              <w:rPr>
                <w:sz w:val="18"/>
              </w:rPr>
              <w:t xml:space="preserve">7.35 [1.09, 49.5]</w:t>
            </w:r>
          </w:p>
        </w:tc>
        <w:tc>
          <w:tcPr/>
          <w:p>
            <w:pPr>
              <w:pStyle w:val="Compact"/>
              <w:keepNext/>
            </w:pPr>
            <w:r>
              <w:rPr>
                <w:sz w:val="18"/>
              </w:rPr>
              <w:t xml:space="preserve">22.0 [7.1, 68.0]</w:t>
            </w:r>
          </w:p>
        </w:tc>
      </w:tr>
      <w:tr>
        <w:trPr>
          <w:cantSplit/>
        </w:trPr>
        <w:tc>
          <w:tcPr/>
          <w:p>
            <w:pPr>
              <w:pStyle w:val="Compact"/>
              <w:keepNext/>
            </w:pPr>
            <w:r>
              <w:rPr>
                <w:sz w:val="18"/>
              </w:rPr>
              <w:t xml:space="preserve">Identity read from fǎnqiè strings</w:t>
            </w:r>
          </w:p>
        </w:tc>
        <w:tc>
          <w:tcPr/>
          <w:p>
            <w:pPr>
              <w:pStyle w:val="Compact"/>
              <w:keepNext/>
            </w:pPr>
            <w:r>
              <w:rPr>
                <w:sz w:val="18"/>
              </w:rPr>
              <w:t xml:space="preserve">2.43 [1.74, 3.39]</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r>
      <w:tr>
        <w:trPr>
          <w:cantSplit/>
        </w:trPr>
        <w:tc>
          <w:tcPr/>
          <w:p>
            <w:pPr>
              <w:pStyle w:val="Compact"/>
              <w:keepNext/>
            </w:pPr>
            <w:r>
              <w:rPr>
                <w:sz w:val="18"/>
              </w:rPr>
              <w:t xml:space="preserve">Paronomastic glosses removed</w:t>
            </w:r>
          </w:p>
        </w:tc>
        <w:tc>
          <w:tcPr/>
          <w:p>
            <w:pPr>
              <w:pStyle w:val="Compact"/>
              <w:keepNext/>
            </w:pPr>
            <w:r>
              <w:rPr>
                <w:sz w:val="18"/>
              </w:rPr>
              <w:t xml:space="preserve">1.99 [1.34, 2.96]</w:t>
            </w:r>
          </w:p>
        </w:tc>
        <w:tc>
          <w:tcPr/>
          <w:p>
            <w:pPr>
              <w:pStyle w:val="Compact"/>
              <w:keepNext/>
            </w:pPr>
            <w:r>
              <w:rPr>
                <w:sz w:val="18"/>
              </w:rPr>
              <w:t xml:space="preserve">1.54 [0.85, 2.78]</w:t>
            </w:r>
          </w:p>
        </w:tc>
        <w:tc>
          <w:tcPr/>
          <w:p>
            <w:pPr>
              <w:pStyle w:val="Compact"/>
              <w:keepNext/>
            </w:pPr>
            <w:r>
              <w:rPr>
                <w:sz w:val="18"/>
              </w:rPr>
              <w:t xml:space="preserve">1.82 [0.79, 4.22]</w:t>
            </w:r>
          </w:p>
        </w:tc>
        <w:tc>
          <w:tcPr/>
          <w:p>
            <w:pPr>
              <w:pStyle w:val="Compact"/>
              <w:keepNext/>
            </w:pPr>
            <w:r>
              <w:rPr>
                <w:sz w:val="18"/>
              </w:rPr>
              <w:t xml:space="preserve">4.47 [0.65, 30.9]</w:t>
            </w:r>
          </w:p>
        </w:tc>
        <w:tc>
          <w:tcPr/>
          <w:p>
            <w:pPr>
              <w:pStyle w:val="Compact"/>
              <w:keepNext/>
            </w:pPr>
            <w:r>
              <w:rPr>
                <w:sz w:val="18"/>
              </w:rPr>
              <w:t xml:space="preserve">16.4 [5.1, 52.9]</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1.83 [1.18, 2.82]</w:t>
            </w:r>
          </w:p>
        </w:tc>
        <w:tc>
          <w:tcPr/>
          <w:p>
            <w:pPr>
              <w:pStyle w:val="Compact"/>
              <w:keepNext/>
            </w:pPr>
            <w:r>
              <w:rPr>
                <w:sz w:val="18"/>
              </w:rPr>
              <w:t xml:space="preserve">1.58 [0.90, 2.78]</w:t>
            </w:r>
          </w:p>
        </w:tc>
        <w:tc>
          <w:tcPr/>
          <w:p>
            <w:pPr>
              <w:pStyle w:val="Compact"/>
              <w:keepNext/>
            </w:pPr>
            <w:r>
              <w:rPr>
                <w:sz w:val="18"/>
              </w:rPr>
              <w:t xml:space="preserve">2.32 [1.09, 4.93]</w:t>
            </w:r>
          </w:p>
        </w:tc>
        <w:tc>
          <w:tcPr/>
          <w:p>
            <w:pPr>
              <w:pStyle w:val="Compact"/>
              <w:keepNext/>
            </w:pPr>
            <w:r>
              <w:rPr>
                <w:sz w:val="18"/>
              </w:rPr>
              <w:t xml:space="preserve">6.71 [1.01, 44.7]</w:t>
            </w:r>
          </w:p>
        </w:tc>
        <w:tc>
          <w:tcPr/>
          <w:p>
            <w:pPr>
              <w:pStyle w:val="Compact"/>
              <w:keepNext/>
            </w:pPr>
            <w:r>
              <w:rPr>
                <w:sz w:val="18"/>
              </w:rPr>
              <w:t xml:space="preserve">19.8 [5.5, 70.8]</w:t>
            </w:r>
          </w:p>
        </w:tc>
      </w:tr>
      <w:tr>
        <w:trPr>
          <w:cantSplit/>
        </w:trPr>
        <w:tc>
          <w:tcPr/>
          <w:p>
            <w:pPr>
              <w:pStyle w:val="Compact"/>
              <w:keepNext/>
            </w:pPr>
            <w:r>
              <w:rPr>
                <w:sz w:val="18"/>
              </w:rPr>
              <w:t xml:space="preserve">Shared labels, paronomastic glosses removed (92 pairs)</w:t>
            </w:r>
          </w:p>
        </w:tc>
        <w:tc>
          <w:tcPr/>
          <w:p>
            <w:pPr>
              <w:pStyle w:val="Compact"/>
              <w:keepNext/>
            </w:pPr>
            <w:r>
              <w:rPr>
                <w:sz w:val="18"/>
              </w:rPr>
              <w:t xml:space="preserve">1.59 [0.97, 2.61]</w:t>
            </w:r>
          </w:p>
        </w:tc>
        <w:tc>
          <w:tcPr/>
          <w:p>
            <w:pPr>
              <w:pStyle w:val="Compact"/>
              <w:keepNext/>
            </w:pPr>
            <w:r>
              <w:rPr>
                <w:sz w:val="18"/>
              </w:rPr>
              <w:t xml:space="preserve">1.22 [0.61, 2.46]</w:t>
            </w:r>
          </w:p>
        </w:tc>
        <w:tc>
          <w:tcPr/>
          <w:p>
            <w:pPr>
              <w:pStyle w:val="Compact"/>
              <w:keepNext/>
            </w:pPr>
            <w:r>
              <w:rPr>
                <w:sz w:val="18"/>
              </w:rPr>
              <w:t xml:space="preserve">2.03 [0.78, 5.29]</w:t>
            </w:r>
          </w:p>
        </w:tc>
        <w:tc>
          <w:tcPr/>
          <w:p>
            <w:pPr>
              <w:pStyle w:val="Compact"/>
              <w:keepNext/>
            </w:pPr>
            <w:r>
              <w:rPr>
                <w:sz w:val="18"/>
              </w:rPr>
              <w:t xml:space="preserve">4.47 [0.65, 30.9]</w:t>
            </w:r>
          </w:p>
        </w:tc>
        <w:tc>
          <w:tcPr/>
          <w:p>
            <w:pPr>
              <w:pStyle w:val="Compact"/>
              <w:keepNext/>
            </w:pPr>
            <w:r>
              <w:rPr>
                <w:sz w:val="18"/>
              </w:rPr>
              <w:t xml:space="preserve">16.1 [4.4, 59.2]</w:t>
            </w:r>
          </w:p>
        </w:tc>
      </w:tr>
      <w:tr>
        <w:trPr>
          <w:cantSplit/>
        </w:trPr>
        <w:tc>
          <w:tcPr/>
          <w:p>
            <w:pPr>
              <w:pStyle w:val="Compact"/>
              <w:keepNext/>
            </w:pPr>
            <w:r>
              <w:rPr>
                <w:sz w:val="18"/>
              </w:rPr>
              <w:t xml:space="preserve">Wang Yun’s nine rejected labels removed</w:t>
            </w:r>
          </w:p>
        </w:tc>
        <w:tc>
          <w:tcPr/>
          <w:p>
            <w:pPr>
              <w:pStyle w:val="Compact"/>
              <w:keepNext/>
            </w:pPr>
            <w:r>
              <w:rPr>
                <w:sz w:val="18"/>
              </w:rPr>
              <w:t xml:space="preserve">2.37 [1.68, 3.36]</w:t>
            </w:r>
          </w:p>
        </w:tc>
        <w:tc>
          <w:tcPr/>
          <w:p>
            <w:pPr>
              <w:pStyle w:val="Compact"/>
              <w:keepNext/>
            </w:pPr>
            <w:r>
              <w:rPr>
                <w:sz w:val="18"/>
              </w:rPr>
              <w:t xml:space="preserve">2.26 [1.40, 3.64]</w:t>
            </w:r>
          </w:p>
        </w:tc>
        <w:tc>
          <w:tcPr/>
          <w:p>
            <w:pPr>
              <w:pStyle w:val="Compact"/>
              <w:keepNext/>
            </w:pPr>
            <w:r>
              <w:rPr>
                <w:sz w:val="18"/>
              </w:rPr>
              <w:t xml:space="preserve">2.21 [1.14, 4.29]</w:t>
            </w:r>
          </w:p>
        </w:tc>
        <w:tc>
          <w:tcPr/>
          <w:p>
            <w:pPr>
              <w:pStyle w:val="Compact"/>
              <w:keepNext/>
            </w:pPr>
            <w:r>
              <w:rPr>
                <w:sz w:val="18"/>
              </w:rPr>
              <w:t xml:space="preserve">7.35 [1.09, 49.5]</w:t>
            </w:r>
          </w:p>
        </w:tc>
        <w:tc>
          <w:tcPr/>
          <w:p>
            <w:pPr>
              <w:pStyle w:val="Compact"/>
              <w:keepNext/>
            </w:pPr>
            <w:r>
              <w:rPr>
                <w:sz w:val="18"/>
              </w:rPr>
              <w:t xml:space="preserve">20.5 [6.6, 63.9]</w:t>
            </w:r>
          </w:p>
        </w:tc>
      </w:tr>
      <w:tr>
        <w:trPr>
          <w:cantSplit/>
        </w:trPr>
        <w:tc>
          <w:tcPr/>
          <w:p>
            <w:pPr>
              <w:pStyle w:val="Compact"/>
            </w:pPr>
            <w:r>
              <w:rPr>
                <w:sz w:val="18"/>
              </w:rPr>
              <w:t xml:space="preserve">40 labels filed under own phonetic removed</w:t>
            </w:r>
          </w:p>
        </w:tc>
        <w:tc>
          <w:tcPr/>
          <w:p>
            <w:pPr>
              <w:pStyle w:val="Compact"/>
            </w:pPr>
            <w:r>
              <w:rPr>
                <w:sz w:val="18"/>
              </w:rPr>
              <w:t xml:space="preserve">2.51 [1.74, 3.60]</w:t>
            </w:r>
          </w:p>
        </w:tc>
        <w:tc>
          <w:tcPr/>
          <w:p>
            <w:pPr>
              <w:pStyle w:val="Compact"/>
            </w:pPr>
            <w:r>
              <w:rPr>
                <w:sz w:val="18"/>
              </w:rPr>
              <w:t xml:space="preserve">2.17 [1.32, 3.56]</w:t>
            </w:r>
          </w:p>
        </w:tc>
        <w:tc>
          <w:tcPr/>
          <w:p>
            <w:pPr>
              <w:pStyle w:val="Compact"/>
            </w:pPr>
            <w:r>
              <w:rPr>
                <w:sz w:val="18"/>
              </w:rPr>
              <w:t xml:space="preserve">2.58 [1.39, 4.81]</w:t>
            </w:r>
          </w:p>
        </w:tc>
        <w:tc>
          <w:tcPr/>
          <w:p>
            <w:pPr>
              <w:pStyle w:val="Compact"/>
            </w:pPr>
            <w:r>
              <w:rPr>
                <w:sz w:val="18"/>
              </w:rPr>
              <w:t xml:space="preserve">n.e.</w:t>
            </w:r>
          </w:p>
        </w:tc>
        <w:tc>
          <w:tcPr/>
          <w:p>
            <w:pPr>
              <w:pStyle w:val="Compact"/>
            </w:pPr>
            <w:r>
              <w:rPr>
                <w:sz w:val="18"/>
              </w:rPr>
              <w:t xml:space="preserve">–</w:t>
            </w:r>
          </w:p>
        </w:tc>
      </w:tr>
    </w:tbl>
    <w:p>
      <w:pPr>
        <w:pStyle w:val="TableNote"/>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40"/>
    <w:bookmarkEnd w:id="41"/>
    <w:bookmarkStart w:id="46" w:name="discussion"/>
    <w:p>
      <w:pPr>
        <w:pStyle w:val="Heading1"/>
      </w:pPr>
      <w:r>
        <w:t xml:space="preserve">5 Discussion</w:t>
      </w:r>
    </w:p>
    <w:p>
      <w:pPr>
        <w:pStyle w:val="FirstParagraph"/>
      </w:pPr>
      <w:r>
        <w:t xml:space="preserve">Table 12 sets out what each test found and what it implies for the accounts of Table 1.</w:t>
      </w:r>
    </w:p>
    <w:p>
      <w:pPr>
        <w:pStyle w:val="TableCaption"/>
      </w:pPr>
      <w:r>
        <w:rPr>
          <w:b/>
          <w:bCs/>
        </w:rPr>
        <w:t xml:space="preserve">Table 12</w:t>
      </w:r>
      <w:r>
        <w:t xml:space="preserve"> </w:t>
      </w:r>
      <w:r>
        <w:t xml:space="preserve">Hypotheses, results and their bearing on the four accounts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84"/>
        <w:gridCol w:w="2376"/>
        <w:gridCol w:w="2455"/>
        <w:gridCol w:w="1504"/>
      </w:tblGrid>
      <w:tr>
        <w:trPr>
          <w:tblHeader w:val="on"/>
          <w:cantSplit/>
        </w:trPr>
        <w:tc>
          <w:tcPr>
            <w:tcBorders>
              <w:bottom w:val="single" w:sz="4" w:space="0" w:color="000000"/>
            </w:tcBorders>
          </w:tcPr>
          <w:p>
            <w:pPr>
              <w:pStyle w:val="Compact"/>
              <w:keepNext/>
            </w:pPr>
            <w:r>
              <w:rPr>
                <w:b/>
                <w:sz w:val="18"/>
              </w:rPr>
              <w:t xml:space="preserve">Hypothesis</w:t>
            </w:r>
          </w:p>
        </w:tc>
        <w:tc>
          <w:tcPr>
            <w:tcBorders>
              <w:bottom w:val="single" w:sz="4" w:space="0" w:color="000000"/>
            </w:tcBorders>
          </w:tcPr>
          <w:p>
            <w:pPr>
              <w:pStyle w:val="Compact"/>
              <w:keepNext/>
            </w:pPr>
            <w:r>
              <w:rPr>
                <w:b/>
                <w:sz w:val="18"/>
              </w:rPr>
              <w:t xml:space="preserve">Result</w:t>
            </w:r>
          </w:p>
        </w:tc>
        <w:tc>
          <w:tcPr>
            <w:tcBorders>
              <w:bottom w:val="single" w:sz="4" w:space="0" w:color="000000"/>
            </w:tcBorders>
          </w:tcPr>
          <w:p>
            <w:pPr>
              <w:pStyle w:val="Compact"/>
              <w:keepNext/>
            </w:pPr>
            <w:r>
              <w:rPr>
                <w:b/>
                <w:sz w:val="18"/>
              </w:rPr>
              <w:t xml:space="preserve">Main estimate</w:t>
            </w:r>
          </w:p>
        </w:tc>
        <w:tc>
          <w:tcPr>
            <w:tcBorders>
              <w:bottom w:val="single" w:sz="4" w:space="0" w:color="000000"/>
            </w:tcBorders>
          </w:tcPr>
          <w:p>
            <w:pPr>
              <w:pStyle w:val="Compact"/>
              <w:keepNext/>
            </w:pPr>
            <w:r>
              <w:rPr>
                <w:b/>
                <w:sz w:val="18"/>
              </w:rPr>
              <w:t xml:space="preserve">Bearing</w:t>
            </w:r>
          </w:p>
        </w:tc>
      </w:tr>
      <w:tr>
        <w:trPr>
          <w:cantSplit/>
        </w:trPr>
        <w:tc>
          <w:tcPr/>
          <w:p>
            <w:pPr>
              <w:pStyle w:val="Compact"/>
              <w:keepNext/>
            </w:pPr>
            <w:r>
              <w:rPr>
                <w:sz w:val="18"/>
              </w:rPr>
              <w:t xml:space="preserve">H1a, homophony</w:t>
            </w:r>
          </w:p>
        </w:tc>
        <w:tc>
          <w:tcPr/>
          <w:p>
            <w:pPr>
              <w:pStyle w:val="Compact"/>
              <w:keepNext/>
            </w:pPr>
            <w:r>
              <w:rPr>
                <w:sz w:val="18"/>
              </w:rPr>
              <w:t xml:space="preserve">Supported; within series it depends on the Dà Xú-only labels and the paronomastic glosses</w:t>
            </w:r>
          </w:p>
        </w:tc>
        <w:tc>
          <w:tcPr/>
          <w:p>
            <w:pPr>
              <w:pStyle w:val="Compact"/>
              <w:keepNext/>
            </w:pPr>
            <w:r>
              <w:rPr>
                <w:sz w:val="18"/>
              </w:rPr>
              <w:t xml:space="preserve">35.6% against 15.5%, OR 2.38 [1.69, 3.34]; within series 2.15 [1.36, 3.42]</w:t>
            </w:r>
          </w:p>
        </w:tc>
        <w:tc>
          <w:tcPr/>
          <w:p>
            <w:pPr>
              <w:pStyle w:val="Compact"/>
              <w:keepNext/>
            </w:pPr>
            <w:r>
              <w:rPr>
                <w:sz w:val="18"/>
              </w:rPr>
              <w:t xml:space="preserve">Against (D), except perhaps for the core labels</w:t>
            </w:r>
          </w:p>
        </w:tc>
      </w:tr>
      <w:tr>
        <w:trPr>
          <w:cantSplit/>
        </w:trPr>
        <w:tc>
          <w:tcPr/>
          <w:p>
            <w:pPr>
              <w:pStyle w:val="Compact"/>
              <w:keepNext/>
            </w:pPr>
            <w:r>
              <w:rPr>
                <w:sz w:val="18"/>
              </w:rPr>
              <w:t xml:space="preserve">H1b, other regular relations</w:t>
            </w:r>
          </w:p>
        </w:tc>
        <w:tc>
          <w:tcPr/>
          <w:p>
            <w:pPr>
              <w:pStyle w:val="Compact"/>
              <w:keepNext/>
            </w:pPr>
            <w:r>
              <w:rPr>
                <w:sz w:val="18"/>
              </w:rPr>
              <w:t xml:space="preserve">Not supported; of the tone and voicing alternations only the departing tone sets labelled pairs apart</w:t>
            </w:r>
          </w:p>
        </w:tc>
        <w:tc>
          <w:tcPr/>
          <w:p>
            <w:pPr>
              <w:pStyle w:val="Compact"/>
              <w:keepNext/>
            </w:pPr>
            <w:r>
              <w:rPr>
                <w:sz w:val="18"/>
              </w:rPr>
              <w:t xml:space="preserve">other alternations OR 0.70 [0.36, 1.36]; OC class R without *-s OR 0.81 [0.39, 1.65]</w:t>
            </w:r>
          </w:p>
        </w:tc>
        <w:tc>
          <w:tcPr/>
          <w:p>
            <w:pPr>
              <w:pStyle w:val="Compact"/>
              <w:keepNext/>
            </w:pPr>
            <w:r>
              <w:rPr>
                <w:sz w:val="18"/>
              </w:rPr>
              <w:t xml:space="preserve">Against (B)</w:t>
            </w:r>
          </w:p>
        </w:tc>
      </w:tr>
      <w:tr>
        <w:trPr>
          <w:cantSplit/>
        </w:trPr>
        <w:tc>
          <w:tcPr/>
          <w:p>
            <w:pPr>
              <w:pStyle w:val="Compact"/>
              <w:keepNext/>
            </w:pPr>
            <w:r>
              <w:rPr>
                <w:sz w:val="18"/>
              </w:rPr>
              <w:t xml:space="preserve">H1c, departing tone</w:t>
            </w:r>
          </w:p>
        </w:tc>
        <w:tc>
          <w:tcPr/>
          <w:p>
            <w:pPr>
              <w:pStyle w:val="Compact"/>
              <w:keepNext/>
            </w:pPr>
            <w:r>
              <w:rPr>
                <w:sz w:val="18"/>
              </w:rPr>
              <w:t xml:space="preserve">Supported as an enrichment, but the label does not single out the derived member</w:t>
            </w:r>
          </w:p>
        </w:tc>
        <w:tc>
          <w:tcPr/>
          <w:p>
            <w:pPr>
              <w:pStyle w:val="Compact"/>
              <w:keepNext/>
            </w:pPr>
            <w:r>
              <w:rPr>
                <w:sz w:val="18"/>
              </w:rPr>
              <w:t xml:space="preserve">16/33 against 43/150, OR 2.44 [1.34, 4.48]; direction given the departing tone OR 1.11 [0.31, 4.57]</w:t>
            </w:r>
          </w:p>
        </w:tc>
        <w:tc>
          <w:tcPr/>
          <w:p>
            <w:pPr>
              <w:pStyle w:val="Compact"/>
              <w:keepNext/>
            </w:pPr>
            <w:r>
              <w:rPr>
                <w:sz w:val="18"/>
              </w:rPr>
              <w:t xml:space="preserve">Against (B) on direction</w:t>
            </w:r>
          </w:p>
        </w:tc>
      </w:tr>
      <w:tr>
        <w:trPr>
          <w:cantSplit/>
        </w:trPr>
        <w:tc>
          <w:tcPr/>
          <w:p>
            <w:pPr>
              <w:pStyle w:val="Compact"/>
              <w:keepNext/>
            </w:pPr>
            <w:r>
              <w:rPr>
                <w:sz w:val="18"/>
              </w:rPr>
              <w:t xml:space="preserve">H2, meaning</w:t>
            </w:r>
          </w:p>
        </w:tc>
        <w:tc>
          <w:tcPr/>
          <w:p>
            <w:pPr>
              <w:pStyle w:val="Compact"/>
              <w:keepNext/>
            </w:pPr>
            <w:r>
              <w:rPr>
                <w:sz w:val="18"/>
              </w:rPr>
              <w:t xml:space="preserve">Supported in every subset and in both codings</w:t>
            </w:r>
          </w:p>
        </w:tc>
        <w:tc>
          <w:tcPr/>
          <w:p>
            <w:pPr>
              <w:pStyle w:val="Compact"/>
              <w:keepNext/>
            </w:pPr>
            <w:r>
              <w:rPr>
                <w:sz w:val="18"/>
              </w:rPr>
              <w:t xml:space="preserve">82.0% against 17.1%, OR 21.6 [13.3, 35.0]</w:t>
            </w:r>
          </w:p>
        </w:tc>
        <w:tc>
          <w:tcPr/>
          <w:p>
            <w:pPr>
              <w:pStyle w:val="Compact"/>
              <w:keepNext/>
            </w:pPr>
            <w:r>
              <w:rPr>
                <w:sz w:val="18"/>
              </w:rPr>
              <w:t xml:space="preserve">Against (D)</w:t>
            </w:r>
          </w:p>
        </w:tc>
      </w:tr>
      <w:tr>
        <w:trPr>
          <w:cantSplit/>
        </w:trPr>
        <w:tc>
          <w:tcPr/>
          <w:p>
            <w:pPr>
              <w:pStyle w:val="Compact"/>
              <w:keepNext/>
            </w:pPr>
            <w:r>
              <w:rPr>
                <w:sz w:val="18"/>
              </w:rPr>
              <w:t xml:space="preserve">H5, sound among related pairs</w:t>
            </w:r>
          </w:p>
        </w:tc>
        <w:tc>
          <w:tcPr/>
          <w:p>
            <w:pPr>
              <w:pStyle w:val="Compact"/>
              <w:keepNext/>
            </w:pPr>
            <w:r>
              <w:rPr>
                <w:sz w:val="18"/>
              </w:rPr>
              <w:t xml:space="preserve">Supported, moderately</w:t>
            </w:r>
          </w:p>
        </w:tc>
        <w:tc>
          <w:tcPr/>
          <w:p>
            <w:pPr>
              <w:pStyle w:val="Compact"/>
              <w:keepNext/>
            </w:pPr>
            <w:r>
              <w:rPr>
                <w:sz w:val="18"/>
              </w:rPr>
              <w:t xml:space="preserve">51.8% against 29.1%, OR 2.35 [1.43, 3.86]</w:t>
            </w:r>
          </w:p>
        </w:tc>
        <w:tc>
          <w:tcPr/>
          <w:p>
            <w:pPr>
              <w:pStyle w:val="Compact"/>
              <w:keepNext/>
            </w:pPr>
            <w:r>
              <w:rPr>
                <w:sz w:val="18"/>
              </w:rPr>
              <w:t xml:space="preserve">For (C) against (A)</w:t>
            </w:r>
          </w:p>
        </w:tc>
      </w:tr>
      <w:tr>
        <w:trPr>
          <w:cantSplit/>
        </w:trPr>
        <w:tc>
          <w:tcPr/>
          <w:p>
            <w:pPr>
              <w:pStyle w:val="Compact"/>
              <w:keepNext/>
            </w:pPr>
            <w:r>
              <w:rPr>
                <w:sz w:val="18"/>
              </w:rPr>
              <w:t xml:space="preserve">H3, recensions (exploratory)</w:t>
            </w:r>
          </w:p>
        </w:tc>
        <w:tc>
          <w:tcPr/>
          <w:p>
            <w:pPr>
              <w:pStyle w:val="Compact"/>
              <w:keepNext/>
            </w:pPr>
            <w:r>
              <w:rPr>
                <w:sz w:val="18"/>
              </w:rPr>
              <w:t xml:space="preserve">Dà Xú-only labels are closer to their phonetic</w:t>
            </w:r>
          </w:p>
        </w:tc>
        <w:tc>
          <w:tcPr/>
          <w:p>
            <w:pPr>
              <w:pStyle w:val="Compact"/>
              <w:keepNext/>
            </w:pPr>
            <w:r>
              <w:rPr>
                <w:sz w:val="18"/>
              </w:rPr>
              <w:t xml:space="preserve">shared relative to Dà Xú-only, OR 0.39 [0.19, 0.80]</w:t>
            </w:r>
          </w:p>
        </w:tc>
        <w:tc>
          <w:tcPr/>
          <w:p>
            <w:pPr>
              <w:pStyle w:val="Compact"/>
              <w:keepNext/>
            </w:pPr>
            <w:r>
              <w:rPr>
                <w:sz w:val="18"/>
              </w:rPr>
              <w:t xml:space="preserve">–</w:t>
            </w:r>
          </w:p>
        </w:tc>
      </w:tr>
      <w:tr>
        <w:trPr>
          <w:cantSplit/>
        </w:trPr>
        <w:tc>
          <w:tcPr/>
          <w:p>
            <w:pPr>
              <w:pStyle w:val="Compact"/>
            </w:pPr>
            <w:r>
              <w:rPr>
                <w:sz w:val="18"/>
              </w:rPr>
              <w:t xml:space="preserve">H4, filing position (exploratory)</w:t>
            </w:r>
          </w:p>
        </w:tc>
        <w:tc>
          <w:tcPr/>
          <w:p>
            <w:pPr>
              <w:pStyle w:val="Compact"/>
            </w:pPr>
            <w:r>
              <w:rPr>
                <w:sz w:val="18"/>
              </w:rPr>
              <w:t xml:space="preserve">No difference</w:t>
            </w:r>
          </w:p>
        </w:tc>
        <w:tc>
          <w:tcPr/>
          <w:p>
            <w:pPr>
              <w:pStyle w:val="Compact"/>
            </w:pPr>
            <w:r>
              <w:rPr>
                <w:sz w:val="18"/>
              </w:rPr>
              <w:t xml:space="preserve">9/34 against 54/143, p = 0.24</w:t>
            </w:r>
          </w:p>
        </w:tc>
        <w:tc>
          <w:tcPr/>
          <w:p>
            <w:pPr>
              <w:pStyle w:val="Compact"/>
            </w:pPr>
            <w:r>
              <w:rPr>
                <w:sz w:val="18"/>
              </w:rPr>
              <w:t xml:space="preserve">–</w:t>
            </w:r>
          </w:p>
        </w:tc>
      </w:tr>
    </w:tbl>
    <w:p>
      <w:pPr>
        <w:pStyle w:val="Compact"/>
        <w:numPr>
          <w:ilvl w:val="0"/>
          <w:numId w:val="1004"/>
        </w:numPr>
        <w:spacing w:before="160"/>
      </w:pPr>
      <w:r>
        <w:t xml:space="preserve">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42" w:name="artefacts"/>
    <w:p>
      <w:pPr>
        <w:pStyle w:val="Heading2"/>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11).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42"/>
    <w:bookmarkStart w:id="43" w:name="meaning-first-or-sound-as-well"/>
    <w:p>
      <w:pPr>
        <w:pStyle w:val="Heading2"/>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4.5).</w:t>
      </w:r>
    </w:p>
    <w:p>
      <w:pPr>
        <w:pStyle w:val="BodyText"/>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checked codes raise it to 2.73, and the label contributes about as much as relatedness itself (Section 4.4).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8), and a coder readier to find homophones related would have worked against the result.</w:t>
      </w:r>
    </w:p>
    <w:p>
      <w:pPr>
        <w:pStyle w:val="BodyText"/>
      </w:pPr>
      <w:r>
        <w:t xml:space="preserve">A sensitivity analysis, exploratory and made after the results, says how much error (A) would need. If the label added nothing to relatedness, about 11% of the ordinary pairs that are in fact unrelated would have to be coded related, some 50 of the 79 related ordinary pairs, to bring the odds ratio to 1, and about 6% to bring it to 2. Pass 1 codes 4% of the ordinary pairs that pass 2 codes unrelated as related, and correcting for that leaves 2.20 (95% CI 1.18–4.34); the authors’ consolidated judgment implies about 10%, with an interval (2.5–21%) too wide to decide. Random error in the coding cannot erase the difference, but an error shared by all the coders, most likely a lower threshold for E, could, and the checks made so far can neither show nor exclude it.</w:t>
      </w:r>
    </w:p>
    <w:p>
      <w:pPr>
        <w:pStyle w:val="BodyText"/>
      </w:pPr>
      <w:r>
        <w:t xml:space="preserve">On balance, the label records relatedness of meaning first and, among related pairs, leans toward what (C) names: the same word written with a new graph, or a word minimally derived from it. The lean is moderate (the estimate lies close to 2, the smallest odds ratio of interest, and its interval reaches below it), imprecise within series, and smaller in the labels most likely to be Xu’s own (1.80, exploratory). It can be stated as a hypothesis about what the analyst saw.</w:t>
      </w:r>
    </w:p>
    <w:p>
      <w:pPr>
        <w:pStyle w:val="BlockText"/>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and each could contradict it. In excavated manuscripts, labelled headwords should be written with the bare phonetic graph more often than homophonous ordinary compounds of the same phonetic, as Warring States manuscripts write </w:t>
      </w:r>
      <w:r>
        <w:rPr>
          <w:rFonts w:hint="eastAsia"/>
        </w:rPr>
        <w:t xml:space="preserve">義</w:t>
      </w:r>
      <w:r>
        <w:t xml:space="preserve"> as </w:t>
      </w:r>
      <w:r>
        <w:rPr>
          <w:rFonts w:hint="eastAsia"/>
        </w:rPr>
        <w:t xml:space="preserve">宜</w:t>
      </w:r>
      <w:r>
        <w:t xml:space="preserve"> (cf. Section 2.3); the test needs a corpus of manuscript spellings and the same within-series baseline. And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that link a compound to its own phonetic should favour identity and the departing tone; these notes can be counted with the tools used here. A meaning-first label predicts neither beyond what relatedness brings.</w:t>
      </w:r>
    </w:p>
    <w:p>
      <w:pPr>
        <w:pStyle w:val="BodyText"/>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4.4). That fits Schuessler’s (2007) view of the departing tone (his tone C) as</w:t>
      </w:r>
      <w:r>
        <w:t xml:space="preserve"> </w:t>
      </w:r>
      <w:r>
        <w:t xml:space="preserve">“the most common derivational device in OC”</w:t>
      </w:r>
      <w:r>
        <w:t xml:space="preserve">, Zhang’s (2022) description of the departing-tone alternation as the</w:t>
      </w:r>
      <w:r>
        <w:t xml:space="preserve"> </w:t>
      </w:r>
      <w:r>
        <w:t xml:space="preserve">“least controversial”</w:t>
      </w:r>
      <w:r>
        <w:t xml:space="preserve"> </w:t>
      </w:r>
      <w:r>
        <w:t xml:space="preserve">evidence of Old Chinese morphology, and the differences between derivational processes in the predictability of their semantics (Barbu Mititelu et al., 2026). But half the labelled *-s members are glossed by their own phonetic, so the *-s result is supported rather than secure.</w:t>
      </w:r>
    </w:p>
    <w:bookmarkEnd w:id="43"/>
    <w:bookmarkStart w:id="44" w:name="X61d98e2b9e88b431582eb5587a7aff70d0eb697"/>
    <w:p>
      <w:pPr>
        <w:pStyle w:val="Heading2"/>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BodyText"/>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BodyText"/>
      </w:pPr>
      <w:r>
        <w:t xml:space="preserve">This is, on a larger scale, the lesson Rasin et al. (2024) drew from Arad’s diagnostics (Section 2.4). It also fits paradigm-based definitions of relatedness, which require no designated base and no fixed direction (Bonami &amp; Strnadová, 2019; Hathout &amp; Namer, 2019): tested at the level of the population, the label, a native judgment of the content side, recovers the form relations that recur with that content, identity and the *-s alternation, and nothing about direction.</w:t>
      </w:r>
    </w:p>
    <w:p>
      <w:pPr>
        <w:pStyle w:val="BodyText"/>
      </w:pPr>
      <w:r>
        <w:t xml:space="preserve">The homophonous labelled pairs show what the script adds. Speech records nothing for them, yet the descriptive coding classes most as a sense given its own graph and five as conversion (Table 9):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BodyText"/>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44"/>
    <w:bookmarkStart w:id="45" w:name="whose-label"/>
    <w:p>
      <w:pPr>
        <w:pStyle w:val="Heading2"/>
      </w:pPr>
      <w:r>
        <w:t xml:space="preserve">5.4 Whose label?</w:t>
      </w:r>
    </w:p>
    <w:p>
      <w:pPr>
        <w:pStyle w:val="FirstParagraph"/>
      </w:pPr>
      <w:r>
        <w:t xml:space="preserve">The shared layer, the one most likely to go back to Xu Shen, is less often homophonous and more often remote than the Dà Xú-only layer (Table 10).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judgment that the phonetic contributes meaning, so that much of the phonological core would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and a weaker contrast in sound, so the core is not solely an editor’s creation.</w:t>
      </w:r>
    </w:p>
    <w:p>
      <w:pPr>
        <w:pStyle w:val="BodyText"/>
      </w:pPr>
      <w:r>
        <w:t xml:space="preserve">Wang Yun thought that the Dà Xú had added labels, and 62 of its labels are indeed absent from the Xiǎo Xú, though three of his nine rejections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stand in both.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 One label that has served as evidence in OC reconstruction is also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45"/>
    <w:bookmarkEnd w:id="46"/>
    <w:bookmarkStart w:id="47" w:name="limitations"/>
    <w:p>
      <w:pPr>
        <w:pStyle w:val="Heading1"/>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BodyText"/>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made on a sheet that showed the passes’ codes and was consolidated into one judgment per item, so it is neither independent of the passes nor a measure of agreement between the authors, and only the consolidated sheet is on file; H5 rests on the machine coding, with the check as a sensitivity analysis. Relatedness enters H5 as a binary code, which leaves open the bias discussed in Section 5.2; the authors have judged only 26 of the 79 related ordinary pairs, and judging the other 53 would turn that discussion into a count.</w:t>
      </w:r>
    </w:p>
    <w:p>
      <w:pPr>
        <w:pStyle w:val="BodyText"/>
      </w:pPr>
      <w:r>
        <w:t xml:space="preserve">The results describe the population of labels and do not classify single ones: about half of the labelled pairs (93 of 177) are neither identical to their phonetic nor departing-tone alternants, and no rule based on sound alone would recover them.</w:t>
      </w:r>
    </w:p>
    <w:p>
      <w:pPr>
        <w:pStyle w:val="BodyText"/>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BodyText"/>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47"/>
    <w:bookmarkStart w:id="48" w:name="conclusion"/>
    <w:p>
      <w:pPr>
        <w:pStyle w:val="Heading1"/>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smaller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BodyText"/>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bookmarkEnd w:id="48"/>
    <w:bookmarkStart w:id="49" w:name="supplementary-information"/>
    <w:p>
      <w:pPr>
        <w:pStyle w:val="Heading1"/>
      </w:pPr>
      <w:r>
        <w:t xml:space="preserve">Supplementary Information</w:t>
      </w:r>
    </w:p>
    <w:p>
      <w:pPr>
        <w:pStyle w:val="FirstParagraph"/>
      </w:pPr>
      <w:r>
        <w:t xml:space="preserve">The online version contains the following supplementary material (Online Resources 1–7).</w:t>
      </w:r>
    </w:p>
    <w:p>
      <w:pPr>
        <w:pStyle w:val="BodyText"/>
      </w:pPr>
      <w:r>
        <w:rPr>
          <w:b/>
          <w:bCs/>
        </w:rPr>
        <w:t xml:space="preserve">Online Resource 1</w:t>
      </w:r>
      <w:r>
        <w:t xml:space="preserve"> </w:t>
      </w:r>
      <w:r>
        <w:t xml:space="preserve">(ESM_1.pdf) Guide to the electronic supplementary material: a description of every file, the data dictionaries, the coding instructions, a statement of who coded what, and instructions for reproducing the results.</w:t>
      </w:r>
    </w:p>
    <w:p>
      <w:pPr>
        <w:pStyle w:val="BodyText"/>
      </w:pPr>
      <w:r>
        <w:rPr>
          <w:b/>
          <w:bCs/>
        </w:rPr>
        <w:t xml:space="preserve">Online Resource 2</w:t>
      </w:r>
      <w:r>
        <w:t xml:space="preserve"> </w:t>
      </w:r>
      <w:r>
        <w:t xml:space="preserve">(ESM_2.xlsx) Pair-level dataset: the 1,333 extracted pairs of a</w:t>
      </w:r>
      <w:r>
        <w:t xml:space="preserve"> </w:t>
      </w:r>
      <w:r>
        <w:rPr>
          <w:i/>
          <w:iCs/>
        </w:rPr>
        <w:t xml:space="preserve">Shuōwén</w:t>
      </w:r>
      <w:r>
        <w:t xml:space="preserve"> </w:t>
      </w:r>
      <w:r>
        <w:t xml:space="preserve">compound and its phonetic, of which 212 labelled and 953 ordinary pairs form the analysis set, with Middle and Old Chinese readings, sound-relation categories, gloss and recension flags and the relation types of homophonous pairs; the Dà Xú–Xiǎo Xú collation of the 227 labelled entries; and the register of the 104 entries checked against the print edition.</w:t>
      </w:r>
    </w:p>
    <w:p>
      <w:pPr>
        <w:pStyle w:val="BodyText"/>
      </w:pPr>
      <w:r>
        <w:rPr>
          <w:b/>
          <w:bCs/>
        </w:rPr>
        <w:t xml:space="preserve">Online Resource 3</w:t>
      </w:r>
      <w:r>
        <w:t xml:space="preserve"> </w:t>
      </w:r>
      <w:r>
        <w:t xml:space="preserve">(ESM_3.xlsx) Semantic codings: the first blind sample (100 pairs, the blind and the non-blind pass); the enlarged blind coding (767 pairs: the 677 new items, coded in two independent blind passes by separate Claude instances with confidence and notes, and the 90 first-sample items in the sampling frame); the authors’ consolidated check of 126 pairs; and the second answers returned in two batches.</w:t>
      </w:r>
    </w:p>
    <w:p>
      <w:pPr>
        <w:pStyle w:val="BodyText"/>
      </w:pPr>
      <w:r>
        <w:rPr>
          <w:b/>
          <w:bCs/>
        </w:rPr>
        <w:t xml:space="preserve">Online Resource 4</w:t>
      </w:r>
      <w:r>
        <w:t xml:space="preserve"> </w:t>
      </w:r>
      <w:r>
        <w:t xml:space="preserve">(ESM_4.pdf) Analysis plan for the enlarged coding, committed with a time-stamp before any batch was coded (English translation, with the log of later changes).</w:t>
      </w:r>
    </w:p>
    <w:p>
      <w:pPr>
        <w:pStyle w:val="BodyText"/>
      </w:pPr>
      <w:r>
        <w:rPr>
          <w:b/>
          <w:bCs/>
        </w:rPr>
        <w:t xml:space="preserve">Online Resource 5</w:t>
      </w:r>
      <w:r>
        <w:t xml:space="preserve"> </w:t>
      </w:r>
      <w:r>
        <w:t xml:space="preserve">(ESM_5.zip) Materials of the enlarged coding: the 14 prompts (7 batches, 2 passes), the raw answers returned by the Claude instances, the two second answers that were not used, the blank sheet for the authors’ check and the log of when each answer was collected.</w:t>
      </w:r>
    </w:p>
    <w:p>
      <w:pPr>
        <w:pStyle w:val="BodyText"/>
      </w:pPr>
      <w:r>
        <w:rPr>
          <w:b/>
          <w:bCs/>
        </w:rPr>
        <w:t xml:space="preserve">Online Resource 6</w:t>
      </w:r>
      <w:r>
        <w:t xml:space="preserve"> </w:t>
      </w:r>
      <w:r>
        <w:t xml:space="preserve">(ESM_6.xlsx) Result tables: all model outputs and counts behind Tables 2 and 4–11 and Fig. 1 (main models, sensitivity analyses, tests on the enlarged coding, replacement by the authors’ judgment, replacement by the second answers, sensitivity to coding bias, agreement statistics).</w:t>
      </w:r>
    </w:p>
    <w:p>
      <w:pPr>
        <w:pStyle w:val="BodyText"/>
      </w:pPr>
      <w:r>
        <w:rPr>
          <w:b/>
          <w:bCs/>
        </w:rPr>
        <w:t xml:space="preserve">Online Resource 7</w:t>
      </w:r>
      <w:r>
        <w:t xml:space="preserve"> </w:t>
      </w:r>
      <w:r>
        <w:t xml:space="preserve">(ESM_7.zip) Analysis code: Python scripts that regenerate the result tables from the data tables, the input tables as CSV files, the expected outputs and a self-check script.</w:t>
      </w:r>
    </w:p>
    <w:bookmarkEnd w:id="49"/>
    <w:bookmarkStart w:id="50" w:name="statements-and-declarations"/>
    <w:p>
      <w:pPr>
        <w:pStyle w:val="Heading1"/>
      </w:pPr>
      <w:r>
        <w:t xml:space="preserve">Statements and Declarations</w:t>
      </w:r>
    </w:p>
    <w:p>
      <w:pPr>
        <w:pStyle w:val="FirstParagraph"/>
      </w:pPr>
      <w:r>
        <w:rPr>
          <w:b/>
          <w:bCs/>
        </w:rPr>
        <w:t xml:space="preserve">Funding</w:t>
      </w:r>
      <w:r>
        <w:t xml:space="preserve"> </w:t>
      </w:r>
      <w:r>
        <w:t xml:space="preserve">The authors did not receive support from any organization for the submitted work.</w:t>
      </w:r>
    </w:p>
    <w:p>
      <w:pPr>
        <w:pStyle w:val="BodyText"/>
      </w:pPr>
      <w:r>
        <w:rPr>
          <w:b/>
          <w:bCs/>
        </w:rPr>
        <w:t xml:space="preserve">Competing interests</w:t>
      </w:r>
      <w:r>
        <w:t xml:space="preserve"> </w:t>
      </w:r>
      <w:r>
        <w:t xml:space="preserve">The authors have no competing interests to declare that are relevant to the content of this article.</w:t>
      </w:r>
    </w:p>
    <w:p>
      <w:pPr>
        <w:pStyle w:val="BodyText"/>
      </w:pPr>
      <w:r>
        <w:rPr>
          <w:b/>
          <w:bCs/>
        </w:rPr>
        <w:t xml:space="preserve">Ethics approval and consent</w:t>
      </w:r>
      <w:r>
        <w:t xml:space="preserve"> </w:t>
      </w:r>
      <w:r>
        <w:t xml:space="preserve">Not applicable. The study analyses historical texts and involves no human participants or animals.</w:t>
      </w:r>
    </w:p>
    <w:p>
      <w:pPr>
        <w:pStyle w:val="BodyText"/>
      </w:pPr>
      <w:r>
        <w:rPr>
          <w:b/>
          <w:bCs/>
        </w:rPr>
        <w:t xml:space="preserve">Coding</w:t>
      </w:r>
      <w:r>
        <w:t xml:space="preserve"> </w:t>
      </w:r>
      <w:r>
        <w:t xml:space="preserve">The two authors each coded the first semantic sample independently from the unlabelled sheet and checked it against the blind machine coding, each reviewed 126 items of the enlarged coding separately and consolidated their judgments, and both reviewed the relation types of the homophonous pairs.</w:t>
      </w:r>
    </w:p>
    <w:p>
      <w:pPr>
        <w:pStyle w:val="BodyText"/>
      </w:pPr>
      <w:r>
        <w:rPr>
          <w:b/>
          <w:bCs/>
        </w:rPr>
        <w:t xml:space="preserve">Data availability</w:t>
      </w:r>
      <w:r>
        <w:t xml:space="preserve"> </w:t>
      </w:r>
      <w:r>
        <w:t xml:space="preserve">The data supporting the findings of this study are included in the Supplementary Information: the pair-level dataset (Online Resource 2), the semantic codings (Online Resource 3), the analysis plan and the materials of the enlarged coding (Online Resources 4 and 5), the result tables (Online Resource 6) and the analysis code (Online Resource 7); Online Resource 1 is a guide to all files. The source texts and linguistic resources behind the dataset are open and are cited in Section 3: the digital</w:t>
      </w:r>
      <w:r>
        <w:t xml:space="preserve"> </w:t>
      </w:r>
      <w:r>
        <w:rPr>
          <w:i/>
          <w:iCs/>
        </w:rPr>
        <w:t xml:space="preserve">Shuōwén</w:t>
      </w:r>
      <w:r>
        <w:t xml:space="preserve"> </w:t>
      </w:r>
      <w:r>
        <w:t xml:space="preserve">of the shuowenjiezi project, the tshet-uinh database (nk2028), the cddb database of Baxter and Sagart’s reconstruction, and the Kanseki Repository.</w:t>
      </w:r>
    </w:p>
    <w:bookmarkEnd w:id="50"/>
    <w:bookmarkStart w:id="51" w:name="references"/>
    <w:p>
      <w:pPr>
        <w:pStyle w:val="Heading1"/>
      </w:pPr>
      <w:r>
        <w:t xml:space="preserve">References</w:t>
      </w:r>
    </w:p>
    <w:p>
      <w:pPr>
        <w:pStyle w:val="Bibliography"/>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Bibliography"/>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Bibliography"/>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Bibliography"/>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 https://doi.org/10.1515/9783110809084.35</w:t>
      </w:r>
    </w:p>
    <w:p>
      <w:pPr>
        <w:pStyle w:val="Bibliography"/>
      </w:pPr>
      <w:r>
        <w:t xml:space="preserve">Baxter, W. H., &amp; Sagart, L. (2014).</w:t>
      </w:r>
      <w:r>
        <w:t xml:space="preserve"> </w:t>
      </w:r>
      <w:r>
        <w:rPr>
          <w:i/>
          <w:iCs/>
        </w:rPr>
        <w:t xml:space="preserve">Old Chinese: A new reconstruction</w:t>
      </w:r>
      <w:r>
        <w:t xml:space="preserve">. Oxford University Press. https://doi.org/10.1093/acprof:oso/9780199945375.001.0001</w:t>
      </w:r>
    </w:p>
    <w:p>
      <w:pPr>
        <w:pStyle w:val="Bibliography"/>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Bibliography"/>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Bibliography"/>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Bibliography"/>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Bibliography"/>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Bibliography"/>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Bibliography"/>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Bibliography"/>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Bibliography"/>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Bibliography"/>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Bibliography"/>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Bibliography"/>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Bibliography"/>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Bibliography"/>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Bibliography"/>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Bibliography"/>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Bibliography"/>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Bibliography"/>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Bibliography"/>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Bibliography"/>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Bibliography"/>
      </w:pPr>
      <w:r>
        <w:t xml:space="preserve">Sagart, L. (1999).</w:t>
      </w:r>
      <w:r>
        <w:t xml:space="preserve"> </w:t>
      </w:r>
      <w:r>
        <w:rPr>
          <w:i/>
          <w:iCs/>
        </w:rPr>
        <w:t xml:space="preserve">The roots of Old Chinese</w:t>
      </w:r>
      <w:r>
        <w:t xml:space="preserve">. John Benjamins. https://doi.org/10.1075/cilt.184</w:t>
      </w:r>
    </w:p>
    <w:p>
      <w:pPr>
        <w:pStyle w:val="Bibliography"/>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Bibliography"/>
      </w:pPr>
      <w:r>
        <w:t xml:space="preserve">Schuessler, A. (2007).</w:t>
      </w:r>
      <w:r>
        <w:t xml:space="preserve"> </w:t>
      </w:r>
      <w:r>
        <w:rPr>
          <w:i/>
          <w:iCs/>
        </w:rPr>
        <w:t xml:space="preserve">ABC etymological dictionary of Old Chinese</w:t>
      </w:r>
      <w:r>
        <w:t xml:space="preserve">. University of Hawai’i Press. https://doi.org/10.1515/9780824861339</w:t>
      </w:r>
    </w:p>
    <w:p>
      <w:pPr>
        <w:pStyle w:val="Bibliography"/>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Bibliography"/>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Bibliography"/>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Bibliography"/>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Bibliography"/>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Bibliography"/>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Bibliography"/>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Bibliography"/>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Bibliography"/>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51"/>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
  <cp:keywords/>
  <dcterms:created xsi:type="dcterms:W3CDTF">2026-10-01T09:01:03Z</dcterms:created>
  <dcterms:modified xsi:type="dcterms:W3CDTF">2026-10-01T09:01:03Z</dcterms:modified>
  <cp:lastModifiedBy/>
</cp:coreProperties>
</file>

<file path=docProps/custom.xml><?xml version="1.0" encoding="utf-8"?>
<Properties xmlns="http://schemas.openxmlformats.org/officeDocument/2006/custom-properties" xmlns:vt="http://schemas.openxmlformats.org/officeDocument/2006/docPropsVTypes"/>
</file>