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 page</w:t>
      </w:r>
    </w:p>
    <w:p>
      <w:pPr>
        <w:pStyle w:val="LetterText"/>
      </w:pPr>
      <w:r>
        <w:rPr>
          <w:b/>
          <w:bCs/>
        </w:rPr>
        <w:t xml:space="preserve">Title</w:t>
      </w:r>
      <w:r>
        <w:t xml:space="preserve"> </w:t>
      </w:r>
      <w:r>
        <w:t xml:space="preserve">What does</w:t>
      </w:r>
      <w:r>
        <w:t xml:space="preserve"> </w:t>
      </w:r>
      <w:r>
        <w:t xml:space="preserve">‘also phonetic’</w:t>
      </w:r>
      <w:r>
        <w:t xml:space="preserve"> </w:t>
      </w:r>
      <w:r>
        <w:t xml:space="preserve">mark? The</w:t>
      </w:r>
      <w:r>
        <w:t xml:space="preserve"> </w:t>
      </w:r>
      <w:r>
        <w:rPr>
          <w:i/>
          <w:iCs/>
        </w:rPr>
        <w:t xml:space="preserve">Shuōwén</w:t>
      </w:r>
      <w:r>
        <w:t xml:space="preserve">’s</w:t>
      </w:r>
      <w:r>
        <w:t xml:space="preserve"> </w:t>
      </w:r>
      <w:r>
        <w:rPr>
          <w:i/>
          <w:iCs/>
        </w:rPr>
        <w:t xml:space="preserve">yìshēng</w:t>
      </w:r>
      <w:r>
        <w:t xml:space="preserve"> </w:t>
      </w:r>
      <w:r>
        <w:t xml:space="preserve">label, homophony and derivation in Old Chinese</w:t>
      </w:r>
    </w:p>
    <w:p>
      <w:pPr>
        <w:pStyle w:val="LetterText"/>
      </w:pPr>
      <w:r>
        <w:rPr>
          <w:b/>
          <w:bCs/>
        </w:rPr>
        <w:t xml:space="preserve">Authors</w:t>
      </w:r>
      <w:r>
        <w:t xml:space="preserve"> </w:t>
      </w:r>
      <w:r>
        <w:t xml:space="preserve">Yusen Wu and Weiyi Qu</w:t>
      </w:r>
    </w:p>
    <w:p>
      <w:pPr>
        <w:pStyle w:val="LetterText"/>
      </w:pPr>
      <w:r>
        <w:t xml:space="preserve">Yusen Wu</w:t>
      </w:r>
      <w:r>
        <w:rPr>
          <w:vertAlign w:val="superscript"/>
        </w:rPr>
        <w:t xml:space="preserve">1</w:t>
      </w:r>
      <w:r>
        <w:t xml:space="preserve"> </w:t>
      </w:r>
      <w:r>
        <w:t xml:space="preserve">· ORCID:</w:t>
      </w:r>
      <w:r>
        <w:t xml:space="preserve"> </w:t>
      </w:r>
      <w:r>
        <w:rPr>
          <w:b/>
          <w:bCs/>
          <w:highlight w:val="yellow"/>
        </w:rPr>
        <w:t xml:space="preserve">[TO BE SUPPLIED: ORCID, if the author has one]</w:t>
      </w:r>
      <w:r>
        <w:t xml:space="preserve"> </w:t>
      </w:r>
      <w:r>
        <w:t xml:space="preserve">· e-mail:</w:t>
      </w:r>
      <w:r>
        <w:t xml:space="preserve"> </w:t>
      </w:r>
      <w:r>
        <w:rPr>
          <w:b/>
          <w:bCs/>
          <w:highlight w:val="yellow"/>
        </w:rPr>
        <w:t xml:space="preserve">[TO BE SUPPLIED: e-mail]</w:t>
      </w:r>
    </w:p>
    <w:p>
      <w:pPr>
        <w:pStyle w:val="LetterText"/>
      </w:pPr>
      <w:r>
        <w:t xml:space="preserve">Weiyi Qu</w:t>
      </w:r>
      <w:r>
        <w:rPr>
          <w:vertAlign w:val="superscript"/>
        </w:rPr>
        <w:t xml:space="preserve">1</w:t>
      </w:r>
      <w:r>
        <w:t xml:space="preserve"> </w:t>
      </w:r>
      <w:r>
        <w:t xml:space="preserve">· ORCID:</w:t>
      </w:r>
      <w:r>
        <w:t xml:space="preserve"> </w:t>
      </w:r>
      <w:r>
        <w:rPr>
          <w:b/>
          <w:bCs/>
          <w:highlight w:val="yellow"/>
        </w:rPr>
        <w:t xml:space="preserve">[TO BE SUPPLIED: ORCID, if the author has one]</w:t>
      </w:r>
      <w:r>
        <w:t xml:space="preserve"> </w:t>
      </w:r>
      <w:r>
        <w:t xml:space="preserve">· e-mail:</w:t>
      </w:r>
      <w:r>
        <w:t xml:space="preserve"> </w:t>
      </w:r>
      <w:r>
        <w:rPr>
          <w:b/>
          <w:bCs/>
          <w:highlight w:val="yellow"/>
        </w:rPr>
        <w:t xml:space="preserve">[TO BE SUPPLIED: e-mail]</w:t>
      </w:r>
    </w:p>
    <w:p>
      <w:pPr>
        <w:pStyle w:val="Letter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Beijing Foreign Studies University, School of English and International Studies, Beijing, China</w:t>
      </w:r>
    </w:p>
    <w:p>
      <w:pPr>
        <w:pStyle w:val="LetterText"/>
      </w:pPr>
      <w:r>
        <w:rPr>
          <w:b/>
          <w:bCs/>
        </w:rPr>
        <w:t xml:space="preserve">Corresponding author</w:t>
      </w:r>
      <w:r>
        <w:t xml:space="preserve"> </w:t>
      </w:r>
      <w:r>
        <w:rPr>
          <w:b/>
          <w:bCs/>
          <w:highlight w:val="yellow"/>
        </w:rPr>
        <w:t xml:space="preserve">[TO BE SUPPLIED: name and e-mail address of the one corresponding author]</w:t>
      </w:r>
    </w:p>
    <w:p>
      <w:pPr>
        <w:pStyle w:val="LetterText"/>
      </w:pPr>
      <w:r>
        <w:rPr>
          <w:b/>
          <w:bCs/>
        </w:rPr>
        <w:t xml:space="preserve">Acknowledgements</w:t>
      </w:r>
      <w:r>
        <w:t xml:space="preserve"> </w:t>
      </w:r>
      <w:r>
        <w:t xml:space="preserve">None.</w:t>
      </w:r>
    </w:p>
    <w:p>
      <w:pPr>
        <w:pStyle w:val="LetterText"/>
      </w:pPr>
      <w:r>
        <w:rPr>
          <w:b/>
          <w:bCs/>
        </w:rPr>
        <w:t xml:space="preserve">Keywords</w:t>
      </w:r>
      <w:r>
        <w:t xml:space="preserve"> </w:t>
      </w:r>
      <w:r>
        <w:t xml:space="preserve">Lexical relatedness; Derivation; Conversion; Old Chinese; Suffix *-s; Writing systems</w:t>
      </w:r>
    </w:p>
    <w:p>
      <w:pPr>
        <w:pStyle w:val="LetterText"/>
      </w:pPr>
      <w:r>
        <w:rPr>
          <w:b/>
          <w:bCs/>
        </w:rPr>
        <w:t xml:space="preserve">Statements and Declarations</w:t>
      </w:r>
    </w:p>
    <w:p>
      <w:pPr>
        <w:pStyle w:val="LetterText"/>
      </w:pPr>
      <w:r>
        <w:rPr>
          <w:b/>
          <w:bCs/>
        </w:rPr>
        <w:t xml:space="preserve">Funding</w:t>
      </w:r>
      <w:r>
        <w:t xml:space="preserve"> </w:t>
      </w:r>
      <w:r>
        <w:t xml:space="preserve">The authors did not receive support from any organization for the submitted work.</w:t>
      </w:r>
    </w:p>
    <w:p>
      <w:pPr>
        <w:pStyle w:val="LetterText"/>
      </w:pPr>
      <w:r>
        <w:rPr>
          <w:b/>
          <w:bCs/>
        </w:rPr>
        <w:t xml:space="preserve">Competing interests</w:t>
      </w:r>
      <w:r>
        <w:t xml:space="preserve"> </w:t>
      </w:r>
      <w:r>
        <w:t xml:space="preserve">The authors have no competing interests to declare that are relevant to the content of this article. Neither author is a member of the editorial board of</w:t>
      </w:r>
      <w:r>
        <w:t xml:space="preserve"> </w:t>
      </w:r>
      <w:r>
        <w:rPr>
          <w:i/>
          <w:iCs/>
        </w:rPr>
        <w:t xml:space="preserve">Morphology</w:t>
      </w:r>
      <w:r>
        <w:t xml:space="preserve"> </w:t>
      </w:r>
      <w:r>
        <w:rPr>
          <w:b/>
          <w:bCs/>
          <w:highlight w:val="yellow"/>
        </w:rPr>
        <w:t xml:space="preserve">[TO BE SUPPLIED: authors to confirm]</w:t>
      </w:r>
      <w:r>
        <w:t xml:space="preserve">.</w:t>
      </w:r>
    </w:p>
    <w:p>
      <w:pPr>
        <w:pStyle w:val="LetterText"/>
      </w:pPr>
      <w:r>
        <w:rPr>
          <w:b/>
          <w:bCs/>
        </w:rPr>
        <w:t xml:space="preserve">Ethics approval and consent</w:t>
      </w:r>
      <w:r>
        <w:t xml:space="preserve"> </w:t>
      </w:r>
      <w:r>
        <w:t xml:space="preserve">Not applicable. The study analyses historical texts and involves no human participants or animals.</w:t>
      </w:r>
    </w:p>
    <w:p>
      <w:pPr>
        <w:pStyle w:val="LetterText"/>
      </w:pPr>
      <w:r>
        <w:rPr>
          <w:b/>
          <w:bCs/>
        </w:rPr>
        <w:t xml:space="preserve">Author contributions</w:t>
      </w:r>
      <w:r>
        <w:t xml:space="preserve"> </w:t>
      </w:r>
      <w:r>
        <w:rPr>
          <w:b/>
          <w:bCs/>
          <w:highlight w:val="yellow"/>
        </w:rPr>
        <w:t xml:space="preserve">[TO BE SUPPLIED: author contributions, as the authors want them stated (free text or CRediT)]</w:t>
      </w:r>
    </w:p>
    <w:p>
      <w:pPr>
        <w:pStyle w:val="LetterText"/>
      </w:pPr>
      <w:r>
        <w:rPr>
          <w:b/>
          <w:bCs/>
        </w:rPr>
        <w:t xml:space="preserve">Data availability</w:t>
      </w:r>
      <w:r>
        <w:t xml:space="preserve"> </w:t>
      </w:r>
      <w:r>
        <w:t xml:space="preserve">The data supporting the findings of this study are included in the Supplementary Information: the pair-level dataset (Online Resource 2), the semantic codings (Online Resource 3), the analysis plan and the materials of the enlarged coding (Online Resources 4 and 5), the result tables (Online Resource 6) and the analysis code (Online Resource 7); Online Resource 1 is a guide to all files. The source texts and linguistic resources behind the dataset are open and are cited in Section 3: the digital</w:t>
      </w:r>
      <w:r>
        <w:t xml:space="preserve"> </w:t>
      </w:r>
      <w:r>
        <w:rPr>
          <w:i/>
          <w:iCs/>
        </w:rPr>
        <w:t xml:space="preserve">Shuōwén</w:t>
      </w:r>
      <w:r>
        <w:t xml:space="preserve"> </w:t>
      </w:r>
      <w:r>
        <w:t xml:space="preserve">of the shuowenjiezi project, the tshet-uinh database (nk2028), the cddb database of Baxter and Sagart’s reconstruction, and the Kanseki Repository.</w:t>
      </w:r>
    </w:p>
    <w:p>
      <w:pPr>
        <w:pStyle w:val="LetterText"/>
      </w:pPr>
      <w:r>
        <w:rPr>
          <w:b/>
          <w:bCs/>
        </w:rPr>
        <w:t xml:space="preserve">Use of large language models</w:t>
      </w:r>
      <w:r>
        <w:t xml:space="preserve"> </w:t>
      </w:r>
      <w:r>
        <w:t xml:space="preserve">The use of Claude (Anthropic) and Codex (OpenAI) is documented in Section 3.6 of the manuscript.</w:t>
      </w:r>
    </w:p>
    <w:p>
      <w:pPr>
        <w:pStyle w:val="LetterText"/>
      </w:pPr>
      <w:r>
        <w:rPr>
          <w:b/>
          <w:bCs/>
        </w:rPr>
        <w:t xml:space="preserve">Note on the files</w:t>
      </w:r>
      <w:r>
        <w:t xml:space="preserve"> </w:t>
      </w:r>
      <w:r>
        <w:t xml:space="preserve">The anonymised manuscript is</w:t>
      </w:r>
      <w:r>
        <w:t xml:space="preserve"> </w:t>
      </w:r>
      <w:r>
        <w:rPr>
          <w:rStyle w:val="VerbatimChar"/>
        </w:rPr>
        <w:t xml:space="preserve">Manuscript_anonymised.docx</w:t>
      </w:r>
      <w:r>
        <w:t xml:space="preserve"> </w:t>
      </w:r>
      <w:r>
        <w:t xml:space="preserve">(8,800 words of main text, abstract 246 words, 12 tables, 1 figure, 37 references); the figure is supplied as</w:t>
      </w:r>
      <w:r>
        <w:t xml:space="preserve"> </w:t>
      </w:r>
      <w:r>
        <w:rPr>
          <w:rStyle w:val="VerbatimChar"/>
        </w:rPr>
        <w:t xml:space="preserve">Fig1.png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Fig1.eps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Fig1.tif</w:t>
      </w:r>
      <w:r>
        <w:t xml:space="preserve">. This page identifies the authors and is submitted separately from the anonymised manuscript.</w:t>
      </w:r>
    </w:p>
    <w:sectPr>
      <w:footerReference r:id="rId9" w:type="default"/>
      <w:footnotePr>
        <w:numRestart w:val="eachSect"/>
      </w:footnotePr>
      <w:pgSz w:h="16838" w:w="11906"/>
      <w:pgMar w:bottom="1417" w:footer="709" w:header="709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 PAGE </w:instrText>
    </w:r>
    <w:r>
      <w:rPr>
        <w:rFonts w:ascii="Times New Roman" w:hAnsi="Times New Roman"/>
        <w:sz w:val="20"/>
      </w:rPr>
      <w:fldChar w:fldCharType="separate"/>
    </w:r>
    <w:r>
      <w:rPr>
        <w:rFonts w:ascii="Times New Roman" w:hAnsi="Times New Roman"/>
        <w:sz w:val="20"/>
      </w:rPr>
      <w:t>1</w:t>
    </w:r>
    <w:r>
      <w:rPr>
        <w:rFonts w:ascii="Times New Roman" w:hAnsi="Times New Roman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SimSun" w:hAnsi="Times New Roman"/>
        <w:sz w:val="22"/>
        <w:szCs w:val="22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cs="Times New Roman" w:eastAsia="SimSun" w:hAnsi="Times New Roman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20" w:before="0" w:line="360" w:lineRule="auto"/>
      <w:jc w:val="left"/>
    </w:pPr>
    <w:rPr>
      <w:rFonts w:ascii="Times New Roman" w:cs="Times New Roman" w:eastAsia="SimSun" w:hAnsi="Times New Roman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jc w:val="left"/>
    </w:pPr>
    <w:rPr>
      <w:rFonts w:ascii="Times New Roman" w:cs="Times New Roman" w:eastAsia="SimSun" w:hAnsi="Times New Roman"/>
      <w:color w:val="000000"/>
      <w:sz w:val="22"/>
    </w:rPr>
  </w:style>
  <w:style w:customStyle="1" w:styleId="Compact" w:type="paragraph">
    <w:name w:val="Compact"/>
    <w:basedOn w:val="BodyText"/>
    <w:qFormat/>
    <w:pPr>
      <w:spacing w:after="60" w:before="0" w:line="276" w:lineRule="auto"/>
    </w:pPr>
    <w:rPr>
      <w:rFonts w:ascii="Times New Roman" w:cs="Times New Roman" w:eastAsia="SimSun" w:hAnsi="Times New Roman"/>
      <w:color w:val="000000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240" w:before="0" w:line="276" w:lineRule="auto"/>
      <w:contextualSpacing/>
      <w:jc w:val="center"/>
    </w:pPr>
    <w:rPr>
      <w:rFonts w:ascii="Times New Roman" w:cs="Times New Roman" w:eastAsia="SimSun" w:hAnsi="Times New Roman"/>
      <w:b/>
      <w:color w:val="000000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eastAsia="SimSun" w:hAnsi="Times New Roman"/>
      <w:color w:val="00000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80" w:before="0" w:line="276" w:lineRule="auto"/>
      <w:jc w:val="center"/>
    </w:pPr>
    <w:rPr>
      <w:rFonts w:ascii="Times New Roman" w:cs="Times New Roman" w:eastAsia="SimSun" w:hAnsi="Times New Roman"/>
      <w:b w:val="0"/>
      <w:color w:val="000000"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80" w:before="0" w:line="276" w:lineRule="auto"/>
      <w:jc w:val="center"/>
    </w:pPr>
    <w:rPr>
      <w:rFonts w:ascii="Times New Roman" w:cs="Times New Roman" w:eastAsia="SimSun" w:hAnsi="Times New Roman"/>
      <w:b w:val="0"/>
      <w:color w:val="00000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cs="Times New Roman" w:eastAsia="SimSun" w:hAnsi="Times New Roman"/>
      <w:b/>
      <w:color w:val="000000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SimSu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80" w:before="0" w:line="264" w:lineRule="auto"/>
      <w:ind w:hanging="720" w:left="720"/>
    </w:pPr>
    <w:rPr>
      <w:rFonts w:ascii="Times New Roman" w:cs="Times New Roman" w:eastAsia="SimSun" w:hAnsi="Times New Roman"/>
      <w:color w:val="000000"/>
      <w:sz w:val="20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360" w:line="276" w:lineRule="auto"/>
      <w:jc w:val="left"/>
      <w:outlineLvl w:val="0"/>
    </w:pPr>
    <w:rPr>
      <w:rFonts w:ascii="Times New Roman" w:cs="Times New Roman" w:eastAsia="SimSun" w:hAnsi="Times New Roman"/>
      <w:b/>
      <w:i w:val="0"/>
      <w:color w:val="000000"/>
      <w:sz w:val="2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40" w:line="276" w:lineRule="auto"/>
      <w:jc w:val="left"/>
      <w:outlineLvl w:val="1"/>
    </w:pPr>
    <w:rPr>
      <w:rFonts w:ascii="Times New Roman" w:cs="Times New Roman" w:eastAsia="SimSun" w:hAnsi="Times New Roman"/>
      <w:b/>
      <w:i w:val="0"/>
      <w:color w:val="000000"/>
      <w:sz w:val="2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200" w:line="276" w:lineRule="auto"/>
      <w:jc w:val="left"/>
      <w:outlineLvl w:val="2"/>
    </w:pPr>
    <w:rPr>
      <w:rFonts w:ascii="Times New Roman" w:cs="Times New Roman" w:eastAsia="SimSun" w:hAnsi="Times New Roman"/>
      <w:b/>
      <w:i/>
      <w:color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="Times New Roman" w:eastAsia="SimSun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="Times New Roman" w:eastAsia="SimSun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="Times New Roman" w:eastAsia="SimSun" w:hAnsi="Times New Roman"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="Times New Roman" w:eastAsia="SimSun" w:hAnsi="Times New Roman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="Times New Roman" w:eastAsia="SimSun" w:hAnsi="Times New Roman"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="Times New Roman" w:eastAsia="SimSun" w:hAnsi="Times New Roman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80" w:before="60" w:line="276" w:lineRule="auto"/>
      <w:ind w:firstLine="0" w:left="567" w:right="480"/>
    </w:pPr>
    <w:rPr>
      <w:rFonts w:ascii="Times New Roman" w:cs="Times New Roman" w:eastAsia="SimSun" w:hAnsi="Times New Roman"/>
      <w:color w:val="000000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40" w:before="0" w:line="240" w:lineRule="auto"/>
    </w:pPr>
    <w:rPr>
      <w:rFonts w:ascii="Times New Roman" w:cs="Times New Roman" w:eastAsia="SimSun" w:hAnsi="Times New Roman"/>
      <w:color w:val="000000"/>
      <w:sz w:val="19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SimSun" w:hAnsi="Times New Roman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SimSun" w:hAnsi="Times New Roman"/>
      <w:b/>
      <w:color w:val="000000"/>
    </w:rPr>
  </w:style>
  <w:style w:customStyle="1" w:styleId="Definition" w:type="paragraph">
    <w:name w:val="Definition"/>
    <w:basedOn w:val="Normal"/>
    <w:rPr>
      <w:rFonts w:ascii="Times New Roman" w:cs="Times New Roman" w:eastAsia="SimSun" w:hAnsi="Times New Roman"/>
      <w:color w:val="000000"/>
    </w:rPr>
  </w:style>
  <w:style w:styleId="Caption" w:type="paragraph">
    <w:name w:val="Caption"/>
    <w:basedOn w:val="Normal"/>
    <w:link w:val="BodyTextChar"/>
    <w:pPr>
      <w:spacing w:after="120" w:before="120" w:line="276" w:lineRule="auto"/>
    </w:pPr>
    <w:rPr>
      <w:rFonts w:ascii="Times New Roman" w:cs="Times New Roman" w:eastAsia="SimSun" w:hAnsi="Times New Roman"/>
      <w:i w:val="0"/>
      <w:color w:val="000000"/>
      <w:sz w:val="20"/>
    </w:rPr>
  </w:style>
  <w:style w:customStyle="1" w:styleId="TableCaption" w:type="paragraph">
    <w:name w:val="Table Caption"/>
    <w:basedOn w:val="Caption"/>
    <w:pPr>
      <w:keepNext/>
      <w:spacing w:after="80" w:before="240" w:line="276" w:lineRule="auto"/>
    </w:pPr>
    <w:rPr>
      <w:rFonts w:ascii="Times New Roman" w:cs="Times New Roman" w:eastAsia="SimSun" w:hAnsi="Times New Roman"/>
      <w:i w:val="0"/>
      <w:color w:val="000000"/>
      <w:sz w:val="20"/>
    </w:rPr>
  </w:style>
  <w:style w:customStyle="1" w:styleId="ImageCaption" w:type="paragraph">
    <w:name w:val="Image Caption"/>
    <w:basedOn w:val="Caption"/>
    <w:pPr>
      <w:keepNext w:val="0"/>
      <w:spacing w:after="240" w:before="80" w:line="276" w:lineRule="auto"/>
    </w:pPr>
    <w:rPr>
      <w:rFonts w:ascii="Times New Roman" w:cs="Times New Roman" w:eastAsia="SimSun" w:hAnsi="Times New Roman"/>
      <w:i w:val="0"/>
      <w:color w:val="000000"/>
      <w:sz w:val="20"/>
    </w:rPr>
  </w:style>
  <w:style w:customStyle="1" w:styleId="Figure" w:type="paragraph">
    <w:name w:val="Figure"/>
    <w:basedOn w:val="Normal"/>
    <w:rPr>
      <w:rFonts w:ascii="Times New Roman" w:cs="Times New Roman" w:eastAsia="SimSun" w:hAnsi="Times New Roman"/>
      <w:color w:val="00000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SimSun" w:hAnsi="Times New Roman"/>
      <w:color w:val="00000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SimSun" w:hAnsi="Times New Roman"/>
      <w:b w:val="0"/>
      <w:bCs w:val="0"/>
      <w:color w:val="000000"/>
    </w:rPr>
  </w:style>
  <w:style w:customStyle="1" w:styleId="TableNote" w:type="paragraph">
    <w:name w:val="Table Note"/>
    <w:basedOn w:val="Normal"/>
    <w:qFormat/>
    <w:pPr>
      <w:spacing w:after="240" w:before="60" w:line="264" w:lineRule="auto"/>
    </w:pPr>
    <w:rPr>
      <w:rFonts w:ascii="Times New Roman" w:cs="Times New Roman" w:eastAsia="SimSun" w:hAnsi="Times New Roman"/>
      <w:sz w:val="18"/>
    </w:rPr>
  </w:style>
  <w:style w:customStyle="1" w:styleId="LetterText" w:type="paragraph">
    <w:name w:val="Letter Text"/>
    <w:basedOn w:val="BodyText"/>
    <w:qFormat/>
    <w:pPr>
      <w:spacing w:after="160" w:before="0" w:line="276" w:lineRule="auto"/>
    </w:pPr>
    <w:rPr>
      <w:rFonts w:ascii="Times New Roman" w:cs="Times New Roman" w:eastAsia="SimSun" w:hAnsi="Times New Roman"/>
      <w:sz w:val="22"/>
    </w:rPr>
  </w:style>
  <w:style w:customStyle="1" w:styleId="LetterClosing" w:type="paragraph">
    <w:name w:val="Letter Closing"/>
    <w:basedOn w:val="LetterText"/>
    <w:qFormat/>
    <w:pPr>
      <w:spacing w:after="160" w:before="200" w:line="276" w:lineRule="auto"/>
    </w:pPr>
    <w:rPr>
      <w:rFonts w:ascii="Times New Roman" w:cs="Times New Roman" w:eastAsia="SimSun" w:hAnsi="Times New Roman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</dc:title>
  <dc:creator/>
  <cp:keywords/>
  <dcterms:created xsi:type="dcterms:W3CDTF">2026-10-01T09:01:03Z</dcterms:created>
  <dcterms:modified xsi:type="dcterms:W3CDTF">2026-10-01T09:01:03Z</dcterms:modified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