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Yusen Wu and Weiyi Qu</w:t>
      </w:r>
    </w:p>
    <w:p>
      <w:pPr>
        <w:pStyle w:val="a8"/>
      </w:pPr>
      <w:r>
        <w:t xml:space="preserve">v7, 30 September 2026</w:t>
      </w:r>
    </w:p>
    <w:p>
      <w:pPr>
        <w:pStyle w:val="FirstParagraph"/>
      </w:pPr>
      <w:r>
        <w:rPr>
          <w:b/>
          <w:bCs/>
        </w:rPr>
        <w:t xml:space="preserve">Abstract</w:t>
      </w:r>
    </w:p>
    <w:p>
      <w:pPr>
        <w:pStyle w:val="a0"/>
      </w:pPr>
      <w:r>
        <w:t xml:space="preserve">How can derivational relations be identified when derivational morphology is largely absent from the written record? We ask whether a native analyst’s classification can serve as evidence, and of which part of a derivational relation. The</w:t>
      </w:r>
      <w:r>
        <w:t xml:space="preserve"> </w:t>
      </w:r>
      <w:r>
        <w:rPr>
          <w:i/>
          <w:iCs/>
        </w:rPr>
        <w:t xml:space="preserve">Shuōwén jiězì</w:t>
      </w:r>
      <w:r>
        <w:t xml:space="preserve"> </w:t>
      </w:r>
      <w:r>
        <w:t xml:space="preserve">(100 CE) analyses about two hundred characters as</w:t>
      </w:r>
      <w:r>
        <w:t xml:space="preserve"> </w:t>
      </w:r>
      <w:r>
        <w:rPr>
          <w:i/>
          <w:iCs/>
        </w:rPr>
        <w:t xml:space="preserve">yìshēng</w:t>
      </w:r>
      <w:r>
        <w:t xml:space="preserve"> </w:t>
      </w:r>
      <w:r>
        <w:rPr>
          <w:rFonts w:hint="eastAsia"/>
        </w:rPr>
        <w:t xml:space="preserve">亦聲,</w:t>
      </w:r>
      <w:r>
        <w:t xml:space="preserve"> their meaningful component being</w:t>
      </w:r>
      <w:r>
        <w:t xml:space="preserve"> </w:t>
      </w:r>
      <w:r>
        <w:t xml:space="preserve">“also the phonetic”</w:t>
      </w:r>
      <w:r>
        <w:t xml:space="preserve">. We compare all 212 labelled entries of the Dà Xú recension with the 953 ordinary phonetic compounds on the same 172 phonetics, using Middle Chinese readings, Old Chinese reconstructions and a semantic coding made blind to the label. Labelled characters are more than twice as often homophonous with their phonetic (35.6% vs 15.5%) and are enriched in departing-tone alternations, the reflex of the Old Chinese suffix *-s, but not in other alternations of tone or voicing. They are far more often related in meaning (76% vs 12%), and the label carries no detectable information about which member is derived. The sound effects are carried mainly by labels found only in the Dà Xú and by entries whose gloss uses the phonetic; in the labels most likely to be Xu Shen’s own, the contrast in meaning stays large while that in sound is weak. We argue that the label is evidence of lexical relatedness, which in Old Chinese phonetic series is densest among pairs that are homophonous or differ by *-s, and that where morphology is covert, relatedness, formal relation and direction must be diagnosed separately.</w:t>
      </w:r>
    </w:p>
    <w:p>
      <w:pPr>
        <w:pStyle w:val="a0"/>
      </w:pPr>
      <w:r>
        <w:rPr>
          <w:b/>
          <w:bCs/>
        </w:rPr>
        <w:t xml:space="preserve">Keywords</w:t>
      </w:r>
      <w:r>
        <w:t xml:space="preserve"> </w:t>
      </w:r>
      <w:r>
        <w:t xml:space="preserve">Lexical relatedness · Derivation · Conversion · Old Chinese · Suffix *-s · Writing systems · Metalinguistic evidence</w:t>
      </w:r>
    </w:p>
    <w:p>
      <w:r>
        <w:pict>
          <v:rect style="width:0;height:1.5pt" o:hralign="center" o:hrstd="t" o:hr="t"/>
        </w:pict>
      </w:r>
    </w:p>
    <w:bookmarkStart w:id="9" w:name="introduction"/>
    <w:p>
      <w:pPr>
        <w:pStyle w:val="2"/>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have to be argued on other grounds (e.g., Ševčíková &amp; Hledíková, 2026), and the diagnostics proposed for such cases do not always hold up (Rasin et al., 2024). Old Chinese presents the problem in an extreme form. Its affixes are reconstructed rather than observed, several of them left no trace in the Middle Chinese syllable, and the script that is its main record writes whole syllables, so that no affix is ever written on its own. This paper asks whether evidence of an independent kind, a native analyst’s classification, can diagnose derivation, and if so, which part of it.</w:t>
      </w:r>
    </w:p>
    <w:p>
      <w:pPr>
        <w:pStyle w:val="a0"/>
      </w:pPr>
      <w:r>
        <w:t xml:space="preserve">Most Chinese characters are phonetic compounds </w:t>
      </w:r>
      <w:r>
        <w:rPr>
          <w:rFonts w:hint="eastAsia"/>
        </w:rPr>
        <w:t xml:space="preserve">(形聲字),</w:t>
      </w:r>
      <w:r>
        <w:t xml:space="preserve"> which join a semantic element to a phonetic element that is itself a character; compounds that share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This is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The pronunciations that can be compared directly are those of Middle Chinese (MC, c. 600 CE), recorded in rhyme books;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encoffined dead’</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a0"/>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2.1). But he counted nothing and compared no sounds.</w:t>
      </w:r>
    </w:p>
    <w:p>
      <w:pPr>
        <w:pStyle w:val="a0"/>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the label: MC readings, OC reconstructions and a semantic coding made blind to it. The label covaries with this evidence, selectively. Labelled pairs are enriched in identity of sound and in the departing-tone alternation, not in the other alternations found in the same series; they are far more often related in meaning; and they carry no detectable information about which member is derived. In the labels most likely to be Xu’s own, however, the sound effects weaken while the relation of meaning does not.</w:t>
      </w:r>
    </w:p>
    <w:p>
      <w:pPr>
        <w:pStyle w:val="a0"/>
      </w:pPr>
      <w:r>
        <w:t xml:space="preserve">The paper makes three contributions. It gives Wang’s account its first population-level, phonologically controlled test. It shows how a native classification can be validated like any other, against a within-series baseline and independent evidence, and finds that what this one tracks is lexical relatedness, densest among homophones and *-s pairs, rather than derivation with a direction. And it argues that relatedness, formal relation and direction, which overt morphology supplies together, must be diagnosed separately where morphology is covert. Section 2 sets out the background and four rival accounts, which Sections 3 to 5 test.</w:t>
      </w:r>
    </w:p>
    <w:bookmarkEnd w:id="9"/>
    <w:bookmarkStart w:id="14" w:name="background"/>
    <w:p>
      <w:pPr>
        <w:pStyle w:val="2"/>
      </w:pPr>
      <w:r>
        <w:t xml:space="preserve">2 Background</w:t>
      </w:r>
    </w:p>
    <w:bookmarkStart w:id="10" w:name="X3629ca0989c67cb5e07442910b75b5559b9df83"/>
    <w:p>
      <w:pPr>
        <w:pStyle w:val="3"/>
      </w:pPr>
      <w:r>
        <w:t xml:space="preserve">2.1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a0"/>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a0"/>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10"/>
    <w:bookmarkStart w:id="11" w:name="derivation-in-old-chinese"/>
    <w:p>
      <w:pPr>
        <w:pStyle w:val="3"/>
      </w:pPr>
      <w:r>
        <w:t xml:space="preserve">2.2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a0"/>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11"/>
    <w:bookmarkStart w:id="12" w:name="X12ad8db4ba35cc53038dbfc0df125dcc9f40183"/>
    <w:p>
      <w:pPr>
        <w:pStyle w:val="3"/>
      </w:pPr>
      <w:r>
        <w:t xml:space="preserve">2.3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a0"/>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a0"/>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12"/>
    <w:bookmarkStart w:id="13" w:name="four-accounts-and-their-predictions"/>
    <w:p>
      <w:pPr>
        <w:pStyle w:val="3"/>
      </w:pPr>
      <w:r>
        <w:t xml:space="preserve">2.4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semantically related pairs in their series, whatever that profile turns out to be.</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 Unlike (A), it predicts that among pairs related in meaning, labelled ones are more often identical or *-s related.</w:t>
      </w:r>
    </w:p>
    <w:p>
      <w:pPr>
        <w:numPr>
          <w:ilvl w:val="0"/>
          <w:numId w:val="1001"/>
        </w:numPr>
      </w:pPr>
      <w:r>
        <w:t xml:space="preserve">If the effect reflects lexicon-wide systematicity, labelled and ordinary members of the same series should differ little.</w:t>
      </w:r>
    </w:p>
    <w:p>
      <w:pPr>
        <w:pStyle w:val="FirstParagraph"/>
      </w:pPr>
      <w:r>
        <w:rPr>
          <w:b/>
          <w:bCs/>
        </w:rPr>
        <w:t xml:space="preserve">Table 1</w:t>
      </w:r>
      <w:r>
        <w:t xml:space="preserve"> </w:t>
      </w:r>
      <w:r>
        <w:t xml:space="preserve">Predictions of four accounts of the label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 Meaning first</w:t>
            </w:r>
          </w:p>
        </w:tc>
        <w:tc>
          <w:tcPr/>
          <w:p>
            <w:pPr>
              <w:pStyle w:val="Compact"/>
            </w:pPr>
            <w:r>
              <w:t xml:space="preserve">(B) General derivation</w:t>
            </w:r>
          </w:p>
        </w:tc>
        <w:tc>
          <w:tcPr/>
          <w:p>
            <w:pPr>
              <w:pStyle w:val="Compact"/>
            </w:pPr>
            <w:r>
              <w:t xml:space="preserve">(C) Same word or minimal derivative</w:t>
            </w:r>
          </w:p>
        </w:tc>
        <w:tc>
          <w:tcPr/>
          <w:p>
            <w:pPr>
              <w:pStyle w:val="Compact"/>
            </w:pPr>
            <w:r>
              <w:t xml:space="preserve">(D) Systematicity</w:t>
            </w:r>
          </w:p>
        </w:tc>
      </w:tr>
      <w:tr>
        <w:tc>
          <w:tcPr/>
          <w:p>
            <w:pPr>
              <w:pStyle w:val="Compact"/>
            </w:pPr>
            <w:r>
              <w:t xml:space="preserve">Identity of sound (H1a)</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Departing-tone alternation (H1c, step 1)</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Other alternations (H1b without the departing tone)</w:t>
            </w:r>
          </w:p>
        </w:tc>
        <w:tc>
          <w:tcPr/>
          <w:p>
            <w:pPr>
              <w:pStyle w:val="Compact"/>
            </w:pPr>
            <w:r>
              <w:t xml:space="preserve">0</w:t>
            </w:r>
            <w:r>
              <w:rPr>
                <w:vertAlign w:val="superscript"/>
              </w:rPr>
              <w:t xml:space="preserve">a</w:t>
            </w:r>
          </w:p>
        </w:tc>
        <w:tc>
          <w:tcPr/>
          <w:p>
            <w:pPr>
              <w:pStyle w:val="Compact"/>
            </w:pPr>
            <w:r>
              <w:t xml:space="preserve">+</w:t>
            </w:r>
          </w:p>
        </w:tc>
        <w:tc>
          <w:tcPr/>
          <w:p>
            <w:pPr>
              <w:pStyle w:val="Compact"/>
            </w:pPr>
            <w:r>
              <w:t xml:space="preserve">0</w:t>
            </w:r>
          </w:p>
        </w:tc>
        <w:tc>
          <w:tcPr/>
          <w:p>
            <w:pPr>
              <w:pStyle w:val="Compact"/>
            </w:pPr>
            <w:r>
              <w:t xml:space="preserve">small</w:t>
            </w:r>
          </w:p>
        </w:tc>
      </w:tr>
      <w:tr>
        <w:tc>
          <w:tcPr/>
          <w:p>
            <w:pPr>
              <w:pStyle w:val="Compact"/>
            </w:pPr>
            <w:r>
              <w:t xml:space="preserve">Relatedness of meaning (H2)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Direction of *-s pairs</w:t>
            </w:r>
          </w:p>
        </w:tc>
        <w:tc>
          <w:tcPr/>
          <w:p>
            <w:pPr>
              <w:pStyle w:val="Compact"/>
            </w:pPr>
            <w:r>
              <w:t xml:space="preserve">–</w:t>
            </w:r>
          </w:p>
        </w:tc>
        <w:tc>
          <w:tcPr/>
          <w:p>
            <w:pPr>
              <w:pStyle w:val="Compact"/>
            </w:pPr>
            <w:r>
              <w:t xml:space="preserve">label picks the derived member</w:t>
            </w:r>
          </w:p>
        </w:tc>
        <w:tc>
          <w:tcPr/>
          <w:p>
            <w:pPr>
              <w:pStyle w:val="Compact"/>
            </w:pPr>
            <w:r>
              <w:t xml:space="preserve">no difference</w:t>
            </w:r>
          </w:p>
        </w:tc>
        <w:tc>
          <w:tcPr/>
          <w:p>
            <w:pPr>
              <w:pStyle w:val="Compact"/>
            </w:pPr>
            <w:r>
              <w:t xml:space="preserve">–</w:t>
            </w:r>
          </w:p>
        </w:tc>
      </w:tr>
      <w:tr>
        <w:tc>
          <w:tcPr/>
          <w:p>
            <w:pPr>
              <w:pStyle w:val="Compact"/>
            </w:pPr>
            <w:r>
              <w:t xml:space="preserve">Sound among related pairs</w:t>
            </w:r>
          </w:p>
        </w:tc>
        <w:tc>
          <w:tcPr/>
          <w:p>
            <w:pPr>
              <w:pStyle w:val="Compact"/>
            </w:pPr>
            <w:r>
              <w:t xml:space="preserve">no difference</w:t>
            </w:r>
          </w:p>
        </w:tc>
        <w:tc>
          <w:tcPr/>
          <w:p>
            <w:pPr>
              <w:pStyle w:val="Compact"/>
            </w:pPr>
            <w:r>
              <w:t xml:space="preserve">+</w:t>
            </w:r>
          </w:p>
        </w:tc>
        <w:tc>
          <w:tcPr/>
          <w:p>
            <w:pPr>
              <w:pStyle w:val="Compact"/>
            </w:pPr>
            <w:r>
              <w:t xml:space="preserve">+</w:t>
            </w:r>
          </w:p>
        </w:tc>
        <w:tc>
          <w:tcPr/>
          <w:p>
            <w:pPr>
              <w:pStyle w:val="Compact"/>
            </w:pPr>
            <w:r>
              <w:t xml:space="preserve">–</w:t>
            </w:r>
          </w:p>
        </w:tc>
      </w:tr>
    </w:tbl>
    <w:p>
      <w:pPr>
        <w:pStyle w:val="a0"/>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pairs related in meaning on both sides of the label. The analysis is organised by four directional hypotheses and two exploratory comparisons:</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(the departing tone).</w:t>
      </w:r>
      <w:r>
        <w:t xml:space="preserve"> </w:t>
      </w:r>
      <w:r>
        <w:t xml:space="preserve">Among pairs that differ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related in meaning to their phonetic more often,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FirstParagraph"/>
      </w:pPr>
      <w:r>
        <w:t xml:space="preserve">The hypotheses were refined after an initial look at this population and were not preregistered; Table 1 gives the order of presentation, not a record of prior prediction. H1c as stated combines (B)’s claim about the derived member with (C)’s claim about *-s, and Section 4.2 separates the two.</w:t>
      </w:r>
    </w:p>
    <w:bookmarkEnd w:id="13"/>
    <w:bookmarkEnd w:id="14"/>
    <w:bookmarkStart w:id="19" w:name="data-and-method"/>
    <w:p>
      <w:pPr>
        <w:pStyle w:val="2"/>
      </w:pPr>
      <w:r>
        <w:t xml:space="preserve">3 Data and method</w:t>
      </w:r>
    </w:p>
    <w:bookmarkStart w:id="15" w:name="population-and-comparison-group"/>
    <w:p>
      <w:pPr>
        <w:pStyle w:val="3"/>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(GitHub,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together with the passages quoted in examples, against the Waseda University Library scan of Chen Changzhi’s 1873 edition; this was a targeted check, not a random sample or a complete collation.</w:t>
      </w:r>
    </w:p>
    <w:p>
      <w:pPr>
        <w:pStyle w:val="a0"/>
      </w:pPr>
      <w:r>
        <w:rPr>
          <w:b/>
          <w:bCs/>
        </w:rPr>
        <w:t xml:space="preserve">Table 2</w:t>
      </w:r>
      <w:r>
        <w:t xml:space="preserve"> </w:t>
      </w:r>
      <w:r>
        <w:t xml:space="preserve">Population and subsets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w:t>
            </w:r>
          </w:p>
        </w:tc>
        <w:tc>
          <w:tcPr/>
          <w:p>
            <w:pPr>
              <w:pStyle w:val="Compact"/>
              <w:jc w:val="right"/>
            </w:pPr>
            <w:r>
              <w:t xml:space="preserve">Labelled</w:t>
            </w:r>
          </w:p>
        </w:tc>
        <w:tc>
          <w:tcPr/>
          <w:p>
            <w:pPr>
              <w:pStyle w:val="Compact"/>
              <w:jc w:val="right"/>
            </w:pPr>
            <w:r>
              <w:t xml:space="preserve">Ordinary</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p>
        </w:tc>
        <w:tc>
          <w:tcPr/>
          <w:p>
            <w:pPr>
              <w:pStyle w:val="Compact"/>
              <w:jc w:val="right"/>
            </w:pPr>
            <w:r>
              <w:t xml:space="preserve">227</w:t>
            </w:r>
          </w:p>
        </w:tc>
        <w:tc>
          <w:tcPr/>
          <w:p>
            <w:pPr>
              <w:pStyle w:val="Compact"/>
            </w:pPr>
          </w:p>
        </w:tc>
        <w:tc>
          <w:tcPr/>
          <w:p>
            <w:pPr>
              <w:pStyle w:val="Compact"/>
            </w:pPr>
          </w:p>
        </w:tc>
      </w:tr>
      <w:tr>
        <w:tc>
          <w:tcPr/>
          <w:p>
            <w:pPr>
              <w:pStyle w:val="Compact"/>
            </w:pPr>
            <w:r>
              <w:t xml:space="preserve">Analysis set (minus 4 false hits and 11</w:t>
            </w:r>
            <w:r>
              <w:t xml:space="preserve"> </w:t>
            </w:r>
            <w:r>
              <w:rPr>
                <w:i/>
                <w:iCs/>
              </w:rPr>
              <w:t xml:space="preserve">xīnfù</w:t>
            </w:r>
            <w:r>
              <w:t xml:space="preserve">)</w:t>
            </w:r>
          </w:p>
        </w:tc>
        <w:tc>
          <w:tcPr/>
          <w:p>
            <w:pPr>
              <w:pStyle w:val="Compact"/>
              <w:jc w:val="right"/>
            </w:pPr>
            <w:r>
              <w:t xml:space="preserve">212</w:t>
            </w:r>
          </w:p>
        </w:tc>
        <w:tc>
          <w:tcPr/>
          <w:p>
            <w:pPr>
              <w:pStyle w:val="Compact"/>
              <w:jc w:val="right"/>
            </w:pPr>
            <w:r>
              <w:t xml:space="preserve">953</w:t>
            </w:r>
          </w:p>
        </w:tc>
        <w:tc>
          <w:tcPr/>
          <w:p>
            <w:pPr>
              <w:pStyle w:val="Compact"/>
              <w:jc w:val="right"/>
            </w:pPr>
            <w:r>
              <w:t xml:space="preserve">172</w:t>
            </w:r>
          </w:p>
        </w:tc>
      </w:tr>
      <w:tr>
        <w:tc>
          <w:tcPr/>
          <w:p>
            <w:pPr>
              <w:pStyle w:val="Compact"/>
            </w:pPr>
            <w:r>
              <w:t xml:space="preserve">Pairs with MC readings at both ends</w:t>
            </w:r>
          </w:p>
        </w:tc>
        <w:tc>
          <w:tcPr/>
          <w:p>
            <w:pPr>
              <w:pStyle w:val="Compact"/>
              <w:jc w:val="right"/>
            </w:pPr>
            <w:r>
              <w:t xml:space="preserve">177</w:t>
            </w:r>
          </w:p>
        </w:tc>
        <w:tc>
          <w:tcPr/>
          <w:p>
            <w:pPr>
              <w:pStyle w:val="Compact"/>
              <w:jc w:val="right"/>
            </w:pPr>
            <w:r>
              <w:t xml:space="preserve">858</w:t>
            </w:r>
          </w:p>
        </w:tc>
        <w:tc>
          <w:tcPr/>
          <w:p>
            <w:pPr>
              <w:pStyle w:val="Compact"/>
              <w:jc w:val="right"/>
            </w:pPr>
            <w:r>
              <w:t xml:space="preserve">152</w:t>
            </w:r>
          </w:p>
        </w:tc>
      </w:tr>
      <w:tr>
        <w:tc>
          <w:tcPr/>
          <w:p>
            <w:pPr>
              <w:pStyle w:val="Compact"/>
            </w:pPr>
            <w:r>
              <w:t xml:space="preserve">Pairs with Baxter–Sagart OC forms at both ends</w:t>
            </w:r>
          </w:p>
        </w:tc>
        <w:tc>
          <w:tcPr/>
          <w:p>
            <w:pPr>
              <w:pStyle w:val="Compact"/>
              <w:jc w:val="right"/>
            </w:pPr>
            <w:r>
              <w:t xml:space="preserve">60</w:t>
            </w:r>
          </w:p>
        </w:tc>
        <w:tc>
          <w:tcPr/>
          <w:p>
            <w:pPr>
              <w:pStyle w:val="Compact"/>
              <w:jc w:val="right"/>
            </w:pPr>
            <w:r>
              <w:t xml:space="preserve">249</w:t>
            </w:r>
          </w:p>
        </w:tc>
        <w:tc>
          <w:tcPr/>
          <w:p>
            <w:pPr>
              <w:pStyle w:val="Compact"/>
            </w:pPr>
          </w:p>
        </w:tc>
      </w:tr>
      <w:tr>
        <w:tc>
          <w:tcPr/>
          <w:p>
            <w:pPr>
              <w:pStyle w:val="Compact"/>
            </w:pPr>
            <w:r>
              <w:t xml:space="preserve">Blind semantic subsample, proper names excluded</w:t>
            </w:r>
          </w:p>
        </w:tc>
        <w:tc>
          <w:tcPr/>
          <w:p>
            <w:pPr>
              <w:pStyle w:val="Compact"/>
              <w:jc w:val="right"/>
            </w:pPr>
            <w:r>
              <w:t xml:space="preserve">33</w:t>
            </w:r>
          </w:p>
        </w:tc>
        <w:tc>
          <w:tcPr/>
          <w:p>
            <w:pPr>
              <w:pStyle w:val="Compact"/>
              <w:jc w:val="right"/>
            </w:pPr>
            <w:r>
              <w:t xml:space="preserve">50</w:t>
            </w:r>
          </w:p>
        </w:tc>
        <w:tc>
          <w:tcPr/>
          <w:p>
            <w:pPr>
              <w:pStyle w:val="Compact"/>
            </w:pPr>
          </w:p>
        </w:tc>
      </w:tr>
    </w:tbl>
    <w:p>
      <w:pPr>
        <w:pStyle w:val="a0"/>
      </w:pPr>
      <w:r>
        <w:t xml:space="preserve">The comparison group consists of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these are the candidates for his third kind (H4), but their label also follows from Xu’s filing system, a section head being by definition a meaningful component, so every main model is also run without them.</w:t>
      </w:r>
    </w:p>
    <w:p>
      <w:pPr>
        <w:pStyle w:val="a0"/>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text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w:t>
      </w:r>
      <w:r>
        <w:rPr>
          <w:rFonts w:hint="eastAsia"/>
        </w:rPr>
        <w:t xml:space="preserve">糶)</w:t>
      </w:r>
      <w:r>
        <w:t xml:space="preserve"> were probably supplied the same way; and the line of one </w:t>
      </w:r>
      <w:r>
        <w:rPr>
          <w:rFonts w:hint="eastAsia"/>
        </w:rPr>
        <w:t xml:space="preserve">(瑁)</w:t>
      </w:r>
      <w:r>
        <w:t xml:space="preserve"> is blank in the print. We treat a Dà Xú label as Xu Shen’s judgement unless the collation shows otherwise. This is the first of three bridging assumptions, and the 140 shared labels test it against the Song editors, though not against earlier transmission.</w:t>
      </w:r>
    </w:p>
    <w:bookmarkEnd w:id="15"/>
    <w:bookmarkStart w:id="16" w:name="sound"/>
    <w:p>
      <w:pPr>
        <w:pStyle w:val="3"/>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a0"/>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identity and a difference of tone, reflect relations between the words Xu analysed. Some tone-change readings may be later, analogical creations of the reading tradition (Baxter &amp; Sagart, 1998), although Jacques (2022) argues that the tradition as a whole preserves inherited morphology.</w:t>
      </w:r>
    </w:p>
    <w:p>
      <w:pPr>
        <w:pStyle w:val="a0"/>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16"/>
    <w:bookmarkStart w:id="17" w:name="meaning"/>
    <w:p>
      <w:pPr>
        <w:pStyle w:val="3"/>
      </w:pPr>
      <w:r>
        <w:t xml:space="preserve">3.3 Meaning</w:t>
      </w:r>
    </w:p>
    <w:p>
      <w:pPr>
        <w:pStyle w:val="FirstParagraph"/>
      </w:pPr>
      <w:r>
        <w:t xml:space="preserve">Xu wrote the gloss and assigned the label in a single act, which is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the check removes a leak, since a coder who sees the phonetic in the gloss may code the pair as related for that reason alone. For H1 it asks whether the sound relations persist where the gloss does not name the phonetic; since such a gloss is the most explicit form a relation between two words can take, some weakening is expected on any account that ties the label to such relations.</w:t>
      </w:r>
    </w:p>
    <w:p>
      <w:pPr>
        <w:pStyle w:val="a0"/>
      </w:pPr>
      <w:r>
        <w:t xml:space="preserve">Meaning was coded on a random sample of 100 pairs (40 labelled, 60 ordinary) drawn from the pairs with OC forms at both ends. For each pair the sheet shows the phonetic character and the member character with their 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and the relation between their basic meanings </w:t>
      </w:r>
      <w:r>
        <w:rPr>
          <w:rFonts w:hint="eastAsia"/>
        </w:rPr>
        <w:t xml:space="preserve">(本義)</w:t>
      </w:r>
      <w:r>
        <w:t xml:space="preserve"> is coded Y (same or near-synonymous), E (one step of extension), N (none) or X (proper name). The pairs were coded twice by a large language model (Claude, Anthropic). The first pass was made by the model instance that built the dataset and knew each pair’s group. The second was made blind by a separate instance, which received only the coding instructions and the glosses, stripped of Xu’s structural analysis, and was barred from consulting files or the web (the protocol is in the repository). The two passes agree on 86 of the 100 pairs (Cohen’s κ = 0.773). None of the 14 disagreements sets Y against N: six fall between Y and E, five concern whether a character is a proper name, and three fall between E and N. We analyse the blind pass throughout; the first pass gives the same contrast (27 of 35 labelled against 8 of 53 ordinary pairs related). Both authors then coded the pairs independently from the unlabelled sheet and agreed with the blind pass on every pair; their working sheets were not kept, so this check is reported but cannot be reproduced from the released files. Both machine sheets are released. Because the two passes come from one model family, κ measures the consistency of the procedure, not agreement between independent human judges.</w:t>
      </w:r>
    </w:p>
    <w:p>
      <w:pPr>
        <w:pStyle w:val="a0"/>
      </w:pPr>
      <w:r>
        <w:t xml:space="preserve">Six items were later excluded (five</w:t>
      </w:r>
      <w:r>
        <w:t xml:space="preserve"> </w:t>
      </w:r>
      <w:r>
        <w:rPr>
          <w:i/>
          <w:iCs/>
        </w:rPr>
        <w:t xml:space="preserve">xīnfù</w:t>
      </w:r>
      <w:r>
        <w:t xml:space="preserve"> </w:t>
      </w:r>
      <w:r>
        <w:t xml:space="preserve">or false hits, one mispairing), leaving 94, and H2 sets aside 11 proper names, using 83. Four ordinary pairs lie in series whose only label is a</w:t>
      </w:r>
      <w:r>
        <w:t xml:space="preserve"> </w:t>
      </w:r>
      <w:r>
        <w:rPr>
          <w:i/>
          <w:iCs/>
        </w:rPr>
        <w:t xml:space="preserve">xīnfù</w:t>
      </w:r>
      <w:r>
        <w:t xml:space="preserve">; without them H2 gives OR 20.2, and the comparisons involving sound in Section 4.3 use the other 79. The glosses stand for Han-period relations of meaning as Xu understood them, not for modern etymology; this is the third bridging assumption.</w:t>
      </w:r>
    </w:p>
    <w:p>
      <w:pPr>
        <w:pStyle w:val="a0"/>
      </w:pPr>
      <w:r>
        <w:t xml:space="preserve">A further coding, made with the label visible and used only descriptively, assigned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Both authors reviewed it pair by pair. The types borrow Wang’s terms but not his criteria: ours classify the relation between two words, his the effect of the added component on the graph, so that </w:t>
      </w:r>
      <w:r>
        <w:rPr>
          <w:rFonts w:hint="eastAsia"/>
        </w:rPr>
        <w:t xml:space="preserve">傾,</w:t>
      </w:r>
      <w:r>
        <w:t xml:space="preserve"> a differentiated graph for Wang, is L in our coding.</w:t>
      </w:r>
    </w:p>
    <w:bookmarkEnd w:id="17"/>
    <w:bookmarkStart w:id="18" w:name="models"/>
    <w:p>
      <w:pPr>
        <w:pStyle w:val="3"/>
      </w:pPr>
      <w:r>
        <w:t xml:space="preserve">3.4 Models</w:t>
      </w:r>
    </w:p>
    <w:p>
      <w:pPr>
        <w:pStyle w:val="FirstParagraph"/>
      </w:pPr>
      <w:r>
        <w:t xml:space="preserve">Each binary outcome is modelled by logistic generalised estimating equations (GEE) with the label as predictor, clustered by phonetic under an exchangeable working correlation. The five directional tests (H1a; H1b in MC and in OC; H1c; H2) are one-sided and Holm-adjusted. GEE corrects the uncertainty for dependence within series, but it does not remove differences between series in their baseline rate of homophony. We therefore also compare labelled and ordinary members within series, pooling over the phonetics that have both with a Mantel–Haenszel (MH) odds ratio and a Cochran–Mantel–Haenszel test. Where cells are sparse, as for the direction of *-s pairs, we use a conditional maximum-likelihood odds ratio with an exact interval, and Fisher’s exact tests describe small subsets and the descriptive comparisons of Sections 4.4 and 4.5. All secondary comparisons are two-sided and unadjusted, and all tests describe this population rather than confirm predictions made in advance (Section 2.4). Models were fitted in Python (statsmodels).</w:t>
      </w:r>
    </w:p>
    <w:bookmarkEnd w:id="18"/>
    <w:bookmarkEnd w:id="19"/>
    <w:bookmarkStart w:id="25" w:name="results"/>
    <w:p>
      <w:pPr>
        <w:pStyle w:val="2"/>
      </w:pPr>
      <w:r>
        <w:t xml:space="preserve">4 Results</w:t>
      </w:r>
    </w:p>
    <w:bookmarkStart w:id="20" w:name="the-sound-profile-h1a"/>
    <w:p>
      <w:pPr>
        <w:pStyle w:val="3"/>
      </w:pPr>
      <w:r>
        <w:t xml:space="preserve">4.1 The sound profile (H1a)</w:t>
      </w:r>
    </w:p>
    <w:p>
      <w:pPr>
        <w:pStyle w:val="FirstParagraph"/>
      </w:pPr>
      <w:r>
        <w:t xml:space="preserve">H1a holds (Table 3).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w:t>
      </w:r>
    </w:p>
    <w:p>
      <w:pPr>
        <w:pStyle w:val="a0"/>
      </w:pPr>
      <w:r>
        <w:rPr>
          <w:b/>
          <w:bCs/>
        </w:rPr>
        <w:t xml:space="preserve">Table 3</w:t>
      </w:r>
      <w:r>
        <w:t xml:space="preserve"> </w:t>
      </w:r>
      <w:r>
        <w:t xml:space="preserve">Sound relations between member and phonetic (MC; mutually exclusive)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Relation</w:t>
            </w:r>
          </w:p>
        </w:tc>
        <w:tc>
          <w:tcPr/>
          <w:p>
            <w:pPr>
              <w:pStyle w:val="Compact"/>
            </w:pPr>
            <w:r>
              <w:t xml:space="preserve">Labelled (n = 177)</w:t>
            </w:r>
          </w:p>
        </w:tc>
        <w:tc>
          <w:tcPr/>
          <w:p>
            <w:pPr>
              <w:pStyle w:val="Compact"/>
            </w:pPr>
            <w:r>
              <w:t xml:space="preserve">Ordinary (n = 858)</w:t>
            </w:r>
          </w:p>
        </w:tc>
        <w:tc>
          <w:tcPr/>
          <w:p>
            <w:pPr>
              <w:pStyle w:val="Compact"/>
            </w:pPr>
            <w:r>
              <w:t xml:space="preserve">GEE OR [95% CI]</w:t>
            </w:r>
          </w:p>
        </w:tc>
        <w:tc>
          <w:tcPr/>
          <w:p>
            <w:pPr>
              <w:pStyle w:val="Compact"/>
            </w:pPr>
            <w:r>
              <w:t xml:space="preserve">Within-series MH OR [95% CI]</w:t>
            </w:r>
          </w:p>
        </w:tc>
      </w:tr>
      <w:tr>
        <w:tc>
          <w:tcPr/>
          <w:p>
            <w:pPr>
              <w:pStyle w:val="Compact"/>
            </w:pPr>
            <w:r>
              <w:t xml:space="preserve">Identical</w:t>
            </w:r>
          </w:p>
        </w:tc>
        <w:tc>
          <w:tcPr/>
          <w:p>
            <w:pPr>
              <w:pStyle w:val="Compact"/>
            </w:pPr>
            <w:r>
              <w:t xml:space="preserve">63 (35.6%)</w:t>
            </w:r>
          </w:p>
        </w:tc>
        <w:tc>
          <w:tcPr/>
          <w:p>
            <w:pPr>
              <w:pStyle w:val="Compact"/>
            </w:pPr>
            <w:r>
              <w:t xml:space="preserve">133 (15.5%)</w:t>
            </w:r>
          </w:p>
        </w:tc>
        <w:tc>
          <w:tcPr/>
          <w:p>
            <w:pPr>
              <w:pStyle w:val="Compact"/>
            </w:pPr>
            <w:r>
              <w:t xml:space="preserve">2.38 [1.69, 3.34]</w:t>
            </w:r>
          </w:p>
        </w:tc>
        <w:tc>
          <w:tcPr/>
          <w:p>
            <w:pPr>
              <w:pStyle w:val="Compact"/>
            </w:pPr>
            <w:r>
              <w:t xml:space="preserve">2.15 [1.36, 3.42]</w:t>
            </w:r>
          </w:p>
        </w:tc>
      </w:tr>
      <w:tr>
        <w:tc>
          <w:tcPr/>
          <w:p>
            <w:pPr>
              <w:pStyle w:val="Compact"/>
            </w:pPr>
            <w:r>
              <w:t xml:space="preserve">Departing-tone alternation</w:t>
            </w:r>
          </w:p>
        </w:tc>
        <w:tc>
          <w:tcPr/>
          <w:p>
            <w:pPr>
              <w:pStyle w:val="Compact"/>
            </w:pPr>
            <w:r>
              <w:t xml:space="preserve">21 (11.9%)</w:t>
            </w:r>
          </w:p>
        </w:tc>
        <w:tc>
          <w:tcPr/>
          <w:p>
            <w:pPr>
              <w:pStyle w:val="Compact"/>
            </w:pPr>
            <w:r>
              <w:t xml:space="preserve">58 (6.8%)</w:t>
            </w:r>
          </w:p>
        </w:tc>
        <w:tc>
          <w:tcPr/>
          <w:p>
            <w:pPr>
              <w:pStyle w:val="Compact"/>
            </w:pPr>
            <w:r>
              <w:t xml:space="preserve">1.64 [1.04, 2.57]</w:t>
            </w:r>
          </w:p>
        </w:tc>
        <w:tc>
          <w:tcPr/>
          <w:p>
            <w:pPr>
              <w:pStyle w:val="Compact"/>
            </w:pPr>
            <w:r>
              <w:t xml:space="preserve">2.05 [1.03, 4.11]</w:t>
            </w:r>
          </w:p>
        </w:tc>
      </w:tr>
      <w:tr>
        <w:tc>
          <w:tcPr/>
          <w:p>
            <w:pPr>
              <w:pStyle w:val="Compact"/>
            </w:pPr>
            <w:r>
              <w:t xml:space="preserve">Other tone or voicing alternation</w:t>
            </w:r>
          </w:p>
        </w:tc>
        <w:tc>
          <w:tcPr/>
          <w:p>
            <w:pPr>
              <w:pStyle w:val="Compact"/>
            </w:pPr>
            <w:r>
              <w:t xml:space="preserve">12 (6.8%)</w:t>
            </w:r>
          </w:p>
        </w:tc>
        <w:tc>
          <w:tcPr/>
          <w:p>
            <w:pPr>
              <w:pStyle w:val="Compact"/>
            </w:pPr>
            <w:r>
              <w:t xml:space="preserve">92 (10.7%)</w:t>
            </w:r>
          </w:p>
        </w:tc>
        <w:tc>
          <w:tcPr/>
          <w:p>
            <w:pPr>
              <w:pStyle w:val="Compact"/>
            </w:pPr>
            <w:r>
              <w:t xml:space="preserve">0.62 [0.33, 1.14]</w:t>
            </w:r>
          </w:p>
        </w:tc>
        <w:tc>
          <w:tcPr/>
          <w:p>
            <w:pPr>
              <w:pStyle w:val="Compact"/>
            </w:pPr>
            <w:r>
              <w:t xml:space="preserve">0.61 [0.28, 1.30]</w:t>
            </w:r>
          </w:p>
        </w:tc>
      </w:tr>
      <w:tr>
        <w:tc>
          <w:tcPr/>
          <w:p>
            <w:pPr>
              <w:pStyle w:val="Compact"/>
            </w:pPr>
            <w:r>
              <w:t xml:space="preserve">Other difference</w:t>
            </w:r>
          </w:p>
        </w:tc>
        <w:tc>
          <w:tcPr/>
          <w:p>
            <w:pPr>
              <w:pStyle w:val="Compact"/>
            </w:pPr>
            <w:r>
              <w:t xml:space="preserve">81 (45.8%)</w:t>
            </w:r>
          </w:p>
        </w:tc>
        <w:tc>
          <w:tcPr/>
          <w:p>
            <w:pPr>
              <w:pStyle w:val="Compact"/>
            </w:pPr>
            <w:r>
              <w:t xml:space="preserve">575 (67.0%)</w:t>
            </w:r>
          </w:p>
        </w:tc>
        <w:tc>
          <w:tcPr/>
          <w:p>
            <w:pPr>
              <w:pStyle w:val="Compact"/>
            </w:pPr>
            <w:r>
              <w:t xml:space="preserve">0.52 [0.38, 0.70]</w:t>
            </w:r>
          </w:p>
        </w:tc>
        <w:tc>
          <w:tcPr/>
          <w:p>
            <w:pPr>
              <w:pStyle w:val="Compact"/>
            </w:pPr>
            <w:r>
              <w:t xml:space="preserve">0.44 [0.28, 0.70]</w:t>
            </w:r>
          </w:p>
        </w:tc>
      </w:tr>
    </w:tbl>
    <w:p>
      <w:pPr>
        <w:pStyle w:val="a0"/>
      </w:pPr>
      <w:r>
        <w:rPr>
          <w:i/>
          <w:iCs/>
        </w:rPr>
        <w:t xml:space="preserve">Note.</w:t>
      </w:r>
      <w:r>
        <w:t xml:space="preserve"> </w:t>
      </w:r>
      <w:r>
        <w:t xml:space="preserve">MH estimates pool the 121 phonetics with both labelled and ordinary members (148 and 839 pairs).</w:t>
      </w:r>
    </w:p>
    <w:p>
      <w:pPr>
        <w:pStyle w:val="a0"/>
      </w:pPr>
      <w:r>
        <w:t xml:space="preserve">The OC forms, on far smaller numbers, show the same contrast more sharply: 15 of 60 labelled pairs are identical (25.0%), against 13 of 249 ordinary ones (5.2%).</w:t>
      </w:r>
    </w:p>
    <w:bookmarkEnd w:id="20"/>
    <w:bookmarkStart w:id="21" w:name="which-alternations-h1b-h1c"/>
    <w:p>
      <w:pPr>
        <w:pStyle w:val="3"/>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Among the labelled cases, all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and </w:t>
      </w:r>
      <w:r>
        <w:rPr>
          <w:rFonts w:hint="eastAsia"/>
        </w:rPr>
        <w:t xml:space="preserve">憙</w:t>
      </w:r>
      <w:r>
        <w:t xml:space="preserve"> </w:t>
      </w:r>
      <w:r>
        <w:rPr>
          <w:i/>
          <w:iCs/>
        </w:rPr>
        <w:t xml:space="preserve">xiH</w:t>
      </w:r>
      <w:r>
        <w:t xml:space="preserve"> </w:t>
      </w:r>
      <w:r>
        <w:t xml:space="preserve">‘to delight in’</w:t>
      </w:r>
      <w:r>
        <w:t xml:space="preserve"> </w:t>
      </w:r>
      <w:r>
        <w:t xml:space="preserve">beside </w:t>
      </w:r>
      <w:r>
        <w:rPr>
          <w:rFonts w:hint="eastAsia"/>
        </w:rPr>
        <w:t xml:space="preserve">喜</w:t>
      </w:r>
      <w:r>
        <w:t xml:space="preserve"> </w:t>
      </w:r>
      <w:r>
        <w:rPr>
          <w:i/>
          <w:iCs/>
        </w:rPr>
        <w:t xml:space="preserve">xiX</w:t>
      </w:r>
      <w:r>
        <w:t xml:space="preserve"> </w:t>
      </w:r>
      <w:r>
        <w:t xml:space="preserve">‘joy’</w:t>
      </w:r>
      <w:r>
        <w:t xml:space="preserve">. The result holds without the 40 labels filed under their phonetic and, imprecisely, within series (MH OR 7.35 on 22 series; Table 7).</w:t>
      </w:r>
    </w:p>
    <w:p>
      <w:pPr>
        <w:pStyle w:val="a0"/>
      </w:pPr>
      <w:r>
        <w:t xml:space="preserve">H1c, however, bundles two claims (Table 4).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The interval is wide, and a moderate difference cannot be excluded. Pooled, compounds are the departing-tone member in 59 of these 79 pairs (75%), more often than where one member has the departing tone but the syllables also differ in other ways, 91 of 150 (61%; Fisher p = 0.04). Only that difference can be credited to derivation, and the 61% may itself include *-s derivatives with further changes.</w:t>
      </w:r>
    </w:p>
    <w:p>
      <w:pPr>
        <w:pStyle w:val="a0"/>
      </w:pPr>
      <w:r>
        <w:t xml:space="preserve">H1b fails as stated. Tone and voicing alternations are only somewhat commoner among non-identical labelled pairs (28.9% against 20.7%; Holm p = 0.20), and the OC measure shows nothing (Holm p = 0.31). Taken apart, however, the class is informative (Table 4). Among non-identical pairs, the MC excess lies entirely in the departing-tone alternations (OR 2.12, 95% CI 1.38–3.26), while the remaining alternations sit at or below baseline (OR 0.70, 95% CI 0.36–1.36), as do voicing alternations and level–rising contrasts taken separately (6 of 114 against 35 of 725, and 5 against 48); the upper limit leaves room for at most a small enrichment. The other affixes of (B), though, mostly surface in MC as differences of initial or rhyme, outside these categories. The direct test of them is the OC class R without *-s, which shows no excess but says less (OR 0.81, 95% CI 0.39–1.65). Relations involving *-s trend upward (OR 2.01, 95% CI 0.98–4.10), but they are largely the MC departing-tone pairs seen again.</w:t>
      </w:r>
    </w:p>
    <w:p>
      <w:pPr>
        <w:pStyle w:val="a0"/>
      </w:pPr>
      <w:r>
        <w:rPr>
          <w:b/>
          <w:bCs/>
        </w:rPr>
        <w:t xml:space="preserve">Table 4</w:t>
      </w:r>
      <w:r>
        <w:t xml:space="preserve"> </w:t>
      </w:r>
      <w:r>
        <w:t xml:space="preserve">The departing tone and other regular relations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w:t>
            </w:r>
          </w:p>
        </w:tc>
      </w:tr>
      <w:tr>
        <w:tc>
          <w:tcPr/>
          <w:p>
            <w:pPr>
              <w:pStyle w:val="Compact"/>
            </w:pPr>
            <w:r>
              <w:rPr>
                <w:i/>
                <w:iCs/>
              </w:rPr>
              <w:t xml:space="preserve">Pairs differing only in tone or voicing (MC)</w:t>
            </w:r>
          </w:p>
        </w:tc>
        <w:tc>
          <w:tcPr/>
          <w:p>
            <w:pPr>
              <w:pStyle w:val="Compact"/>
            </w:pPr>
          </w:p>
        </w:tc>
        <w:tc>
          <w:tcPr/>
          <w:p>
            <w:pPr>
              <w:pStyle w:val="Compact"/>
            </w:pPr>
          </w:p>
        </w:tc>
        <w:tc>
          <w:tcPr/>
          <w:p>
            <w:pPr>
              <w:pStyle w:val="Compact"/>
            </w:pPr>
          </w:p>
        </w:tc>
      </w:tr>
      <w:tr>
        <w:tc>
          <w:tcPr/>
          <w:p>
            <w:pPr>
              <w:pStyle w:val="Compact"/>
            </w:pPr>
            <w:r>
              <w:t xml:space="preserve">Member has the departing tone (H1c)</w:t>
            </w:r>
          </w:p>
        </w:tc>
        <w:tc>
          <w:tcPr/>
          <w:p>
            <w:pPr>
              <w:pStyle w:val="Compact"/>
            </w:pPr>
            <w:r>
              <w:t xml:space="preserve">16/33 (48.5%)</w:t>
            </w:r>
          </w:p>
        </w:tc>
        <w:tc>
          <w:tcPr/>
          <w:p>
            <w:pPr>
              <w:pStyle w:val="Compact"/>
            </w:pPr>
            <w:r>
              <w:t xml:space="preserve">43/150 (28.7%)</w:t>
            </w:r>
          </w:p>
        </w:tc>
        <w:tc>
          <w:tcPr/>
          <w:p>
            <w:pPr>
              <w:pStyle w:val="Compact"/>
            </w:pPr>
            <w:r>
              <w:t xml:space="preserve">2.44 [1.34, 4.48]; Holm p = 0.0056</w:t>
            </w:r>
          </w:p>
        </w:tc>
      </w:tr>
      <w:tr>
        <w:tc>
          <w:tcPr/>
          <w:p>
            <w:pPr>
              <w:pStyle w:val="Compact"/>
            </w:pPr>
            <w:r>
              <w:t xml:space="preserve">Step 1: departing tone involved</w:t>
            </w:r>
          </w:p>
        </w:tc>
        <w:tc>
          <w:tcPr/>
          <w:p>
            <w:pPr>
              <w:pStyle w:val="Compact"/>
            </w:pPr>
            <w:r>
              <w:t xml:space="preserve">21/33 (63.6%)</w:t>
            </w:r>
          </w:p>
        </w:tc>
        <w:tc>
          <w:tcPr/>
          <w:p>
            <w:pPr>
              <w:pStyle w:val="Compact"/>
            </w:pPr>
            <w:r>
              <w:t xml:space="preserve">58/150 (38.7%)</w:t>
            </w:r>
          </w:p>
        </w:tc>
        <w:tc>
          <w:tcPr/>
          <w:p>
            <w:pPr>
              <w:pStyle w:val="Compact"/>
            </w:pPr>
            <w:r>
              <w:t xml:space="preserve">2.42 [1.32, 4.46]</w:t>
            </w:r>
          </w:p>
        </w:tc>
      </w:tr>
      <w:tr>
        <w:tc>
          <w:tcPr/>
          <w:p>
            <w:pPr>
              <w:pStyle w:val="Compact"/>
            </w:pPr>
            <w:r>
              <w:t xml:space="preserve">Step 2: member departing, given step 1</w:t>
            </w:r>
          </w:p>
        </w:tc>
        <w:tc>
          <w:tcPr/>
          <w:p>
            <w:pPr>
              <w:pStyle w:val="Compact"/>
            </w:pPr>
            <w:r>
              <w:t xml:space="preserve">16/21 (76.2%)</w:t>
            </w:r>
          </w:p>
        </w:tc>
        <w:tc>
          <w:tcPr/>
          <w:p>
            <w:pPr>
              <w:pStyle w:val="Compact"/>
            </w:pPr>
            <w:r>
              <w:t xml:space="preserve">43/58 (74.1%)</w:t>
            </w:r>
          </w:p>
        </w:tc>
        <w:tc>
          <w:tcPr/>
          <w:p>
            <w:pPr>
              <w:pStyle w:val="Compact"/>
            </w:pPr>
            <w:r>
              <w:t xml:space="preserve">1.11 [0.31, 4.57]</w:t>
            </w:r>
            <w:r>
              <w:rPr>
                <w:vertAlign w:val="superscript"/>
              </w:rPr>
              <w:t xml:space="preserve">a</w:t>
            </w:r>
          </w:p>
        </w:tc>
      </w:tr>
      <w:tr>
        <w:tc>
          <w:tcPr/>
          <w:p>
            <w:pPr>
              <w:pStyle w:val="Compact"/>
            </w:pPr>
            <w:r>
              <w:rPr>
                <w:i/>
                <w:iCs/>
              </w:rPr>
              <w:t xml:space="preserve">Non-identical pairs (MC)</w:t>
            </w:r>
          </w:p>
        </w:tc>
        <w:tc>
          <w:tcPr/>
          <w:p>
            <w:pPr>
              <w:pStyle w:val="Compact"/>
            </w:pPr>
          </w:p>
        </w:tc>
        <w:tc>
          <w:tcPr/>
          <w:p>
            <w:pPr>
              <w:pStyle w:val="Compact"/>
            </w:pPr>
          </w:p>
        </w:tc>
        <w:tc>
          <w:tcPr/>
          <w:p>
            <w:pPr>
              <w:pStyle w:val="Compact"/>
            </w:pPr>
          </w:p>
        </w:tc>
      </w:tr>
      <w:tr>
        <w:tc>
          <w:tcPr/>
          <w:p>
            <w:pPr>
              <w:pStyle w:val="Compact"/>
            </w:pPr>
            <w:r>
              <w:t xml:space="preserve">Any tone or voicing alternation (H1b)</w:t>
            </w:r>
          </w:p>
        </w:tc>
        <w:tc>
          <w:tcPr/>
          <w:p>
            <w:pPr>
              <w:pStyle w:val="Compact"/>
            </w:pPr>
            <w:r>
              <w:t xml:space="preserve">33/114 (28.9%)</w:t>
            </w:r>
          </w:p>
        </w:tc>
        <w:tc>
          <w:tcPr/>
          <w:p>
            <w:pPr>
              <w:pStyle w:val="Compact"/>
            </w:pPr>
            <w:r>
              <w:t xml:space="preserve">150/725 (20.7%)</w:t>
            </w:r>
          </w:p>
        </w:tc>
        <w:tc>
          <w:tcPr/>
          <w:p>
            <w:pPr>
              <w:pStyle w:val="Compact"/>
            </w:pPr>
            <w:r>
              <w:t xml:space="preserve">1.29 [0.87, 1.91]; Holm p = 0.20</w:t>
            </w:r>
          </w:p>
        </w:tc>
      </w:tr>
      <w:tr>
        <w:tc>
          <w:tcPr/>
          <w:p>
            <w:pPr>
              <w:pStyle w:val="Compact"/>
            </w:pPr>
            <w:r>
              <w:t xml:space="preserve">Departing-tone alternation</w:t>
            </w:r>
          </w:p>
        </w:tc>
        <w:tc>
          <w:tcPr/>
          <w:p>
            <w:pPr>
              <w:pStyle w:val="Compact"/>
            </w:pPr>
            <w:r>
              <w:t xml:space="preserve">21/114 (18.4%)</w:t>
            </w:r>
          </w:p>
        </w:tc>
        <w:tc>
          <w:tcPr/>
          <w:p>
            <w:pPr>
              <w:pStyle w:val="Compact"/>
            </w:pPr>
            <w:r>
              <w:t xml:space="preserve">58/725 (8.0%)</w:t>
            </w:r>
          </w:p>
        </w:tc>
        <w:tc>
          <w:tcPr/>
          <w:p>
            <w:pPr>
              <w:pStyle w:val="Compact"/>
            </w:pPr>
            <w:r>
              <w:t xml:space="preserve">2.12 [1.38, 3.26]</w:t>
            </w:r>
          </w:p>
        </w:tc>
      </w:tr>
      <w:tr>
        <w:tc>
          <w:tcPr/>
          <w:p>
            <w:pPr>
              <w:pStyle w:val="Compact"/>
            </w:pPr>
            <w:r>
              <w:t xml:space="preserve">Other alternation</w:t>
            </w:r>
          </w:p>
        </w:tc>
        <w:tc>
          <w:tcPr/>
          <w:p>
            <w:pPr>
              <w:pStyle w:val="Compact"/>
            </w:pPr>
            <w:r>
              <w:t xml:space="preserve">12/114 (10.5%)</w:t>
            </w:r>
          </w:p>
        </w:tc>
        <w:tc>
          <w:tcPr/>
          <w:p>
            <w:pPr>
              <w:pStyle w:val="Compact"/>
            </w:pPr>
            <w:r>
              <w:t xml:space="preserve">92/725 (12.7%)</w:t>
            </w:r>
          </w:p>
        </w:tc>
        <w:tc>
          <w:tcPr/>
          <w:p>
            <w:pPr>
              <w:pStyle w:val="Compact"/>
            </w:pPr>
            <w:r>
              <w:t xml:space="preserve">0.70 [0.36, 1.36]</w:t>
            </w:r>
          </w:p>
        </w:tc>
      </w:tr>
      <w:tr>
        <w:tc>
          <w:tcPr/>
          <w:p>
            <w:pPr>
              <w:pStyle w:val="Compact"/>
            </w:pPr>
            <w:r>
              <w:rPr>
                <w:i/>
                <w:iCs/>
              </w:rPr>
              <w:t xml:space="preserve">Non-identical pairs (OC)</w:t>
            </w:r>
          </w:p>
        </w:tc>
        <w:tc>
          <w:tcPr/>
          <w:p>
            <w:pPr>
              <w:pStyle w:val="Compact"/>
            </w:pPr>
          </w:p>
        </w:tc>
        <w:tc>
          <w:tcPr/>
          <w:p>
            <w:pPr>
              <w:pStyle w:val="Compact"/>
            </w:pPr>
          </w:p>
        </w:tc>
        <w:tc>
          <w:tcPr/>
          <w:p>
            <w:pPr>
              <w:pStyle w:val="Compact"/>
            </w:pPr>
          </w:p>
        </w:tc>
      </w:tr>
      <w:tr>
        <w:tc>
          <w:tcPr/>
          <w:p>
            <w:pPr>
              <w:pStyle w:val="Compact"/>
            </w:pPr>
            <w:r>
              <w:t xml:space="preserve">Affix or regular alternation, R (H1b)</w:t>
            </w:r>
          </w:p>
        </w:tc>
        <w:tc>
          <w:tcPr/>
          <w:p>
            <w:pPr>
              <w:pStyle w:val="Compact"/>
            </w:pPr>
            <w:r>
              <w:t xml:space="preserve">18/45 (40.0%)</w:t>
            </w:r>
          </w:p>
        </w:tc>
        <w:tc>
          <w:tcPr/>
          <w:p>
            <w:pPr>
              <w:pStyle w:val="Compact"/>
            </w:pPr>
            <w:r>
              <w:t xml:space="preserve">84/236 (35.6%)</w:t>
            </w:r>
          </w:p>
        </w:tc>
        <w:tc>
          <w:tcPr/>
          <w:p>
            <w:pPr>
              <w:pStyle w:val="Compact"/>
            </w:pPr>
            <w:r>
              <w:t xml:space="preserve">1.17 [0.62, 2.22]; Holm p = 0.31</w:t>
            </w:r>
          </w:p>
        </w:tc>
      </w:tr>
      <w:tr>
        <w:tc>
          <w:tcPr/>
          <w:p>
            <w:pPr>
              <w:pStyle w:val="Compact"/>
            </w:pPr>
            <w:r>
              <w:t xml:space="preserve">R involving *-s</w:t>
            </w:r>
          </w:p>
        </w:tc>
        <w:tc>
          <w:tcPr/>
          <w:p>
            <w:pPr>
              <w:pStyle w:val="Compact"/>
            </w:pPr>
            <w:r>
              <w:t xml:space="preserve">8/45 (17.8%)</w:t>
            </w:r>
          </w:p>
        </w:tc>
        <w:tc>
          <w:tcPr/>
          <w:p>
            <w:pPr>
              <w:pStyle w:val="Compact"/>
            </w:pPr>
            <w:r>
              <w:t xml:space="preserve">21/236 (8.9%)</w:t>
            </w:r>
          </w:p>
        </w:tc>
        <w:tc>
          <w:tcPr/>
          <w:p>
            <w:pPr>
              <w:pStyle w:val="Compact"/>
            </w:pPr>
            <w:r>
              <w:t xml:space="preserve">2.01 [0.98, 4.10]</w:t>
            </w:r>
          </w:p>
        </w:tc>
      </w:tr>
      <w:tr>
        <w:tc>
          <w:tcPr/>
          <w:p>
            <w:pPr>
              <w:pStyle w:val="Compact"/>
            </w:pPr>
            <w:r>
              <w:t xml:space="preserve">R not involving *-s</w:t>
            </w:r>
          </w:p>
        </w:tc>
        <w:tc>
          <w:tcPr/>
          <w:p>
            <w:pPr>
              <w:pStyle w:val="Compact"/>
            </w:pPr>
            <w:r>
              <w:t xml:space="preserve">10/45 (22.2%)</w:t>
            </w:r>
          </w:p>
        </w:tc>
        <w:tc>
          <w:tcPr/>
          <w:p>
            <w:pPr>
              <w:pStyle w:val="Compact"/>
            </w:pPr>
            <w:r>
              <w:t xml:space="preserve">63/236 (26.7%)</w:t>
            </w:r>
          </w:p>
        </w:tc>
        <w:tc>
          <w:tcPr/>
          <w:p>
            <w:pPr>
              <w:pStyle w:val="Compact"/>
            </w:pPr>
            <w:r>
              <w:t xml:space="preserve">0.81 [0.39, 1.65]</w:t>
            </w:r>
          </w:p>
        </w:tc>
      </w:tr>
    </w:tbl>
    <w:p>
      <w:pPr>
        <w:pStyle w:val="a0"/>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21"/>
    <w:bookmarkStart w:id="22" w:name="meaning-h2"/>
    <w:p>
      <w:pPr>
        <w:pStyle w:val="3"/>
      </w:pPr>
      <w:r>
        <w:t xml:space="preserve">4.3 Meaning (H2)</w:t>
      </w:r>
    </w:p>
    <w:p>
      <w:pPr>
        <w:pStyle w:val="FirstParagraph"/>
      </w:pPr>
      <w:r>
        <w:t xml:space="preserve">Meaning shows the largest contrast. In the blind coding, with proper names set aside, 25 of 33 labelled pairs (75.8%) are related in meaning, against 6 of 50 ordinary pairs (12.0%; OR 22.0, 95% CI 7.1–68.0; Holm p = 2.0 × 10⁻⁷). Without paronomastic glosses the odds ratio is 16.4, near-synonymy occurs only among labelled pairs, and the non-blind first pass shows the same contrast (Table 5).</w:t>
      </w:r>
    </w:p>
    <w:p>
      <w:pPr>
        <w:pStyle w:val="a0"/>
      </w:pPr>
      <w:r>
        <w:rPr>
          <w:b/>
          <w:bCs/>
        </w:rPr>
        <w:t xml:space="preserve">Table 5</w:t>
      </w:r>
      <w:r>
        <w:t xml:space="preserve"> </w:t>
      </w:r>
      <w:r>
        <w:t xml:space="preserve">Relatedness of meaning in the semantic subsample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 blind pass</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 blind pass</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(Y or E), non-blind first pass</w:t>
            </w:r>
          </w:p>
        </w:tc>
        <w:tc>
          <w:tcPr/>
          <w:p>
            <w:pPr>
              <w:pStyle w:val="Compact"/>
            </w:pPr>
            <w:r>
              <w:t xml:space="preserve">27/35 (77.1%)</w:t>
            </w:r>
          </w:p>
        </w:tc>
        <w:tc>
          <w:tcPr/>
          <w:p>
            <w:pPr>
              <w:pStyle w:val="Compact"/>
            </w:pPr>
            <w:r>
              <w:t xml:space="preserve">8/53 (15.1%)</w:t>
            </w:r>
          </w:p>
        </w:tc>
        <w:tc>
          <w:tcPr/>
          <w:p>
            <w:pPr>
              <w:pStyle w:val="Compact"/>
            </w:pPr>
            <w:r>
              <w:t xml:space="preserve">Fisher OR 19.0</w:t>
            </w:r>
          </w:p>
        </w:tc>
      </w:tr>
    </w:tbl>
    <w:p>
      <w:pPr>
        <w:pStyle w:val="a0"/>
      </w:pPr>
      <w:r>
        <w:rPr>
          <w:i/>
          <w:iCs/>
        </w:rPr>
        <w:t xml:space="preserve">Note.</w:t>
      </w:r>
      <w:r>
        <w:t xml:space="preserve"> </w:t>
      </w:r>
      <w:r>
        <w:t xml:space="preserve">The first pass was made with knowledge of each pair’s group and is shown for comparison only; its proper names differ slightly, hence the different denominators.</w:t>
      </w:r>
    </w:p>
    <w:p>
      <w:pPr>
        <w:pStyle w:val="a0"/>
      </w:pPr>
      <w:r>
        <w:t xml:space="preserve">Sound and meaning go together. All nine homophonous labelled pairs in the subsample are related in meaning. In each group, related pairs are more often identical or departing-tone alternants than unrelated ones (labelled 14 of 25 against 0 of 8, Fisher p = 0.01; ordinary 2 of 6 against 4 of 40, p = 0.17); pooling the groups, 10 of 13 homophonous pairs and 6 of 7 departing-tone pairs are related, against 1 of 6 other alternations and 14 of 53 pairs that differ in other ways. Among related pairs, by contrast, the label goes with sound only weakly (14 of 25 against 2 of 6; p = 0.39), and in a descriptive model, relatedness predicts identity or a departing-tone alternation (OR 10.1, p = 0.003) while the label adds little once relatedness is known (OR 1.3, p = 0.74). The descriptive relation types agree. Of the 63 homophonous labelled pairs, 42 are F, 8 L, 5 C and only 8 U; among the 133 homophonous ordinary pairs, unrelated homophones (73) and proper names (42) predominate, with 15 F, 3 L and no C.</w:t>
      </w:r>
    </w:p>
    <w:bookmarkEnd w:id="22"/>
    <w:bookmarkStart w:id="23" w:name="how-much-of-the-label"/>
    <w:p>
      <w:pPr>
        <w:pStyle w:val="3"/>
      </w:pPr>
      <w:r>
        <w:t xml:space="preserve">4.4 How much of the label?</w:t>
      </w:r>
    </w:p>
    <w:p>
      <w:pPr>
        <w:pStyle w:val="FirstParagraph"/>
      </w:pPr>
      <w:r>
        <w:t xml:space="preserve">Identity exceeds the ordinary rate by 20 percentage points and the departing-tone alternation by 5 (Table 3),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and of those with OC forms at both ends, 6 of 29 are related by affix or regular alternation, against 48 of 179.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10 of the 18 such labelled pairs in the blind sample are coded related in meaning, while 8 of the 33 labelled pairs there are coded unrelated.</w:t>
      </w:r>
    </w:p>
    <w:bookmarkEnd w:id="23"/>
    <w:bookmarkStart w:id="24" w:name="Xa6e2b16ec4a710089cfa48b37017510b80669a9"/>
    <w:p>
      <w:pPr>
        <w:pStyle w:val="3"/>
      </w:pPr>
      <w:r>
        <w:t xml:space="preserve">4.5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6): homophonous in 24 of 48 pairs against 35 of 122 (OR for shared relative to Dà Xú-only labels 0.39, 95% CI 0.19–0.80, p = 0.01, Holm about 0.03), remote in 16 against 63 (Fisher p = 0.04), with similar shares of departing-tone alternations. The difference in identity persists among labels not filed under their phonetic (24 of 46 against 26 of 90; p = 0.009). The Dà Xú-only labels also more often have paronomastic glosses (21 of 62 entries against 31 of 140; p = 0.08), while in meaning the two layers do not differ (8 of 10 against 16 of 22 related).</w:t>
      </w:r>
    </w:p>
    <w:p>
      <w:pPr>
        <w:pStyle w:val="a0"/>
      </w:pPr>
      <w:r>
        <w:rPr>
          <w:b/>
          <w:bCs/>
        </w:rPr>
        <w:t xml:space="preserve">Table 6</w:t>
      </w:r>
      <w:r>
        <w:t xml:space="preserve"> </w:t>
      </w:r>
      <w:r>
        <w:t xml:space="preserve">Sound relations of labelled pairs by recension layer (MC)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w:t>
            </w:r>
          </w:p>
        </w:tc>
        <w:tc>
          <w:tcPr/>
          <w:p>
            <w:pPr>
              <w:pStyle w:val="Compact"/>
            </w:pPr>
            <w:r>
              <w:t xml:space="preserve">Shared by both recensions (n = 122)</w:t>
            </w:r>
          </w:p>
        </w:tc>
        <w:tc>
          <w:tcPr/>
          <w:p>
            <w:pPr>
              <w:pStyle w:val="Compact"/>
            </w:pPr>
            <w:r>
              <w:t xml:space="preserve">Dà Xú only (n = 48)</w:t>
            </w:r>
          </w:p>
        </w:tc>
        <w:tc>
          <w:tcPr/>
          <w:p>
            <w:pPr>
              <w:pStyle w:val="Compact"/>
            </w:pPr>
            <w:r>
              <w:t xml:space="preserve">Ordinary (n = 858)</w:t>
            </w:r>
          </w:p>
        </w:tc>
      </w:tr>
      <w:tr>
        <w:tc>
          <w:tcPr/>
          <w:p>
            <w:pPr>
              <w:pStyle w:val="Compact"/>
            </w:pPr>
            <w:r>
              <w:t xml:space="preserve">Identical</w:t>
            </w:r>
          </w:p>
        </w:tc>
        <w:tc>
          <w:tcPr/>
          <w:p>
            <w:pPr>
              <w:pStyle w:val="Compact"/>
            </w:pPr>
            <w:r>
              <w:t xml:space="preserve">35 (28.7%)</w:t>
            </w:r>
          </w:p>
        </w:tc>
        <w:tc>
          <w:tcPr/>
          <w:p>
            <w:pPr>
              <w:pStyle w:val="Compact"/>
            </w:pPr>
            <w:r>
              <w:t xml:space="preserve">24 (50.0%)</w:t>
            </w:r>
          </w:p>
        </w:tc>
        <w:tc>
          <w:tcPr/>
          <w:p>
            <w:pPr>
              <w:pStyle w:val="Compact"/>
            </w:pPr>
            <w:r>
              <w:t xml:space="preserve">133 (15.5%)</w:t>
            </w:r>
          </w:p>
        </w:tc>
      </w:tr>
      <w:tr>
        <w:tc>
          <w:tcPr/>
          <w:p>
            <w:pPr>
              <w:pStyle w:val="Compact"/>
            </w:pPr>
            <w:r>
              <w:t xml:space="preserve">Departing-tone alternation</w:t>
            </w:r>
          </w:p>
        </w:tc>
        <w:tc>
          <w:tcPr/>
          <w:p>
            <w:pPr>
              <w:pStyle w:val="Compact"/>
            </w:pPr>
            <w:r>
              <w:t xml:space="preserve">14 (11.5%)</w:t>
            </w:r>
          </w:p>
        </w:tc>
        <w:tc>
          <w:tcPr/>
          <w:p>
            <w:pPr>
              <w:pStyle w:val="Compact"/>
            </w:pPr>
            <w:r>
              <w:t xml:space="preserve">6 (12.5%)</w:t>
            </w:r>
          </w:p>
        </w:tc>
        <w:tc>
          <w:tcPr/>
          <w:p>
            <w:pPr>
              <w:pStyle w:val="Compact"/>
            </w:pPr>
            <w:r>
              <w:t xml:space="preserve">58 (6.8%)</w:t>
            </w:r>
          </w:p>
        </w:tc>
      </w:tr>
      <w:tr>
        <w:tc>
          <w:tcPr/>
          <w:p>
            <w:pPr>
              <w:pStyle w:val="Compact"/>
            </w:pPr>
            <w:r>
              <w:t xml:space="preserve">Other tone or voicing alternation</w:t>
            </w:r>
          </w:p>
        </w:tc>
        <w:tc>
          <w:tcPr/>
          <w:p>
            <w:pPr>
              <w:pStyle w:val="Compact"/>
            </w:pPr>
            <w:r>
              <w:t xml:space="preserve">10 (8.2%)</w:t>
            </w:r>
          </w:p>
        </w:tc>
        <w:tc>
          <w:tcPr/>
          <w:p>
            <w:pPr>
              <w:pStyle w:val="Compact"/>
            </w:pPr>
            <w:r>
              <w:t xml:space="preserve">2 (4.2%)</w:t>
            </w:r>
          </w:p>
        </w:tc>
        <w:tc>
          <w:tcPr/>
          <w:p>
            <w:pPr>
              <w:pStyle w:val="Compact"/>
            </w:pPr>
            <w:r>
              <w:t xml:space="preserve">92 (10.7%)</w:t>
            </w:r>
          </w:p>
        </w:tc>
      </w:tr>
      <w:tr>
        <w:tc>
          <w:tcPr/>
          <w:p>
            <w:pPr>
              <w:pStyle w:val="Compact"/>
            </w:pPr>
            <w:r>
              <w:t xml:space="preserve">Other difference</w:t>
            </w:r>
          </w:p>
        </w:tc>
        <w:tc>
          <w:tcPr/>
          <w:p>
            <w:pPr>
              <w:pStyle w:val="Compact"/>
            </w:pPr>
            <w:r>
              <w:t xml:space="preserve">63 (51.6%)</w:t>
            </w:r>
          </w:p>
        </w:tc>
        <w:tc>
          <w:tcPr/>
          <w:p>
            <w:pPr>
              <w:pStyle w:val="Compact"/>
            </w:pPr>
            <w:r>
              <w:t xml:space="preserve">16 (33.3%)</w:t>
            </w:r>
          </w:p>
        </w:tc>
        <w:tc>
          <w:tcPr/>
          <w:p>
            <w:pPr>
              <w:pStyle w:val="Compact"/>
            </w:pPr>
            <w:r>
              <w:t xml:space="preserve">575 (67.0%)</w:t>
            </w:r>
          </w:p>
        </w:tc>
      </w:tr>
    </w:tbl>
    <w:p>
      <w:pPr>
        <w:pStyle w:val="a0"/>
      </w:pPr>
      <w:r>
        <w:rPr>
          <w:i/>
          <w:iCs/>
        </w:rPr>
        <w:t xml:space="preserve">Note.</w:t>
      </w:r>
      <w:r>
        <w:t xml:space="preserve"> </w:t>
      </w:r>
      <w:r>
        <w:t xml:space="preserve">Seven labelled pairs whose layer cannot be decided are omitted.</w:t>
      </w:r>
    </w:p>
    <w:p>
      <w:pPr>
        <w:pStyle w:val="a0"/>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7). In them the contrast in meaning remains large (13 of 19 against 6 of 50 related; OR 16.1), while identity is weaker across series (24 of 92, 26.1%; OR 1.59, 95% CI 0.97–2.61) and indeterminate within them (MH OR 1.22, 95% CI 0.61–2.46), with only 63 series to compare. These labels are homophonous less often than all other labels (26% against 46%; p = 0.0075). The sound effects are thus carried mainly by the Dà Xú-only labels and the paronomastic glosses; the relation of meaning holds throughout.</w:t>
      </w:r>
    </w:p>
    <w:p>
      <w:pPr>
        <w:pStyle w:val="a0"/>
      </w:pPr>
      <w:r>
        <w:t xml:space="preserve">Neither Duan’s emendations nor filing position separates the labels. The 39 labels that Duan drops are, if anything, more often homophonous than the 170 he keeps (13 of 32 against 49 of 143 pairs; p = 0.54; three entries lack his text). His wider notion of the meaningful phonetic lacks the labels’ profile: the 21 ordinary compounds that his notes treat as meaningful are homophonous with their phonetic in 4 cases (19%), near the ordinary rate. The 40 labels filed under their own phonetic are less, not more, often homophonous than the others (9 of 34 against 54 of 143; p = 0.24). 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which he also rejects, carry the label in both recensions.</w:t>
      </w:r>
    </w:p>
    <w:p>
      <w:pPr>
        <w:pStyle w:val="a0"/>
      </w:pPr>
      <w:r>
        <w:rPr>
          <w:b/>
          <w:bCs/>
        </w:rPr>
        <w:t xml:space="preserve">Table 7</w:t>
      </w:r>
      <w:r>
        <w:t xml:space="preserve"> </w:t>
      </w:r>
      <w:r>
        <w:t xml:space="preserve">Checks on the main results (OR [95% 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Check</w:t>
            </w:r>
          </w:p>
        </w:tc>
        <w:tc>
          <w:tcPr/>
          <w:p>
            <w:pPr>
              <w:pStyle w:val="Compact"/>
            </w:pPr>
            <w:r>
              <w:t xml:space="preserve">H1a GEE</w:t>
            </w:r>
          </w:p>
        </w:tc>
        <w:tc>
          <w:tcPr/>
          <w:p>
            <w:pPr>
              <w:pStyle w:val="Compact"/>
            </w:pPr>
            <w:r>
              <w:t xml:space="preserve">H1a within series</w:t>
            </w:r>
          </w:p>
        </w:tc>
        <w:tc>
          <w:tcPr/>
          <w:p>
            <w:pPr>
              <w:pStyle w:val="Compact"/>
            </w:pPr>
            <w:r>
              <w:t xml:space="preserve">H1c GEE</w:t>
            </w:r>
          </w:p>
        </w:tc>
        <w:tc>
          <w:tcPr/>
          <w:p>
            <w:pPr>
              <w:pStyle w:val="Compact"/>
            </w:pPr>
            <w:r>
              <w:t xml:space="preserve">H1c within series</w:t>
            </w:r>
          </w:p>
        </w:tc>
        <w:tc>
          <w:tcPr/>
          <w:p>
            <w:pPr>
              <w:pStyle w:val="Compact"/>
            </w:pPr>
            <w:r>
              <w:t xml:space="preserve">H2 GEE</w:t>
            </w:r>
          </w:p>
        </w:tc>
      </w:tr>
      <w:tr>
        <w:tc>
          <w:tcPr/>
          <w:p>
            <w:pPr>
              <w:pStyle w:val="Compact"/>
            </w:pPr>
            <w:r>
              <w:t xml:space="preserve">All labels</w:t>
            </w:r>
          </w:p>
        </w:tc>
        <w:tc>
          <w:tcPr/>
          <w:p>
            <w:pPr>
              <w:pStyle w:val="Compact"/>
            </w:pPr>
            <w:r>
              <w:t xml:space="preserve">2.38 [1.69, 3.34]</w:t>
            </w:r>
          </w:p>
        </w:tc>
        <w:tc>
          <w:tcPr/>
          <w:p>
            <w:pPr>
              <w:pStyle w:val="Compact"/>
            </w:pPr>
            <w:r>
              <w:t xml:space="preserve">2.15 [1.36, 3.42]</w:t>
            </w:r>
          </w:p>
        </w:tc>
        <w:tc>
          <w:tcPr/>
          <w:p>
            <w:pPr>
              <w:pStyle w:val="Compact"/>
            </w:pPr>
            <w:r>
              <w:t xml:space="preserve">2.44 [1.34, 4.48]</w:t>
            </w:r>
          </w:p>
        </w:tc>
        <w:tc>
          <w:tcPr/>
          <w:p>
            <w:pPr>
              <w:pStyle w:val="Compact"/>
            </w:pPr>
            <w:r>
              <w:t xml:space="preserve">7.35 [1.09, 49.5]</w:t>
            </w:r>
          </w:p>
        </w:tc>
        <w:tc>
          <w:tcPr/>
          <w:p>
            <w:pPr>
              <w:pStyle w:val="Compact"/>
            </w:pPr>
            <w:r>
              <w:t xml:space="preserve">22.0 [7.1, 68.0]</w:t>
            </w:r>
          </w:p>
        </w:tc>
      </w:tr>
      <w:tr>
        <w:tc>
          <w:tcPr/>
          <w:p>
            <w:pPr>
              <w:pStyle w:val="Compact"/>
            </w:pPr>
            <w:r>
              <w:t xml:space="preserve">Identity read from fǎnqiè strings</w:t>
            </w:r>
          </w:p>
        </w:tc>
        <w:tc>
          <w:tcPr/>
          <w:p>
            <w:pPr>
              <w:pStyle w:val="Compact"/>
            </w:pPr>
            <w:r>
              <w:t xml:space="preserve">2.43 [1.74, 3.39]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Paronomastic glosses removed</w:t>
            </w:r>
          </w:p>
        </w:tc>
        <w:tc>
          <w:tcPr/>
          <w:p>
            <w:pPr>
              <w:pStyle w:val="Compact"/>
            </w:pPr>
            <w:r>
              <w:t xml:space="preserve">1.99 [1.34, 2.96]</w:t>
            </w:r>
          </w:p>
        </w:tc>
        <w:tc>
          <w:tcPr/>
          <w:p>
            <w:pPr>
              <w:pStyle w:val="Compact"/>
            </w:pPr>
            <w:r>
              <w:t xml:space="preserve">1.54 [0.85, 2.78]</w:t>
            </w:r>
          </w:p>
        </w:tc>
        <w:tc>
          <w:tcPr/>
          <w:p>
            <w:pPr>
              <w:pStyle w:val="Compact"/>
            </w:pPr>
            <w:r>
              <w:t xml:space="preserve">1.82 [0.79, 4.22]</w:t>
            </w:r>
          </w:p>
        </w:tc>
        <w:tc>
          <w:tcPr/>
          <w:p>
            <w:pPr>
              <w:pStyle w:val="Compact"/>
            </w:pPr>
            <w:r>
              <w:t xml:space="preserve">4.47 [0.65, 30.9]</w:t>
            </w:r>
          </w:p>
        </w:tc>
        <w:tc>
          <w:tcPr/>
          <w:p>
            <w:pPr>
              <w:pStyle w:val="Compact"/>
            </w:pPr>
            <w:r>
              <w:t xml:space="preserve">16.4 [5.1, 52.9]</w:t>
            </w:r>
          </w:p>
        </w:tc>
      </w:tr>
      <w:tr>
        <w:tc>
          <w:tcPr/>
          <w:p>
            <w:pPr>
              <w:pStyle w:val="Compact"/>
            </w:pPr>
            <w:r>
              <w:t xml:space="preserve">Labels shared by both recensions</w:t>
            </w:r>
          </w:p>
        </w:tc>
        <w:tc>
          <w:tcPr/>
          <w:p>
            <w:pPr>
              <w:pStyle w:val="Compact"/>
            </w:pPr>
            <w:r>
              <w:t xml:space="preserve">1.83 [1.18, 2.82]</w:t>
            </w:r>
          </w:p>
        </w:tc>
        <w:tc>
          <w:tcPr/>
          <w:p>
            <w:pPr>
              <w:pStyle w:val="Compact"/>
            </w:pPr>
            <w:r>
              <w:t xml:space="preserve">1.58 [0.90, 2.78]</w:t>
            </w:r>
          </w:p>
        </w:tc>
        <w:tc>
          <w:tcPr/>
          <w:p>
            <w:pPr>
              <w:pStyle w:val="Compact"/>
            </w:pPr>
            <w:r>
              <w:t xml:space="preserve">2.32 [1.09, 4.93]</w:t>
            </w:r>
          </w:p>
        </w:tc>
        <w:tc>
          <w:tcPr/>
          <w:p>
            <w:pPr>
              <w:pStyle w:val="Compact"/>
            </w:pPr>
            <w:r>
              <w:t xml:space="preserve">6.71 [1.01, 44.7]</w:t>
            </w:r>
          </w:p>
        </w:tc>
        <w:tc>
          <w:tcPr/>
          <w:p>
            <w:pPr>
              <w:pStyle w:val="Compact"/>
            </w:pPr>
            <w:r>
              <w:t xml:space="preserve">19.8 [5.5, 70.8]</w:t>
            </w:r>
          </w:p>
        </w:tc>
      </w:tr>
      <w:tr>
        <w:tc>
          <w:tcPr/>
          <w:p>
            <w:pPr>
              <w:pStyle w:val="Compact"/>
            </w:pPr>
            <w:r>
              <w:t xml:space="preserve">Shared labels, paronomastic glosses removed (92 pairs)</w:t>
            </w:r>
          </w:p>
        </w:tc>
        <w:tc>
          <w:tcPr/>
          <w:p>
            <w:pPr>
              <w:pStyle w:val="Compact"/>
            </w:pPr>
            <w:r>
              <w:t xml:space="preserve">1.59 [0.97, 2.61]</w:t>
            </w:r>
          </w:p>
        </w:tc>
        <w:tc>
          <w:tcPr/>
          <w:p>
            <w:pPr>
              <w:pStyle w:val="Compact"/>
            </w:pPr>
            <w:r>
              <w:t xml:space="preserve">1.22 [0.61, 2.46]</w:t>
            </w:r>
          </w:p>
        </w:tc>
        <w:tc>
          <w:tcPr/>
          <w:p>
            <w:pPr>
              <w:pStyle w:val="Compact"/>
            </w:pPr>
            <w:r>
              <w:t xml:space="preserve">2.03 [0.78, 5.29]</w:t>
            </w:r>
          </w:p>
        </w:tc>
        <w:tc>
          <w:tcPr/>
          <w:p>
            <w:pPr>
              <w:pStyle w:val="Compact"/>
            </w:pPr>
            <w:r>
              <w:t xml:space="preserve">4.47 [0.65, 30.9]</w:t>
            </w:r>
          </w:p>
        </w:tc>
        <w:tc>
          <w:tcPr/>
          <w:p>
            <w:pPr>
              <w:pStyle w:val="Compact"/>
            </w:pPr>
            <w:r>
              <w:t xml:space="preserve">16.1 [4.4, 59.2]</w:t>
            </w:r>
          </w:p>
        </w:tc>
      </w:tr>
      <w:tr>
        <w:tc>
          <w:tcPr/>
          <w:p>
            <w:pPr>
              <w:pStyle w:val="Compact"/>
            </w:pPr>
            <w:r>
              <w:t xml:space="preserve">Wang Yun’s nine rejected labels removed</w:t>
            </w:r>
          </w:p>
        </w:tc>
        <w:tc>
          <w:tcPr/>
          <w:p>
            <w:pPr>
              <w:pStyle w:val="Compact"/>
            </w:pPr>
            <w:r>
              <w:t xml:space="preserve">2.37 [1.68, 3.36]</w:t>
            </w:r>
          </w:p>
        </w:tc>
        <w:tc>
          <w:tcPr/>
          <w:p>
            <w:pPr>
              <w:pStyle w:val="Compact"/>
            </w:pPr>
            <w:r>
              <w:t xml:space="preserve">2.26 [1.40, 3.64]</w:t>
            </w:r>
          </w:p>
        </w:tc>
        <w:tc>
          <w:tcPr/>
          <w:p>
            <w:pPr>
              <w:pStyle w:val="Compact"/>
            </w:pPr>
            <w:r>
              <w:t xml:space="preserve">2.21 [1.14, 4.29]</w:t>
            </w:r>
          </w:p>
        </w:tc>
        <w:tc>
          <w:tcPr/>
          <w:p>
            <w:pPr>
              <w:pStyle w:val="Compact"/>
            </w:pPr>
            <w:r>
              <w:t xml:space="preserve">7.35 [1.09, 49.5]</w:t>
            </w:r>
          </w:p>
        </w:tc>
        <w:tc>
          <w:tcPr/>
          <w:p>
            <w:pPr>
              <w:pStyle w:val="Compact"/>
            </w:pPr>
            <w:r>
              <w:t xml:space="preserve">20.5 [6.6, 63.9]</w:t>
            </w:r>
          </w:p>
        </w:tc>
      </w:tr>
      <w:tr>
        <w:tc>
          <w:tcPr/>
          <w:p>
            <w:pPr>
              <w:pStyle w:val="Compact"/>
            </w:pPr>
            <w:r>
              <w:t xml:space="preserve">40 labels filed under own phonetic removed</w:t>
            </w:r>
          </w:p>
        </w:tc>
        <w:tc>
          <w:tcPr/>
          <w:p>
            <w:pPr>
              <w:pStyle w:val="Compact"/>
            </w:pPr>
            <w:r>
              <w:t xml:space="preserve">2.51 [1.74, 3.60]</w:t>
            </w:r>
          </w:p>
        </w:tc>
        <w:tc>
          <w:tcPr/>
          <w:p>
            <w:pPr>
              <w:pStyle w:val="Compact"/>
            </w:pPr>
            <w:r>
              <w:t xml:space="preserve">2.17 [1.32, 3.56]</w:t>
            </w:r>
          </w:p>
        </w:tc>
        <w:tc>
          <w:tcPr/>
          <w:p>
            <w:pPr>
              <w:pStyle w:val="Compact"/>
            </w:pPr>
            <w:r>
              <w:t xml:space="preserve">2.58 [1.39, 4.81]</w:t>
            </w:r>
          </w:p>
        </w:tc>
        <w:tc>
          <w:tcPr/>
          <w:p>
            <w:pPr>
              <w:pStyle w:val="Compact"/>
            </w:pPr>
            <w:r>
              <w:t xml:space="preserve">n.e.</w:t>
            </w:r>
          </w:p>
        </w:tc>
        <w:tc>
          <w:tcPr/>
          <w:p>
            <w:pPr>
              <w:pStyle w:val="Compact"/>
            </w:pPr>
            <w:r>
              <w:t xml:space="preserve">–</w:t>
            </w:r>
          </w:p>
        </w:tc>
      </w:tr>
    </w:tbl>
    <w:p>
      <w:pPr>
        <w:pStyle w:val="a0"/>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24"/>
    <w:bookmarkEnd w:id="25"/>
    <w:bookmarkStart w:id="30" w:name="discussion"/>
    <w:p>
      <w:pPr>
        <w:pStyle w:val="2"/>
      </w:pPr>
      <w:r>
        <w:t xml:space="preserve">5 Discussion</w:t>
      </w:r>
    </w:p>
    <w:p>
      <w:pPr>
        <w:pStyle w:val="FirstParagraph"/>
      </w:pPr>
      <w:r>
        <w:t xml:space="preserve">The hypotheses can be answered briefly. H1a: yes, also within series, although there the effect depends on the Dà Xú-only labels and the paronomastic glosses. H1b: no, and informatively for tone and voicing, since of those alternations only the departing tone sets labelled pairs apart; less informatively for other affixes. H1c: yes, but not as framed; the label goes with the *-s relation, not with its direction. H2: yes, in every subset. Of the exploratory comparisons, only the Xiǎo Xú separates the labels. Of the accounts in Table 1, (B) fails on H1b and on direction. (D) cannot produce the contrast in meaning anywhere, or the contrast in sound across all labels; for the 92 core pairs it cannot be excluded on sound alone. (A) and (C) both fit, and the comparison that would separate them is too small to decide. What the label goes with can therefore be stated as a result. What its author had in mind cannot yet be.</w:t>
      </w:r>
    </w:p>
    <w:bookmarkStart w:id="26" w:name="artefacts"/>
    <w:p>
      <w:pPr>
        <w:pStyle w:val="3"/>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7). Taken together, the checks tell a less simple story. They overlap, since all use one text and one set of MC readings, and the OC *-s trend largely re-counts the MC departing-tone pairs (Section 4.2). Either of the first two checks combined with the within-series comparison, or the two combined with each other, leaves the contrast in sound imprecise, while the contrast in meaning does not move.</w:t>
      </w:r>
    </w:p>
    <w:bookmarkEnd w:id="26"/>
    <w:bookmarkStart w:id="27" w:name="meaning-first-or-sound-as-well"/>
    <w:p>
      <w:pPr>
        <w:pStyle w:val="3"/>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passes the tests available. Its precondition holds: relatedness predicts identity or a departing-tone alternation when the label is controlled (OR 10.1), and in both groups related pairs are more often identical or departing-tone alternants than unrelated ones, although the ordinary group has only six related pairs (Section 4.3). A label assigned for meaning alone would therefore produce much of the observed profile. The account also accommodates the remote labels, which (C) does not lead one to expect (Section 4.4). The gradient of Section 4.5 fits both: on (C), paronomastic glosses and Dà Xú-only labels mark the most obvious cases of one word written twice; on (A), they merely mark the most conspicuous of the meaningful phonetics.</w:t>
      </w:r>
    </w:p>
    <w:p>
      <w:pPr>
        <w:pStyle w:val="a0"/>
      </w:pPr>
      <w:r>
        <w:t xml:space="preserve">What would separate the accounts is whether the label still goes with sound among pairs already related in meaning. On (C) it should, since among related pairs the label would single out the same word or a minimal derivative, which stands closer in sound to the phonetic than a remote cognate does; on (A) it need not. In this sample the label adds little once relatedness is known (OR 1.3), but with six related ordinary pairs that is absence of evidence, not evidence of absence.</w:t>
      </w:r>
    </w:p>
    <w:p>
      <w:pPr>
        <w:pStyle w:val="a0"/>
      </w:pPr>
      <w:r>
        <w:t xml:space="preserve">On balance, the label behaves as a record of relatedness of meaning, and its phonology is that of relatedness in these series: enriched in identity and the *-s alternation, though nearly half of the related pairs are remote in sound. Whether the analyst also heard the two words as one, or as base and derivative, remains a hypothesis, worth stating because it generates tests.</w:t>
      </w:r>
    </w:p>
    <w:p>
      <w:pPr>
        <w:pStyle w:val="aa"/>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results. It would be contradicted if the test above, run on all labelled pairs and a large sample of ordinary ones, found no difference. It also predicts that excavated manuscripts write labelled headwords with the bare phonetic graph more often than homophonous ordinary compounds (cf. Section 2.2), and that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linking a compound to its own phonetic favour identity and the departing tone. A meaning-first label predicts none of this beyond what relatedness brings.</w:t>
      </w:r>
    </w:p>
    <w:p>
      <w:pPr>
        <w:pStyle w:val="a0"/>
      </w:pPr>
      <w:r>
        <w:t xml:space="preserve">Why the departing tone, and not the other alternations? On the meaning-first reading the question moves from the label to the language: the *-s derivatives in these series stayed related in meaning to their bases, as far as Xu’s glosses show, while pairs linked by other alternations seldom did. That fits the standing of tone C as</w:t>
      </w:r>
      <w:r>
        <w:t xml:space="preserve"> </w:t>
      </w:r>
      <w:r>
        <w:t xml:space="preserve">“the most common derivational device in OC”</w:t>
      </w:r>
      <w:r>
        <w:t xml:space="preserve"> </w:t>
      </w:r>
      <w:r>
        <w:t xml:space="preserve">(Schuessler, 2007) and of the departing-tone alternation as the</w:t>
      </w:r>
      <w:r>
        <w:t xml:space="preserve"> </w:t>
      </w:r>
      <w:r>
        <w:t xml:space="preserve">“least controversial”</w:t>
      </w:r>
      <w:r>
        <w:t xml:space="preserve"> </w:t>
      </w:r>
      <w:r>
        <w:t xml:space="preserve">evidence of Old Chinese morphology (Zhang, 2022), and the finding that derivational processes differ in how predictable their semantics are, zero derivation not being by default the less predictable (Barbu Mititelu et al., 2026). But the numbers are small, and half the labelled *-s members are glossed by their own phonetic, so the *-s result is supported rather than secure.</w:t>
      </w:r>
    </w:p>
    <w:bookmarkEnd w:id="27"/>
    <w:bookmarkStart w:id="28" w:name="X61d98e2b9e88b431582eb5587a7aff70d0eb697"/>
    <w:p>
      <w:pPr>
        <w:pStyle w:val="3"/>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a0"/>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Direction comes from neither. The label is silent on it, and the graph’s default, the compound as the derived member, is only partly specific to derivation (75% of pure departing-tone pairs against 61% where the syllables also differ otherwise; Section 4.2): the structure of the compound favours the derived reading without establishing it.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a0"/>
      </w:pPr>
      <w:r>
        <w:t xml:space="preserve">This is, on a larger scale, the lesson Rasin et al. (2024) drew from Arad’s diagnostics (Section 2.3). It also fits paradigm-based definitions of relatedness, which require no designated base and no fixed direction (Bonami &amp; Strnadová, 2019; Hathout &amp; Namer, 2019). The label is a native judgement of the content side. Tested at the level of the population, it recovers the form relations that recur with that content, identity and the *-s alternation, and nothing about direction, which is compatible with a paradigm-based view. Relatedness evidence, native or experimental, need not carry information about direction.</w:t>
      </w:r>
    </w:p>
    <w:p>
      <w:pPr>
        <w:pStyle w:val="a0"/>
      </w:pPr>
      <w:r>
        <w:t xml:space="preserve">The homophonous labelled pairs show what the script adds. The phonology records nothing for them, yet the descriptive coding classes most as a sense given its own graph and five as conversion: the determinative marks the change of meaning without change of form that speech leaves invisible. A graphic device, not a morpheme, it shows only that the writers treated the word as distinct, but it is an overt record of a covert distinction, which diagnostics of conversion usually lack.</w:t>
      </w:r>
    </w:p>
    <w:p>
      <w:pPr>
        <w:pStyle w:val="a0"/>
      </w:pPr>
      <w:r>
        <w:t xml:space="preserve">Whether the relations the label tracks reflect a word-based or a root-based grammar of Old Chinese, or only which relations had stayed transparent, the design cannot tell. It does bear on how derivational families are delimited. A phonetic series is a graphic set whose members may share no more than a sound; within it, the label favours a core of homophonous and *-s-related pairs, set among loans and remote cognates. Families structured by recurrent form–meaning relations would correspond to this core, and a native label, once tested against a comparison group, offers a criterion for finding it.</w:t>
      </w:r>
    </w:p>
    <w:bookmarkEnd w:id="28"/>
    <w:bookmarkStart w:id="29" w:name="whose-label"/>
    <w:p>
      <w:pPr>
        <w:pStyle w:val="3"/>
      </w:pPr>
      <w:r>
        <w:t xml:space="preserve">5.4 Whose label?</w:t>
      </w:r>
    </w:p>
    <w:p>
      <w:pPr>
        <w:pStyle w:val="FirstParagraph"/>
      </w:pPr>
      <w:r>
        <w:t xml:space="preserve">The shared layer, the one most likely to go back to Xu Shen, is less often homophonous and more often remote than the Dà Xú-only layer (Table 6). If the Dà Xú-only labels are later additions, two readings fit. Whoever added them may have applied Xu’s criterion more generously, so that the extra labels fell where related pairs are densest, on homophones. Or they may have followed a narrower, sound-oriented criterion, labelling where the phonetic sounded the same and the gloss used it (as 34% of the Dà Xú-only labels do, against 22% of the shared ones), while Xu’s own labels rest on the broader judgement that the phonetic contributes meaning; much of the phonological core would then be a product of transmission. The</w:t>
      </w:r>
      <w:r>
        <w:t xml:space="preserve"> </w:t>
      </w:r>
      <w:r>
        <w:rPr>
          <w:i/>
          <w:iCs/>
        </w:rPr>
        <w:t xml:space="preserve">Shuōwén</w:t>
      </w:r>
      <w:r>
        <w:t xml:space="preserve"> </w:t>
      </w:r>
      <w:r>
        <w:t xml:space="preserve">alone cannot decide between them, but Tang witnesses, such as the manuscript fragment of the wood section, could date some of the differences. Either way the shared labels keep the contrast in meaning intact and a weaker contrast in sound, so the core is not solely an editor’s creation.</w:t>
      </w:r>
    </w:p>
    <w:p>
      <w:pPr>
        <w:pStyle w:val="a0"/>
      </w:pPr>
      <w:r>
        <w:t xml:space="preserve">Wang Yun thought that the Dà Xú had added labels, and 62 of its labels are indeed absent from the Xiǎo Xú.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and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both filed away from their base. He lets the label on </w:t>
      </w:r>
      <w:r>
        <w:rPr>
          <w:rFonts w:hint="eastAsia"/>
        </w:rPr>
        <w:t xml:space="preserve">傾,</w:t>
      </w:r>
      <w:r>
        <w:t xml:space="preserve"> homophonous with </w:t>
      </w:r>
      <w:r>
        <w:rPr>
          <w:rFonts w:hint="eastAsia"/>
        </w:rPr>
        <w:t xml:space="preserve">頃,</w:t>
      </w:r>
      <w:r>
        <w:t xml:space="preserve"> stand, and the Xiǎo Xú has it too; he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calling the Dà Xú analysis</w:t>
      </w:r>
      <w:r>
        <w:t xml:space="preserve"> </w:t>
      </w:r>
      <w:r>
        <w:t xml:space="preserve">“not the convention”</w:t>
      </w:r>
      <w:r>
        <w:t xml:space="preserve"> </w:t>
      </w:r>
      <w:r>
        <w:rPr>
          <w:rFonts w:hint="eastAsia"/>
        </w:rPr>
        <w:t xml:space="preserve">(非例;</w:t>
      </w:r>
      <w:r>
        <w:t xml:space="preserve"> Wang Yun, 1837, juan 8). In this pair, at least, what separates his decisions is the reading of the Xiǎo Xú, not the relation of sound. And one label that has served as evidence in OC reconstruction is among the unstable ones: </w:t>
      </w:r>
      <w:r>
        <w:rPr>
          <w:rFonts w:hint="eastAsia"/>
        </w:rPr>
        <w:t xml:space="preserve">喪,</w:t>
      </w:r>
      <w:r>
        <w:t xml:space="preserve"> a standard example of the prefix *s- (Mei, 2012; Sagart &amp; Baxter, 2012), is labelled only in the Dà Xú. The Xiǎo Xú still analyses it as a phonetic compound, so what is unstable is the label, not the phonetic relation.</w:t>
      </w:r>
    </w:p>
    <w:bookmarkEnd w:id="29"/>
    <w:bookmarkEnd w:id="30"/>
    <w:bookmarkStart w:id="31" w:name="limitations"/>
    <w:p>
      <w:pPr>
        <w:pStyle w:val="2"/>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judgement. The checks of Section 5.1 constrain each without proving it. The first is weakest where it matters most for H1c, since the reading tradition includes analogical creations and MC does not always show which words had *-s (Baxter &amp; Sagart, 1998, 2014).</w:t>
      </w:r>
    </w:p>
    <w:p>
      <w:pPr>
        <w:pStyle w:val="a0"/>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moreover, removed the label from the sheet but not from the coders’ memory, and both authors, like the language model, may know the analysis of common characters. The two machine passes come from one model family, so their errors may be correlated. The sample was drawn from pairs with OC forms, which favours common characters, so its odds ratio is not a population-wide semantic rate, and it contains only six related ordinary pairs, too few for the comparison that would separate the accounts in Section 5.2.</w:t>
      </w:r>
    </w:p>
    <w:p>
      <w:pPr>
        <w:pStyle w:val="a0"/>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a0"/>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31"/>
    <w:bookmarkStart w:id="33" w:name="conclusion"/>
    <w:p>
      <w:pPr>
        <w:pStyle w:val="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and in Old Chinese phonetic series relatedness is densest among homophones and pairs that differ by *-s. Across all labels, the label therefore favours these two relations above baseline, passes over the other alternations found in the same series, and says nothing about direction. The sound profile is sharpest in the labels found only in the Dà Xú and in entries glossed by their own phonetic; in the plain labels most likely to be Xu Shen’s own it is weak, while the relation of meaning is not. Wang Yun saw part of this in 1837. Tested on the whole population, his filing criterion does not separate the labels, and the labels he rejected fall on the same relations as the rest.</w:t>
      </w:r>
    </w:p>
    <w:p>
      <w:pPr>
        <w:pStyle w:val="a0"/>
      </w:pPr>
      <w:r>
        <w:t xml:space="preserve">The study is also a proof of concept. A native metalinguistic label can be tested like any other classification, against a comparison group and against independent evidence of sound and meaning. When it passes, the test shows what it measures, here relatedness, and what it does not, here direction. The same test can be turned on the tradition’s other devices, the </w:t>
      </w:r>
      <w:r>
        <w:rPr>
          <w:rFonts w:hint="eastAsia"/>
        </w:rPr>
        <w:t xml:space="preserve">讀若</w:t>
      </w:r>
      <w:r>
        <w:t xml:space="preserve"> notes, the sound glosses and Duan’s </w:t>
      </w:r>
      <w:r>
        <w:rPr>
          <w:rFonts w:hint="eastAsia"/>
        </w:rPr>
        <w:t xml:space="preserve">之言</w:t>
      </w:r>
      <w:r>
        <w:t xml:space="preserve"> glosses, and on the writing of labelled words in excavated manuscripts.</w:t>
      </w:r>
    </w:p>
    <w:p>
      <w:r>
        <w:pict>
          <v:rect style="width:0;height:1.5pt" o:hralign="center" o:hrstd="t" o:hr="t"/>
        </w:pict>
      </w:r>
    </w:p>
    <w:p>
      <w:pPr>
        <w:pStyle w:val="FirstParagraph"/>
      </w:pPr>
      <w:r>
        <w:rPr>
          <w:b/>
          <w:bCs/>
        </w:rPr>
        <w:t xml:space="preserve">Data availability</w:t>
      </w:r>
      <w:r>
        <w:t xml:space="preserve"> </w:t>
      </w:r>
      <w:r>
        <w:t xml:space="preserve">The dataset, codes and analysis scripts are available at</w:t>
      </w:r>
      <w:r>
        <w:t xml:space="preserve"> </w:t>
      </w:r>
      <w:hyperlink r:id="rId32">
        <w:r>
          <w:rPr>
            <w:rStyle w:val="af"/>
          </w:rPr>
          <w:t xml:space="preserve">WuYusen825/Morphology</w:t>
        </w:r>
      </w:hyperlink>
      <w:r>
        <w:t xml:space="preserve">, in</w:t>
      </w:r>
      <w:r>
        <w:t xml:space="preserve"> </w:t>
      </w:r>
      <w:r>
        <w:rPr>
          <w:rStyle w:val="VerbatimChar"/>
        </w:rPr>
        <w:t xml:space="preserve">youwen/</w:t>
      </w:r>
      <w:r>
        <w:t xml:space="preserve">. The blind semantic pass is in</w:t>
      </w:r>
      <w:r>
        <w:t xml:space="preserve"> </w:t>
      </w:r>
      <w:r>
        <w:rPr>
          <w:rStyle w:val="VerbatimChar"/>
        </w:rPr>
        <w:t xml:space="preserve">blind_coding_sheet_llm_coded.xlsx</w:t>
      </w:r>
      <w:r>
        <w:t xml:space="preserve"> </w:t>
      </w:r>
      <w:r>
        <w:t xml:space="preserve">(sheet </w:t>
      </w:r>
      <w:r>
        <w:rPr>
          <w:rFonts w:hint="eastAsia"/>
        </w:rPr>
        <w:t xml:space="preserve">编码,</w:t>
      </w:r>
      <w:r>
        <w:t xml:space="preserve"> column </w:t>
      </w:r>
      <w:r>
        <w:rPr>
          <w:rFonts w:hint="eastAsia"/>
        </w:rPr>
        <w:t xml:space="preserve">语义关系(Y/E/N/X)),</w:t>
      </w:r>
      <w:r>
        <w:t xml:space="preserve"> with the coding instructions on its sheet </w:t>
      </w:r>
      <w:r>
        <w:rPr>
          <w:rFonts w:hint="eastAsia"/>
        </w:rPr>
        <w:t xml:space="preserve">说明</w:t>
      </w:r>
      <w:r>
        <w:t xml:space="preserve"> and in</w:t>
      </w:r>
      <w:r>
        <w:t xml:space="preserve"> </w:t>
      </w:r>
      <w:r>
        <w:rPr>
          <w:rStyle w:val="VerbatimChar"/>
        </w:rPr>
        <w:t xml:space="preserve">blind_coding_llm_protocol.md</w:t>
      </w:r>
      <w:r>
        <w:t xml:space="preserve">; the first pass is the column</w:t>
      </w:r>
      <w:r>
        <w:t xml:space="preserve"> </w:t>
      </w:r>
      <w:r>
        <w:rPr>
          <w:rStyle w:val="VerbatimChar"/>
        </w:rPr>
        <w:t xml:space="preserve">code_core</w:t>
      </w:r>
      <w:r>
        <w:t xml:space="preserve"> </w:t>
      </w:r>
      <w:r>
        <w:t xml:space="preserve">of</w:t>
      </w:r>
      <w:r>
        <w:t xml:space="preserve"> </w:t>
      </w:r>
      <w:r>
        <w:rPr>
          <w:rStyle w:val="VerbatimChar"/>
        </w:rPr>
        <w:t xml:space="preserve">yisheng_claude_codes.csv</w:t>
      </w:r>
      <w:r>
        <w:t xml:space="preserve">. The supplementary analyses reported here, including the combined checks of Table 7, are in</w:t>
      </w:r>
      <w:r>
        <w:t xml:space="preserve"> </w:t>
      </w:r>
      <w:r>
        <w:rPr>
          <w:rStyle w:val="VerbatimChar"/>
        </w:rPr>
        <w:t xml:space="preserve">yisheng_models_v7_checks.csv</w:t>
      </w:r>
      <w:r>
        <w:t xml:space="preserve">, produced by</w:t>
      </w:r>
      <w:r>
        <w:t xml:space="preserve"> </w:t>
      </w:r>
      <w:r>
        <w:rPr>
          <w:rStyle w:val="VerbatimChar"/>
        </w:rPr>
        <w:t xml:space="preserve">scripts/yisheng_v7_checks.py</w:t>
      </w:r>
      <w:r>
        <w:t xml:space="preserve">. The Dà Xú spot-check register, source-check ledger and coding provenance note are in</w:t>
      </w:r>
      <w:r>
        <w:t xml:space="preserve"> </w:t>
      </w:r>
      <w:r>
        <w:rPr>
          <w:rStyle w:val="VerbatimChar"/>
        </w:rPr>
        <w:t xml:space="preserve">youwen/manuscript/</w:t>
      </w:r>
      <w:r>
        <w:t xml:space="preserve">. An archived snapshot with a DOI will be deposited before publication. Some characters (e.g., </w:t>
      </w:r>
      <w:r>
        <w:rPr>
          <w:rFonts w:hint="eastAsia"/>
        </w:rPr>
        <w:t xml:space="preserve">𠔁,</w:t>
      </w:r>
      <w:r>
        <w:t xml:space="preserve"> </w:t>
      </w:r>
      <w:r>
        <w:rPr>
          <w:rFonts w:hint="eastAsia"/>
        </w:rPr>
        <w:t xml:space="preserve">𨻺,</w:t>
      </w:r>
      <w:r>
        <w:t xml:space="preserve"> 䢈) need a font that covers the CJK extension blocks.</w:t>
      </w:r>
    </w:p>
    <w:p>
      <w:pPr>
        <w:pStyle w:val="a0"/>
      </w:pPr>
      <w:r>
        <w:rPr>
          <w:b/>
          <w:bCs/>
        </w:rPr>
        <w:t xml:space="preserve">Declarations</w:t>
      </w:r>
      <w:r>
        <w:t xml:space="preserve"> </w:t>
      </w:r>
      <w:r>
        <w:t xml:space="preserve">Yusen Wu and Weiyi Qu each coded the semantic sample independently from the unlabelled sheet and checked it against the blind machine coding, and jointly reviewed the relation types of the homophonous pairs. Affiliation, funding and competing-interest statements will be completed for submission.</w:t>
      </w:r>
    </w:p>
    <w:p>
      <w:pPr>
        <w:pStyle w:val="a0"/>
      </w:pPr>
      <w:r>
        <w:rPr>
          <w:b/>
          <w:bCs/>
        </w:rPr>
        <w:t xml:space="preserve">Use of AI tools</w:t>
      </w:r>
      <w:r>
        <w:t xml:space="preserve"> </w:t>
      </w:r>
      <w:r>
        <w:t xml:space="preserve">Claude (Anthropic) assisted with data extraction, recension collation, statistical scripting and drafting. The semantic coding analysed here was made blind by a separate Claude instance; a first, non-blind pass by the instance that built the dataset is reported for comparison, and the authors verified the blind coding item by item. Codex (OpenAI) assisted with source checks and revision planning. The authors take responsibility for the analyses and the text; the machine-assisted materials are retained in the repository for provenance.</w:t>
      </w:r>
    </w:p>
    <w:p>
      <w:r>
        <w:pict>
          <v:rect style="width:0;height:1.5pt" o:hralign="center" o:hrstd="t" o:hr="t"/>
        </w:pict>
      </w:r>
    </w:p>
    <w:bookmarkEnd w:id="33"/>
    <w:bookmarkStart w:id="34" w:name="references"/>
    <w:p>
      <w:pPr>
        <w:pStyle w:val="2"/>
      </w:pPr>
      <w:r>
        <w:t xml:space="preserve">References</w:t>
      </w:r>
    </w:p>
    <w:p>
      <w:pPr>
        <w:pStyle w:val="FirstParagraph"/>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a0"/>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a0"/>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a0"/>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w:t>
      </w:r>
    </w:p>
    <w:p>
      <w:pPr>
        <w:pStyle w:val="a0"/>
      </w:pPr>
      <w:r>
        <w:t xml:space="preserve">Baxter, W. H., &amp; Sagart, L. (2014).</w:t>
      </w:r>
      <w:r>
        <w:t xml:space="preserve"> </w:t>
      </w:r>
      <w:r>
        <w:rPr>
          <w:i/>
          <w:iCs/>
        </w:rPr>
        <w:t xml:space="preserve">Old Chinese: A new reconstruction</w:t>
      </w:r>
      <w:r>
        <w:t xml:space="preserve">. Oxford University Press.</w:t>
      </w:r>
    </w:p>
    <w:p>
      <w:pPr>
        <w:pStyle w:val="a0"/>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a0"/>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a0"/>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a0"/>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a0"/>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a0"/>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a0"/>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a0"/>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a0"/>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a0"/>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a0"/>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a0"/>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a0"/>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a0"/>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a0"/>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a0"/>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a0"/>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a0"/>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a0"/>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a0"/>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a0"/>
      </w:pPr>
      <w:r>
        <w:t xml:space="preserve">Sagart, L. (1999).</w:t>
      </w:r>
      <w:r>
        <w:t xml:space="preserve"> </w:t>
      </w:r>
      <w:r>
        <w:rPr>
          <w:i/>
          <w:iCs/>
        </w:rPr>
        <w:t xml:space="preserve">The roots of Old Chinese</w:t>
      </w:r>
      <w:r>
        <w:t xml:space="preserve">. John Benjamins.</w:t>
      </w:r>
    </w:p>
    <w:p>
      <w:pPr>
        <w:pStyle w:val="a0"/>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a0"/>
      </w:pPr>
      <w:r>
        <w:t xml:space="preserve">Schuessler, A. (2007).</w:t>
      </w:r>
      <w:r>
        <w:t xml:space="preserve"> </w:t>
      </w:r>
      <w:r>
        <w:rPr>
          <w:i/>
          <w:iCs/>
        </w:rPr>
        <w:t xml:space="preserve">ABC etymological dictionary of Old Chinese</w:t>
      </w:r>
      <w:r>
        <w:t xml:space="preserve">. University of Hawai’i Press.</w:t>
      </w:r>
    </w:p>
    <w:p>
      <w:pPr>
        <w:pStyle w:val="a0"/>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a0"/>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a0"/>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a0"/>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a0"/>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a0"/>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a0"/>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a0"/>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a0"/>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34"/>
    <w:sectPr w:rsidR="001E7AC3">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B128FA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024B1A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00086106" w:numId="1">
    <w:abstractNumId w:val="0"/>
  </w:num>
  <w:num w16cid:durableId="1122724509" w:numId="2">
    <w:abstractNumId w:val="1"/>
  </w: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1E7AC3"/>
    <w:rsid w:val="001E7AC3"/>
    <w:rsid w:val="003A44C0"/>
    <w:rsid w:val="004149FF"/>
    <w:rsid w:val="009A31C6"/>
    <w:rsid w:val="00B43F4D"/>
    <w:rsid w:val="00E33B98"/>
    <w:rsid w:val="00E8744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ascii="Times New Roman" w:cs="Times New Roman" w:eastAsia="宋体" w:hAnsi="Times New Roman"/>
    </w:rPr>
  </w:style>
  <w:style w:styleId="1" w:type="paragraph">
    <w:name w:val="heading 1"/>
    <w:basedOn w:val="a"/>
    <w:next w:val="a0"/>
    <w:link w:val="10"/>
    <w:uiPriority w:val="9"/>
    <w:qFormat/>
    <w:rsid w:val="00A10FD9"/>
    <w:pPr>
      <w:keepNext/>
      <w:keepLines/>
      <w:spacing w:after="80" w:before="360"/>
      <w:outlineLvl w:val="0"/>
    </w:pPr>
    <w:rPr>
      <w:color w:val="000000"/>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color w:val="000000"/>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color w:val="000000"/>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Pr>
      <w:rFonts w:ascii="Times New Roman" w:cs="Times New Roman" w:eastAsia="宋体" w:hAnsi="Times New Roman"/>
      <w:sz w:val="20"/>
      <w:szCs w:val="20"/>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0" w:type="character">
    <w:name w:val="annotation reference"/>
    <w:basedOn w:val="a1"/>
    <w:rsid w:val="009A31C6"/>
    <w:rPr>
      <w:sz w:val="21"/>
      <w:szCs w:val="21"/>
    </w:rPr>
  </w:style>
  <w:style w:styleId="af1" w:type="paragraph">
    <w:name w:val="annotation text"/>
    <w:basedOn w:val="a"/>
    <w:link w:val="af2"/>
    <w:rsid w:val="009A31C6"/>
  </w:style>
  <w:style w:customStyle="1" w:styleId="af2" w:type="character">
    <w:name w:val="批注文字 字符"/>
    <w:basedOn w:val="a1"/>
    <w:link w:val="af1"/>
    <w:rsid w:val="009A31C6"/>
    <w:rPr>
      <w:rFonts w:ascii="Times New Roman" w:cs="Times New Roman" w:eastAsia="宋体" w:hAnsi="Times New Roman"/>
    </w:rPr>
  </w:style>
  <w:style w:styleId="af3" w:type="paragraph">
    <w:name w:val="annotation subject"/>
    <w:basedOn w:val="af1"/>
    <w:next w:val="af1"/>
    <w:link w:val="af4"/>
    <w:rsid w:val="009A31C6"/>
    <w:rPr>
      <w:b/>
      <w:bCs/>
    </w:rPr>
  </w:style>
  <w:style w:customStyle="1" w:styleId="af4" w:type="character">
    <w:name w:val="批注主题 字符"/>
    <w:basedOn w:val="af2"/>
    <w:link w:val="af3"/>
    <w:rsid w:val="009A31C6"/>
    <w:rPr>
      <w:rFonts w:ascii="Times New Roman" w:cs="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github.com/WuYusen825/Morphology"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WuYusen825/Morph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7994</Words>
  <Characters>45572</Characters>
  <Application>Microsoft Office Word</Application>
  <DocSecurity>0</DocSecurity>
  <Lines>379</Lines>
  <Paragraphs>106</Paragraphs>
  <ScaleCrop>false</ScaleCrop>
  <Company/>
  <LinksUpToDate>false</LinksUpToDate>
  <CharactersWithSpaces>53460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Yusen Wu and Weiyi Qu</dc:creator>
  <cp:keywords/>
  <dcterms:created xsi:type="dcterms:W3CDTF">2026-09-30T04:11:44Z</dcterms:created>
  <dcterms:modified xsi:type="dcterms:W3CDTF">2026-09-30T04:11:44Z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v7, 30 September 2026</vt:lpwstr>
  </property>
</Properties>
</file>