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Yusen Wu and Weiyi Qu</w:t>
      </w:r>
    </w:p>
    <w:p>
      <w:pPr>
        <w:pStyle w:val="a8"/>
      </w:pPr>
      <w:r>
        <w:t xml:space="preserve">v8, 30 September 2026</w:t>
      </w:r>
    </w:p>
    <w:p>
      <w:pPr>
        <w:pStyle w:val="FirstParagraph"/>
      </w:pPr>
      <w:r>
        <w:rPr>
          <w:b/>
          <w:bCs/>
        </w:rPr>
        <w:t xml:space="preserve">Abstract</w:t>
      </w:r>
    </w:p>
    <w:p>
      <w:pPr>
        <w:pStyle w:val="a0"/>
      </w:pPr>
      <w:r>
        <w:t xml:space="preserve">How can derivational relations be identified where morphology is largely absent from the written record? We ask whether a native analyst’s classification can serve as evidence, and for which part of a derivation. The</w:t>
      </w:r>
      <w:r>
        <w:t xml:space="preserve"> </w:t>
      </w:r>
      <w:r>
        <w:rPr>
          <w:i/>
          <w:iCs/>
        </w:rPr>
        <w:t xml:space="preserve">Shuōwén jiězì</w:t>
      </w:r>
      <w:r>
        <w:t xml:space="preserve"> </w:t>
      </w:r>
      <w:r>
        <w:t xml:space="preserve">(100 CE) analyses about two hundred characters as</w:t>
      </w:r>
      <w:r>
        <w:t xml:space="preserve"> </w:t>
      </w:r>
      <w:r>
        <w:rPr>
          <w:i/>
          <w:iCs/>
        </w:rPr>
        <w:t xml:space="preserve">yìshēng</w:t>
      </w:r>
      <w:r>
        <w:t xml:space="preserve"> </w:t>
      </w:r>
      <w:r>
        <w:rPr>
          <w:rFonts w:hint="eastAsia"/>
        </w:rPr>
        <w:t xml:space="preserve">亦聲,</w:t>
      </w:r>
      <w:r>
        <w:t xml:space="preserve"> their meaningful component being</w:t>
      </w:r>
      <w:r>
        <w:t xml:space="preserve"> </w:t>
      </w:r>
      <w:r>
        <w:t xml:space="preserve">“also the phonetic”</w:t>
      </w:r>
      <w:r>
        <w:t xml:space="preserve">. We compare all 212 labelled entries of the Dà Xú recension with the 953 ordinary phonetic compounds on the same 172 phonetics, using Middle Chinese readings, Old Chinese reconstructions and a blind semantic coding of 767 pairs. Labelled characters are more than twice as often homophonous with their phonetic (35.6% vs 15.5%) and are enriched in departing-tone alternations, the reflex of the Old Chinese suffix *-s, but not in other alternations of tone or voicing. They are far more often related in meaning (82% vs 17%), but the label carries no detectable information about which member is derived. In a test specified before the enlarged coding, related labelled pairs are still more often homophonous or departing-tone alternants than related ordinary pairs (52% vs 29%), which meaning alone should not produce. The preference is moderate, and like the other sound effects it weakens in the labels most likely to be Xu Shen’s own, where the contrast in meaning does not. We argue that the label is evidence of lexical relatedness with a moderate preference for the same word or a minimal derivative, and that where morphology is covert, relatedness, formal relation and direction must be diagnosed separately.</w:t>
      </w:r>
    </w:p>
    <w:p>
      <w:pPr>
        <w:pStyle w:val="a0"/>
      </w:pPr>
      <w:r>
        <w:rPr>
          <w:b/>
          <w:bCs/>
        </w:rPr>
        <w:t xml:space="preserve">Keywords</w:t>
      </w:r>
      <w:r>
        <w:t xml:space="preserve"> </w:t>
      </w:r>
      <w:r>
        <w:t xml:space="preserve">Lexical relatedness · Derivation · Conversion · Old Chinese · Suffix *-s · Writing systems · Metalinguistic evidence</w:t>
      </w:r>
    </w:p>
    <w:p>
      <w:r>
        <w:pict>
          <v:rect style="width:0;height:1.5pt" o:hralign="center" o:hrstd="t" o:hr="t"/>
        </w:pict>
      </w:r>
    </w:p>
    <w:bookmarkStart w:id="9" w:name="introduction"/>
    <w:p>
      <w:pPr>
        <w:pStyle w:val="2"/>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must be argued on other grounds (e.g., Ševčíková &amp; Hledíková, 2026), and the diagnostics proposed do not always hold up (Rasin et al., 2024). Old Chinese presents the problem in an extreme form: its affixes are reconstructed rather than observed, several left no trace in the Middle Chinese syllable, and its script writes whole syllables, so that no affix is ever written on its own. This paper asks whether evidence of an independent kind, a native analyst’s classification, can diagnose derivation, and which part of it.</w:t>
      </w:r>
    </w:p>
    <w:p>
      <w:pPr>
        <w:pStyle w:val="a0"/>
      </w:pPr>
      <w:r>
        <w:t xml:space="preserve">Most Chinese characters are phonetic compounds </w:t>
      </w:r>
      <w:r>
        <w:rPr>
          <w:rFonts w:hint="eastAsia"/>
        </w:rPr>
        <w:t xml:space="preserve">(形聲字),</w:t>
      </w:r>
      <w:r>
        <w:t xml:space="preserve"> which join a semantic element to a phonetic element that is itself a character; compounds sharing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Middle Chinese (MC, c. 600 CE) pronunciations, recorded in rhyme books, can be compared directly;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encoffined dead’</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a0"/>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2.1). But he counted nothing and compared no sounds.</w:t>
      </w:r>
    </w:p>
    <w:p>
      <w:pPr>
        <w:pStyle w:val="a0"/>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it: MC readings, OC reconstructions and a semantic coding made blind to it. The label covaries with this evidence, selectively: labelled pairs are enriched in identity of sound and the departing-tone alternation but not in the series’ other alternations, are far more often related in meaning, and are, even among related pairs, more often identical or *-s related; but the label says nothing about which member is derived. In the labels most likely to be Xu’s own, however, the sound effects weaken while the relation of meaning does not.</w:t>
      </w:r>
    </w:p>
    <w:p>
      <w:pPr>
        <w:pStyle w:val="a0"/>
      </w:pPr>
      <w:r>
        <w:t xml:space="preserve">The paper makes three contributions. It gives Wang’s account its first population-level, phonologically controlled test. It shows how a native classification can be validated like any other, against a within-series baseline and independent evidence, and finds that what this one tracks is lexical relatedness, with a moderate preference for homophones and *-s pairs, rather than derivation with a direction. And it argues that relatedness, formal relation and direction, which overt morphology supplies together, must be diagnosed separately where morphology is covert.</w:t>
      </w:r>
    </w:p>
    <w:bookmarkEnd w:id="9"/>
    <w:bookmarkStart w:id="14" w:name="background"/>
    <w:p>
      <w:pPr>
        <w:pStyle w:val="2"/>
      </w:pPr>
      <w:r>
        <w:t xml:space="preserve">2 Background</w:t>
      </w:r>
    </w:p>
    <w:bookmarkStart w:id="10" w:name="X3629ca0989c67cb5e07442910b75b5559b9df83"/>
    <w:p>
      <w:pPr>
        <w:pStyle w:val="3"/>
      </w:pPr>
      <w:r>
        <w:t xml:space="preserve">2.1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a0"/>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a0"/>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10"/>
    <w:bookmarkStart w:id="11" w:name="derivation-in-old-chinese"/>
    <w:p>
      <w:pPr>
        <w:pStyle w:val="3"/>
      </w:pPr>
      <w:r>
        <w:t xml:space="preserve">2.2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a0"/>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11"/>
    <w:bookmarkStart w:id="12" w:name="X12ad8db4ba35cc53038dbfc0df125dcc9f40183"/>
    <w:p>
      <w:pPr>
        <w:pStyle w:val="3"/>
      </w:pPr>
      <w:r>
        <w:t xml:space="preserve">2.3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a0"/>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a0"/>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12"/>
    <w:bookmarkStart w:id="13" w:name="four-accounts-and-their-predictions"/>
    <w:p>
      <w:pPr>
        <w:pStyle w:val="3"/>
      </w:pPr>
      <w:r>
        <w:t xml:space="preserve">2.4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related pairs in their series, whatever it is.</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w:t>
      </w:r>
    </w:p>
    <w:p>
      <w:pPr>
        <w:numPr>
          <w:ilvl w:val="0"/>
          <w:numId w:val="1001"/>
        </w:numPr>
      </w:pPr>
      <w:r>
        <w:t xml:space="preserve">If the effect reflects lexicon-wide systematicity, labelled and ordinary members of the same series should differ little.</w:t>
      </w:r>
    </w:p>
    <w:p>
      <w:pPr>
        <w:pStyle w:val="FirstParagraph"/>
      </w:pPr>
      <w:r>
        <w:rPr>
          <w:b/>
          <w:bCs/>
        </w:rPr>
        <w:t xml:space="preserve">Table 1</w:t>
      </w:r>
      <w:r>
        <w:t xml:space="preserve"> </w:t>
      </w:r>
      <w:r>
        <w:t xml:space="preserve">Predictions of four accounts of the label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 Meaning first</w:t>
            </w:r>
          </w:p>
        </w:tc>
        <w:tc>
          <w:tcPr/>
          <w:p>
            <w:pPr>
              <w:pStyle w:val="Compact"/>
            </w:pPr>
            <w:r>
              <w:t xml:space="preserve">(B) General derivation</w:t>
            </w:r>
          </w:p>
        </w:tc>
        <w:tc>
          <w:tcPr/>
          <w:p>
            <w:pPr>
              <w:pStyle w:val="Compact"/>
            </w:pPr>
            <w:r>
              <w:t xml:space="preserve">(C) Same word or minimal derivative</w:t>
            </w:r>
          </w:p>
        </w:tc>
        <w:tc>
          <w:tcPr/>
          <w:p>
            <w:pPr>
              <w:pStyle w:val="Compact"/>
            </w:pPr>
            <w:r>
              <w:t xml:space="preserve">(D) Systematicity</w:t>
            </w:r>
          </w:p>
        </w:tc>
      </w:tr>
      <w:tr>
        <w:tc>
          <w:tcPr/>
          <w:p>
            <w:pPr>
              <w:pStyle w:val="Compact"/>
            </w:pPr>
            <w:r>
              <w:t xml:space="preserve">Identity of sound (H1a)</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Departing-tone alternation (H1c, step 1)</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Other alternations (H1b without the departing tone)</w:t>
            </w:r>
          </w:p>
        </w:tc>
        <w:tc>
          <w:tcPr/>
          <w:p>
            <w:pPr>
              <w:pStyle w:val="Compact"/>
            </w:pPr>
            <w:r>
              <w:t xml:space="preserve">0</w:t>
            </w:r>
            <w:r>
              <w:rPr>
                <w:vertAlign w:val="superscript"/>
              </w:rPr>
              <w:t xml:space="preserve">a</w:t>
            </w:r>
          </w:p>
        </w:tc>
        <w:tc>
          <w:tcPr/>
          <w:p>
            <w:pPr>
              <w:pStyle w:val="Compact"/>
            </w:pPr>
            <w:r>
              <w:t xml:space="preserve">+</w:t>
            </w:r>
          </w:p>
        </w:tc>
        <w:tc>
          <w:tcPr/>
          <w:p>
            <w:pPr>
              <w:pStyle w:val="Compact"/>
            </w:pPr>
            <w:r>
              <w:t xml:space="preserve">0</w:t>
            </w:r>
          </w:p>
        </w:tc>
        <w:tc>
          <w:tcPr/>
          <w:p>
            <w:pPr>
              <w:pStyle w:val="Compact"/>
            </w:pPr>
            <w:r>
              <w:t xml:space="preserve">small</w:t>
            </w:r>
          </w:p>
        </w:tc>
      </w:tr>
      <w:tr>
        <w:tc>
          <w:tcPr/>
          <w:p>
            <w:pPr>
              <w:pStyle w:val="Compact"/>
            </w:pPr>
            <w:r>
              <w:t xml:space="preserve">Relatedness of meaning (H2)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Direction of *-s pairs</w:t>
            </w:r>
          </w:p>
        </w:tc>
        <w:tc>
          <w:tcPr/>
          <w:p>
            <w:pPr>
              <w:pStyle w:val="Compact"/>
            </w:pPr>
            <w:r>
              <w:t xml:space="preserve">–</w:t>
            </w:r>
          </w:p>
        </w:tc>
        <w:tc>
          <w:tcPr/>
          <w:p>
            <w:pPr>
              <w:pStyle w:val="Compact"/>
            </w:pPr>
            <w:r>
              <w:t xml:space="preserve">label picks the derived member</w:t>
            </w:r>
          </w:p>
        </w:tc>
        <w:tc>
          <w:tcPr/>
          <w:p>
            <w:pPr>
              <w:pStyle w:val="Compact"/>
            </w:pPr>
            <w:r>
              <w:t xml:space="preserve">no difference</w:t>
            </w:r>
          </w:p>
        </w:tc>
        <w:tc>
          <w:tcPr/>
          <w:p>
            <w:pPr>
              <w:pStyle w:val="Compact"/>
            </w:pPr>
            <w:r>
              <w:t xml:space="preserve">–</w:t>
            </w:r>
          </w:p>
        </w:tc>
      </w:tr>
      <w:tr>
        <w:tc>
          <w:tcPr/>
          <w:p>
            <w:pPr>
              <w:pStyle w:val="Compact"/>
            </w:pPr>
            <w:r>
              <w:t xml:space="preserve">Sound among related pairs</w:t>
            </w:r>
          </w:p>
        </w:tc>
        <w:tc>
          <w:tcPr/>
          <w:p>
            <w:pPr>
              <w:pStyle w:val="Compact"/>
            </w:pPr>
            <w:r>
              <w:t xml:space="preserve">no difference</w:t>
            </w:r>
          </w:p>
        </w:tc>
        <w:tc>
          <w:tcPr/>
          <w:p>
            <w:pPr>
              <w:pStyle w:val="Compact"/>
            </w:pPr>
            <w:r>
              <w:t xml:space="preserve">+</w:t>
            </w:r>
          </w:p>
        </w:tc>
        <w:tc>
          <w:tcPr/>
          <w:p>
            <w:pPr>
              <w:pStyle w:val="Compact"/>
            </w:pPr>
            <w:r>
              <w:t xml:space="preserve">+</w:t>
            </w:r>
          </w:p>
        </w:tc>
        <w:tc>
          <w:tcPr/>
          <w:p>
            <w:pPr>
              <w:pStyle w:val="Compact"/>
            </w:pPr>
            <w:r>
              <w:t xml:space="preserve">–</w:t>
            </w:r>
          </w:p>
        </w:tc>
      </w:tr>
    </w:tbl>
    <w:p>
      <w:pPr>
        <w:pStyle w:val="a0"/>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many pairs related in meaning on both sides of the label. The analysis is organised by directional hypotheses H1a to H2 and H5 and exploratory comparisons H3 and H4:</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(departing tone).</w:t>
      </w:r>
      <w:r>
        <w:t xml:space="preserve"> </w:t>
      </w:r>
      <w:r>
        <w:t xml:space="preserve">Among pairs differing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more often related in meaning to their phonetic,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Compact"/>
        <w:numPr>
          <w:ilvl w:val="0"/>
          <w:numId w:val="1003"/>
        </w:numPr>
      </w:pPr>
      <w:r>
        <w:rPr>
          <w:b/>
          <w:bCs/>
        </w:rPr>
        <w:t xml:space="preserve">H5 (sound among related pairs).</w:t>
      </w:r>
      <w:r>
        <w:t xml:space="preserve"> </w:t>
      </w:r>
      <w:r>
        <w:t xml:space="preserve">Among pairs related in meaning, labelled ones are more often identical or departing-tone alternants, as (C) predicts and (A) does not.</w:t>
      </w:r>
    </w:p>
    <w:p>
      <w:pPr>
        <w:pStyle w:val="FirstParagraph"/>
      </w:pPr>
      <w:r>
        <w:t xml:space="preserve">H1 to H4 were refined after an initial look at this population, so Table 1 gives an order of presentation, not a record of prediction. H5 was specified, with its decision rule, before the enlarged coding was made (Section 3.3). H1c as stated combines (B)’s claim about the derived member with (C)’s claim about *-s; Section 4.2 separates the two.</w:t>
      </w:r>
    </w:p>
    <w:bookmarkEnd w:id="13"/>
    <w:bookmarkEnd w:id="14"/>
    <w:bookmarkStart w:id="19" w:name="data-and-method"/>
    <w:p>
      <w:pPr>
        <w:pStyle w:val="2"/>
      </w:pPr>
      <w:r>
        <w:t xml:space="preserve">3 Data and method</w:t>
      </w:r>
    </w:p>
    <w:bookmarkStart w:id="15" w:name="population-and-comparison-group"/>
    <w:p>
      <w:pPr>
        <w:pStyle w:val="3"/>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with the passages quoted in examples, against the Waseda University Library scan of Chen Changzhi’s 1873 edition, a targeted check, not a random sample or a complete collation.</w:t>
      </w:r>
    </w:p>
    <w:p>
      <w:pPr>
        <w:pStyle w:val="a0"/>
      </w:pPr>
      <w:r>
        <w:rPr>
          <w:b/>
          <w:bCs/>
        </w:rPr>
        <w:t xml:space="preserve">Table 2</w:t>
      </w:r>
      <w:r>
        <w:t xml:space="preserve"> </w:t>
      </w:r>
      <w:r>
        <w:t xml:space="preserve">Population and subsets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Set</w:t>
            </w:r>
          </w:p>
        </w:tc>
        <w:tc>
          <w:tcPr/>
          <w:p>
            <w:pPr>
              <w:pStyle w:val="Compact"/>
              <w:jc w:val="right"/>
            </w:pPr>
            <w:r>
              <w:t xml:space="preserve">Labelled</w:t>
            </w:r>
          </w:p>
        </w:tc>
        <w:tc>
          <w:tcPr/>
          <w:p>
            <w:pPr>
              <w:pStyle w:val="Compact"/>
              <w:jc w:val="right"/>
            </w:pPr>
            <w:r>
              <w:t xml:space="preserve">Ordinary</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p>
        </w:tc>
        <w:tc>
          <w:tcPr/>
          <w:p>
            <w:pPr>
              <w:pStyle w:val="Compact"/>
              <w:jc w:val="right"/>
            </w:pPr>
            <w:r>
              <w:t xml:space="preserve">227</w:t>
            </w:r>
          </w:p>
        </w:tc>
        <w:tc>
          <w:tcPr/>
          <w:p>
            <w:pPr>
              <w:pStyle w:val="Compact"/>
            </w:pPr>
          </w:p>
        </w:tc>
        <w:tc>
          <w:tcPr/>
          <w:p>
            <w:pPr>
              <w:pStyle w:val="Compact"/>
            </w:pPr>
          </w:p>
        </w:tc>
      </w:tr>
      <w:tr>
        <w:tc>
          <w:tcPr/>
          <w:p>
            <w:pPr>
              <w:pStyle w:val="Compact"/>
            </w:pPr>
            <w:r>
              <w:t xml:space="preserve">Analysis set (minus 4 false hits and 11</w:t>
            </w:r>
            <w:r>
              <w:t xml:space="preserve"> </w:t>
            </w:r>
            <w:r>
              <w:rPr>
                <w:i/>
                <w:iCs/>
              </w:rPr>
              <w:t xml:space="preserve">xīnfù</w:t>
            </w:r>
            <w:r>
              <w:t xml:space="preserve">)</w:t>
            </w:r>
          </w:p>
        </w:tc>
        <w:tc>
          <w:tcPr/>
          <w:p>
            <w:pPr>
              <w:pStyle w:val="Compact"/>
              <w:jc w:val="right"/>
            </w:pPr>
            <w:r>
              <w:t xml:space="preserve">212</w:t>
            </w:r>
          </w:p>
        </w:tc>
        <w:tc>
          <w:tcPr/>
          <w:p>
            <w:pPr>
              <w:pStyle w:val="Compact"/>
              <w:jc w:val="right"/>
            </w:pPr>
            <w:r>
              <w:t xml:space="preserve">953</w:t>
            </w:r>
          </w:p>
        </w:tc>
        <w:tc>
          <w:tcPr/>
          <w:p>
            <w:pPr>
              <w:pStyle w:val="Compact"/>
              <w:jc w:val="right"/>
            </w:pPr>
            <w:r>
              <w:t xml:space="preserve">172</w:t>
            </w:r>
          </w:p>
        </w:tc>
      </w:tr>
      <w:tr>
        <w:tc>
          <w:tcPr/>
          <w:p>
            <w:pPr>
              <w:pStyle w:val="Compact"/>
            </w:pPr>
            <w:r>
              <w:t xml:space="preserve">Pairs with MC readings at both ends</w:t>
            </w:r>
          </w:p>
        </w:tc>
        <w:tc>
          <w:tcPr/>
          <w:p>
            <w:pPr>
              <w:pStyle w:val="Compact"/>
              <w:jc w:val="right"/>
            </w:pPr>
            <w:r>
              <w:t xml:space="preserve">177</w:t>
            </w:r>
          </w:p>
        </w:tc>
        <w:tc>
          <w:tcPr/>
          <w:p>
            <w:pPr>
              <w:pStyle w:val="Compact"/>
              <w:jc w:val="right"/>
            </w:pPr>
            <w:r>
              <w:t xml:space="preserve">858</w:t>
            </w:r>
          </w:p>
        </w:tc>
        <w:tc>
          <w:tcPr/>
          <w:p>
            <w:pPr>
              <w:pStyle w:val="Compact"/>
              <w:jc w:val="right"/>
            </w:pPr>
            <w:r>
              <w:t xml:space="preserve">152</w:t>
            </w:r>
          </w:p>
        </w:tc>
      </w:tr>
      <w:tr>
        <w:tc>
          <w:tcPr/>
          <w:p>
            <w:pPr>
              <w:pStyle w:val="Compact"/>
            </w:pPr>
            <w:r>
              <w:t xml:space="preserve">Pairs with Baxter–Sagart OC forms at both ends</w:t>
            </w:r>
          </w:p>
        </w:tc>
        <w:tc>
          <w:tcPr/>
          <w:p>
            <w:pPr>
              <w:pStyle w:val="Compact"/>
              <w:jc w:val="right"/>
            </w:pPr>
            <w:r>
              <w:t xml:space="preserve">60</w:t>
            </w:r>
          </w:p>
        </w:tc>
        <w:tc>
          <w:tcPr/>
          <w:p>
            <w:pPr>
              <w:pStyle w:val="Compact"/>
              <w:jc w:val="right"/>
            </w:pPr>
            <w:r>
              <w:t xml:space="preserve">249</w:t>
            </w:r>
          </w:p>
        </w:tc>
        <w:tc>
          <w:tcPr/>
          <w:p>
            <w:pPr>
              <w:pStyle w:val="Compact"/>
            </w:pPr>
          </w:p>
        </w:tc>
      </w:tr>
      <w:tr>
        <w:tc>
          <w:tcPr/>
          <w:p>
            <w:pPr>
              <w:pStyle w:val="Compact"/>
            </w:pPr>
            <w:r>
              <w:t xml:space="preserve">First blind semantic sample, proper names excluded</w:t>
            </w:r>
          </w:p>
        </w:tc>
        <w:tc>
          <w:tcPr/>
          <w:p>
            <w:pPr>
              <w:pStyle w:val="Compact"/>
              <w:jc w:val="right"/>
            </w:pPr>
            <w:r>
              <w:t xml:space="preserve">33</w:t>
            </w:r>
          </w:p>
        </w:tc>
        <w:tc>
          <w:tcPr/>
          <w:p>
            <w:pPr>
              <w:pStyle w:val="Compact"/>
              <w:jc w:val="right"/>
            </w:pPr>
            <w:r>
              <w:t xml:space="preserve">50</w:t>
            </w:r>
          </w:p>
        </w:tc>
        <w:tc>
          <w:tcPr/>
          <w:p>
            <w:pPr>
              <w:pStyle w:val="Compact"/>
            </w:pPr>
          </w:p>
        </w:tc>
      </w:tr>
      <w:tr>
        <w:tc>
          <w:tcPr/>
          <w:p>
            <w:pPr>
              <w:pStyle w:val="Compact"/>
            </w:pPr>
            <w:r>
              <w:t xml:space="preserve">Enlarged blind coding, MC pairs, proper names excluded</w:t>
            </w:r>
          </w:p>
        </w:tc>
        <w:tc>
          <w:tcPr/>
          <w:p>
            <w:pPr>
              <w:pStyle w:val="Compact"/>
              <w:jc w:val="right"/>
            </w:pPr>
            <w:r>
              <w:t xml:space="preserve">172</w:t>
            </w:r>
          </w:p>
        </w:tc>
        <w:tc>
          <w:tcPr/>
          <w:p>
            <w:pPr>
              <w:pStyle w:val="Compact"/>
              <w:jc w:val="right"/>
            </w:pPr>
            <w:r>
              <w:t xml:space="preserve">462</w:t>
            </w:r>
          </w:p>
        </w:tc>
        <w:tc>
          <w:tcPr/>
          <w:p>
            <w:pPr>
              <w:pStyle w:val="Compact"/>
              <w:jc w:val="right"/>
            </w:pPr>
            <w:r>
              <w:t xml:space="preserve">150</w:t>
            </w:r>
          </w:p>
        </w:tc>
      </w:tr>
    </w:tbl>
    <w:p>
      <w:pPr>
        <w:pStyle w:val="a0"/>
      </w:pPr>
      <w:r>
        <w:t xml:space="preserve">The comparison group is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they are candidates for his third kind (H4), but their label also follows from Xu’s filing system, a section head being by definition a meaningful component, so every main model is also run without them.</w:t>
      </w:r>
    </w:p>
    <w:p>
      <w:pPr>
        <w:pStyle w:val="a0"/>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were probably supplied the same way; one, </w:t>
      </w:r>
      <w:r>
        <w:rPr>
          <w:rFonts w:hint="eastAsia"/>
        </w:rPr>
        <w:t xml:space="preserve">瑁,</w:t>
      </w:r>
      <w:r>
        <w:t xml:space="preserve"> is blank in the print). We treat a Dà Xú label as Xu Shen’s judgement unless the collation shows otherwise. This is the first of three bridging assumptions, and the 140 shared labels test it against the Song editors, though not against earlier transmission.</w:t>
      </w:r>
    </w:p>
    <w:bookmarkEnd w:id="15"/>
    <w:bookmarkStart w:id="16" w:name="sound"/>
    <w:p>
      <w:pPr>
        <w:pStyle w:val="3"/>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a0"/>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reflect relations between the words Xu analysed.</w:t>
      </w:r>
    </w:p>
    <w:p>
      <w:pPr>
        <w:pStyle w:val="a0"/>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16"/>
    <w:bookmarkStart w:id="17" w:name="meaning"/>
    <w:p>
      <w:pPr>
        <w:pStyle w:val="3"/>
      </w:pPr>
      <w:r>
        <w:t xml:space="preserve">3.3 Meaning</w:t>
      </w:r>
    </w:p>
    <w:p>
      <w:pPr>
        <w:pStyle w:val="FirstParagraph"/>
      </w:pPr>
      <w:r>
        <w:t xml:space="preserve">Xu wrote the gloss and assigned the label in a single act,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this removes a leak, since a coder who sees the phonetic in the gloss may code the pair as related for that reason alone. For H1 it asks whether sound relations persist where the gloss does not name the phonetic; some weakening is expected on any account, since such a gloss states the relation outright.</w:t>
      </w:r>
    </w:p>
    <w:p>
      <w:pPr>
        <w:pStyle w:val="a0"/>
      </w:pPr>
      <w:r>
        <w:t xml:space="preserve">Meaning was first coded on a random sample of 100 pairs (40 labelled, 60 ordinary) drawn from pairs with OC forms at both ends. The sheet shows the two characters with their 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and the relation between their basic meanings </w:t>
      </w:r>
      <w:r>
        <w:rPr>
          <w:rFonts w:hint="eastAsia"/>
        </w:rPr>
        <w:t xml:space="preserve">(本義)</w:t>
      </w:r>
      <w:r>
        <w:t xml:space="preserve"> is coded Y (same or near-synonymous), E (one step of extension), N (none) or X (proper name). A large language model (Claude, Anthropic) coded each pair twice: the instance that built the dataset, knowing the group, and then a separate instance that worked blind, seeing only the instructions and the stripped glosses and barred from files and the web (protocol in the repository). They agree on 86 of 100 pairs (Cohen’s κ = 0.773), with no Y–N disagreement. We analyse the blind pass; the non-blind pass gives the same contrast (Table 5). Both authors also coded the pairs independently and agreed with the blind pass throughout, but their working sheets were not kept, so this check cannot be reproduced from the released files. Six items were later excluded and 11 proper names set aside, leaving 83 for H2.</w:t>
      </w:r>
    </w:p>
    <w:p>
      <w:pPr>
        <w:pStyle w:val="a0"/>
      </w:pPr>
      <w:r>
        <w:t xml:space="preserve">With only six related ordinary pairs, this sample cannot test H5, so we enlarged it. All 177 labelled entries not yet coded were coded, with 500 of the 803 uncoded ordinary pairs that have MC readings at both ends, drawn within two strata (with and without OC forms) so that, with the 55 first-sample ordinary pairs in the frame, every such pair had about the same chance of inclusion (0.65). Two independent blind passes (1 and 2) coded the 677 new items under the same instructions, in mixed batches of about a hundred that differed between passes, each coded by a fresh model instance together with five first-sample anchor items. The passes agree on 88.8% of items (κ = 0.817; 0.681 for labelled and 0.824 for ordinary pairs), and each agrees with the first sample’s blind codes on the anchors (κ = 0.875 and 0.918). Analyses use pass 1 for the new items and the blind codes for the 90 first-sample items in the frame, 767 pairs in all; pass 2 is a check. The sampling, prompts and analysis plan, including H5 and its decision rule, were committed with a time-stamp before any batch was coded, though not registered externally, and later changes are logged.</w:t>
      </w:r>
    </w:p>
    <w:p>
      <w:pPr>
        <w:pStyle w:val="a0"/>
      </w:pPr>
      <w:r>
        <w:t xml:space="preserve">The two authors then jointly reviewed 126 of the new items, the 76 on which the passes disagree and 50 drawn at random from the 601 on which they agree, and recorded one joint judgment for each on a sheet that also showed the passes’ codes. The judgment matches the shared code on 45 of the 50 random items and, of the 76 disagreements, follows pass 2 on 50, pass 1 on 23 and neither on 3; estimated over all 677 items, it agrees with pass 1 at κ = 0.735 and with pass 2 at κ = 0.798. This is agreement between a joint human judgment and a model, not reliability between independent judges; it serves as a check, and Section 4.3 reports H5 with the checked codes replaced by it. The glosses stand for Han-period relations of meaning as Xu understood them, not for modern etymology, which is the third bridging assumption.</w:t>
      </w:r>
    </w:p>
    <w:p>
      <w:pPr>
        <w:pStyle w:val="a0"/>
      </w:pPr>
      <w:r>
        <w:t xml:space="preserve">A further coding, made with the label visible and used only descriptively, gave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both authors reviewed it pair by pair. The types borrow Wang’s terms but not his criteria, which concern the effect of the added component on the graph, not the relation between two words; </w:t>
      </w:r>
      <w:r>
        <w:rPr>
          <w:rFonts w:hint="eastAsia"/>
        </w:rPr>
        <w:t xml:space="preserve">傾,</w:t>
      </w:r>
      <w:r>
        <w:t xml:space="preserve"> a differentiated graph for Wang, is L here.</w:t>
      </w:r>
    </w:p>
    <w:bookmarkEnd w:id="17"/>
    <w:bookmarkStart w:id="18" w:name="models"/>
    <w:p>
      <w:pPr>
        <w:pStyle w:val="3"/>
      </w:pPr>
      <w:r>
        <w:t xml:space="preserve">3.4 Models</w:t>
      </w:r>
    </w:p>
    <w:p>
      <w:pPr>
        <w:pStyle w:val="FirstParagraph"/>
      </w:pPr>
      <w:r>
        <w:t xml:space="preserve">Each binary outcome is modelled by logistic generalised estimating equations (GEE) with the label as predictor, clustered by phonetic under an exchangeable working correlation. The five directional tests (H1a; H1b in MC and in OC; H1c; H2) are one-sided and Holm-adjusted. Because GEE does not remove differences between series in their baseline rate of homophony, we also compare labelled and ordinary members within series, pooling the phonetics that have both with a Mantel–Haenszel (MH) odds ratio and a Cochran–Mantel–Haenszel test. Where cells are sparse, as for the direction of *-s pairs, we use a conditional maximum-likelihood odds ratio with an exact interval; Fisher’s exact tests describe small subsets and the descriptive comparisons of Sections 4.4 and 4.5. Secondary comparisons are two-sided and unadjusted, and tests describe this population rather than confirm predictions made in advance (Section 2.4), except H5, which is one-sided; its rule counts p below 0.05 with an upper confidence limit of at least 2, the smallest odds ratio of interest, as support for (C), a limit below 2 without significance as support for (A), and other outcomes as mixed or undecided. Models were fitted in Python (statsmodels).</w:t>
      </w:r>
    </w:p>
    <w:bookmarkEnd w:id="18"/>
    <w:bookmarkEnd w:id="19"/>
    <w:bookmarkStart w:id="25" w:name="results"/>
    <w:p>
      <w:pPr>
        <w:pStyle w:val="2"/>
      </w:pPr>
      <w:r>
        <w:t xml:space="preserve">4 Results</w:t>
      </w:r>
    </w:p>
    <w:bookmarkStart w:id="20" w:name="the-sound-profile-h1a"/>
    <w:p>
      <w:pPr>
        <w:pStyle w:val="3"/>
      </w:pPr>
      <w:r>
        <w:t xml:space="preserve">4.1 The sound profile (H1a)</w:t>
      </w:r>
    </w:p>
    <w:p>
      <w:pPr>
        <w:pStyle w:val="FirstParagraph"/>
      </w:pPr>
      <w:r>
        <w:t xml:space="preserve">H1a holds (Table 3).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w:t>
      </w:r>
    </w:p>
    <w:p>
      <w:pPr>
        <w:pStyle w:val="a0"/>
      </w:pPr>
      <w:r>
        <w:rPr>
          <w:b/>
          <w:bCs/>
        </w:rPr>
        <w:t xml:space="preserve">Table 3</w:t>
      </w:r>
      <w:r>
        <w:t xml:space="preserve"> </w:t>
      </w:r>
      <w:r>
        <w:t xml:space="preserve">Sound relations between member and phonetic (MC; mutually exclusive)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Relation</w:t>
            </w:r>
          </w:p>
        </w:tc>
        <w:tc>
          <w:tcPr/>
          <w:p>
            <w:pPr>
              <w:pStyle w:val="Compact"/>
            </w:pPr>
            <w:r>
              <w:t xml:space="preserve">Labelled (n = 177)</w:t>
            </w:r>
          </w:p>
        </w:tc>
        <w:tc>
          <w:tcPr/>
          <w:p>
            <w:pPr>
              <w:pStyle w:val="Compact"/>
            </w:pPr>
            <w:r>
              <w:t xml:space="preserve">Ordinary (n = 858)</w:t>
            </w:r>
          </w:p>
        </w:tc>
        <w:tc>
          <w:tcPr/>
          <w:p>
            <w:pPr>
              <w:pStyle w:val="Compact"/>
            </w:pPr>
            <w:r>
              <w:t xml:space="preserve">GEE OR [95% CI]</w:t>
            </w:r>
          </w:p>
        </w:tc>
        <w:tc>
          <w:tcPr/>
          <w:p>
            <w:pPr>
              <w:pStyle w:val="Compact"/>
            </w:pPr>
            <w:r>
              <w:t xml:space="preserve">Within-series MH OR [95% CI]</w:t>
            </w:r>
          </w:p>
        </w:tc>
      </w:tr>
      <w:tr>
        <w:tc>
          <w:tcPr/>
          <w:p>
            <w:pPr>
              <w:pStyle w:val="Compact"/>
            </w:pPr>
            <w:r>
              <w:t xml:space="preserve">Identical</w:t>
            </w:r>
          </w:p>
        </w:tc>
        <w:tc>
          <w:tcPr/>
          <w:p>
            <w:pPr>
              <w:pStyle w:val="Compact"/>
            </w:pPr>
            <w:r>
              <w:t xml:space="preserve">63 (35.6%)</w:t>
            </w:r>
          </w:p>
        </w:tc>
        <w:tc>
          <w:tcPr/>
          <w:p>
            <w:pPr>
              <w:pStyle w:val="Compact"/>
            </w:pPr>
            <w:r>
              <w:t xml:space="preserve">133 (15.5%)</w:t>
            </w:r>
          </w:p>
        </w:tc>
        <w:tc>
          <w:tcPr/>
          <w:p>
            <w:pPr>
              <w:pStyle w:val="Compact"/>
            </w:pPr>
            <w:r>
              <w:t xml:space="preserve">2.38 [1.69, 3.34]</w:t>
            </w:r>
          </w:p>
        </w:tc>
        <w:tc>
          <w:tcPr/>
          <w:p>
            <w:pPr>
              <w:pStyle w:val="Compact"/>
            </w:pPr>
            <w:r>
              <w:t xml:space="preserve">2.15 [1.36, 3.42]</w:t>
            </w:r>
          </w:p>
        </w:tc>
      </w:tr>
      <w:tr>
        <w:tc>
          <w:tcPr/>
          <w:p>
            <w:pPr>
              <w:pStyle w:val="Compact"/>
            </w:pPr>
            <w:r>
              <w:t xml:space="preserve">Departing-tone alternation</w:t>
            </w:r>
          </w:p>
        </w:tc>
        <w:tc>
          <w:tcPr/>
          <w:p>
            <w:pPr>
              <w:pStyle w:val="Compact"/>
            </w:pPr>
            <w:r>
              <w:t xml:space="preserve">21 (11.9%)</w:t>
            </w:r>
          </w:p>
        </w:tc>
        <w:tc>
          <w:tcPr/>
          <w:p>
            <w:pPr>
              <w:pStyle w:val="Compact"/>
            </w:pPr>
            <w:r>
              <w:t xml:space="preserve">58 (6.8%)</w:t>
            </w:r>
          </w:p>
        </w:tc>
        <w:tc>
          <w:tcPr/>
          <w:p>
            <w:pPr>
              <w:pStyle w:val="Compact"/>
            </w:pPr>
            <w:r>
              <w:t xml:space="preserve">1.64 [1.04, 2.57]</w:t>
            </w:r>
          </w:p>
        </w:tc>
        <w:tc>
          <w:tcPr/>
          <w:p>
            <w:pPr>
              <w:pStyle w:val="Compact"/>
            </w:pPr>
            <w:r>
              <w:t xml:space="preserve">2.05 [1.03, 4.11]</w:t>
            </w:r>
          </w:p>
        </w:tc>
      </w:tr>
      <w:tr>
        <w:tc>
          <w:tcPr/>
          <w:p>
            <w:pPr>
              <w:pStyle w:val="Compact"/>
            </w:pPr>
            <w:r>
              <w:t xml:space="preserve">Other tone or voicing alternation</w:t>
            </w:r>
          </w:p>
        </w:tc>
        <w:tc>
          <w:tcPr/>
          <w:p>
            <w:pPr>
              <w:pStyle w:val="Compact"/>
            </w:pPr>
            <w:r>
              <w:t xml:space="preserve">12 (6.8%)</w:t>
            </w:r>
          </w:p>
        </w:tc>
        <w:tc>
          <w:tcPr/>
          <w:p>
            <w:pPr>
              <w:pStyle w:val="Compact"/>
            </w:pPr>
            <w:r>
              <w:t xml:space="preserve">92 (10.7%)</w:t>
            </w:r>
          </w:p>
        </w:tc>
        <w:tc>
          <w:tcPr/>
          <w:p>
            <w:pPr>
              <w:pStyle w:val="Compact"/>
            </w:pPr>
            <w:r>
              <w:t xml:space="preserve">0.62 [0.33, 1.14]</w:t>
            </w:r>
          </w:p>
        </w:tc>
        <w:tc>
          <w:tcPr/>
          <w:p>
            <w:pPr>
              <w:pStyle w:val="Compact"/>
            </w:pPr>
            <w:r>
              <w:t xml:space="preserve">0.61 [0.28, 1.30]</w:t>
            </w:r>
          </w:p>
        </w:tc>
      </w:tr>
      <w:tr>
        <w:tc>
          <w:tcPr/>
          <w:p>
            <w:pPr>
              <w:pStyle w:val="Compact"/>
            </w:pPr>
            <w:r>
              <w:t xml:space="preserve">Other difference</w:t>
            </w:r>
          </w:p>
        </w:tc>
        <w:tc>
          <w:tcPr/>
          <w:p>
            <w:pPr>
              <w:pStyle w:val="Compact"/>
            </w:pPr>
            <w:r>
              <w:t xml:space="preserve">81 (45.8%)</w:t>
            </w:r>
          </w:p>
        </w:tc>
        <w:tc>
          <w:tcPr/>
          <w:p>
            <w:pPr>
              <w:pStyle w:val="Compact"/>
            </w:pPr>
            <w:r>
              <w:t xml:space="preserve">575 (67.0%)</w:t>
            </w:r>
          </w:p>
        </w:tc>
        <w:tc>
          <w:tcPr/>
          <w:p>
            <w:pPr>
              <w:pStyle w:val="Compact"/>
            </w:pPr>
            <w:r>
              <w:t xml:space="preserve">0.52 [0.38, 0.70]</w:t>
            </w:r>
          </w:p>
        </w:tc>
        <w:tc>
          <w:tcPr/>
          <w:p>
            <w:pPr>
              <w:pStyle w:val="Compact"/>
            </w:pPr>
            <w:r>
              <w:t xml:space="preserve">0.44 [0.28, 0.70]</w:t>
            </w:r>
          </w:p>
        </w:tc>
      </w:tr>
    </w:tbl>
    <w:p>
      <w:pPr>
        <w:pStyle w:val="a0"/>
      </w:pPr>
      <w:r>
        <w:rPr>
          <w:i/>
          <w:iCs/>
        </w:rPr>
        <w:t xml:space="preserve">Note.</w:t>
      </w:r>
      <w:r>
        <w:t xml:space="preserve"> </w:t>
      </w:r>
      <w:r>
        <w:t xml:space="preserve">MH estimates pool the 121 phonetics with both labelled and ordinary members (148 and 839 pairs).</w:t>
      </w:r>
    </w:p>
    <w:p>
      <w:pPr>
        <w:pStyle w:val="a0"/>
      </w:pPr>
      <w:r>
        <w:t xml:space="preserve">The OC forms, on far smaller numbers, show the same contrast more sharply: 15 of 60 labelled pairs are identical (25.0%), against 13 of 249 ordinary ones (5.2%).</w:t>
      </w:r>
    </w:p>
    <w:bookmarkEnd w:id="20"/>
    <w:bookmarkStart w:id="21" w:name="which-alternations-h1b-h1c"/>
    <w:p>
      <w:pPr>
        <w:pStyle w:val="3"/>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Among the labelled cases, all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t xml:space="preserve">and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The result holds without the 40 labels filed under their phonetic and, imprecisely, within series (MH OR 7.35 on 22 series; Table 7).</w:t>
      </w:r>
    </w:p>
    <w:p>
      <w:pPr>
        <w:pStyle w:val="a0"/>
      </w:pPr>
      <w:r>
        <w:t xml:space="preserve">H1c, however, bundles two claims (Table 4).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an interval too wide to exclude a moderate difference. Pooled, compounds are the departing-tone member in 59 of these 79 pairs (75%), more often than in pairs whose syllables also differ in other ways (91 of 150, 61%; Fisher p = 0.04); only that margin can be credited to derivation, and the 61% may itself include *-s derivatives with further changes.</w:t>
      </w:r>
    </w:p>
    <w:p>
      <w:pPr>
        <w:pStyle w:val="a0"/>
      </w:pPr>
      <w:r>
        <w:t xml:space="preserve">H1b fails as stated. Tone and voicing alternations are only somewhat commoner among non-identical labelled pairs (28.9% against 20.7%; Holm p = 0.20), and the OC measure shows nothing (Holm p = 0.31). Taken apart, however, the class is informative (Table 4): the MC excess lies entirely in the departing-tone alternations (OR 2.12, 95% CI 1.38–3.26), while the remaining alternations sit at or below baseline (OR 0.70, 95% CI 0.36–1.36), leaving room for at most a small enrichment. The other affixes of (B) mostly surface in MC as differences of initial or rhyme, outside these categories; the direct test of them, the OC class R without *-s, shows no excess but says less (OR 0.81, 95% CI 0.39–1.65). Relations involving *-s trend upward (OR 2.01, 95% CI 0.98–4.10), but they are largely the MC departing-tone pairs seen again.</w:t>
      </w:r>
    </w:p>
    <w:p>
      <w:pPr>
        <w:pStyle w:val="a0"/>
      </w:pPr>
      <w:r>
        <w:rPr>
          <w:b/>
          <w:bCs/>
        </w:rPr>
        <w:t xml:space="preserve">Table 4</w:t>
      </w:r>
      <w:r>
        <w:t xml:space="preserve"> </w:t>
      </w:r>
      <w:r>
        <w:t xml:space="preserve">The departing tone and other regular relations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w:t>
            </w:r>
          </w:p>
        </w:tc>
      </w:tr>
      <w:tr>
        <w:tc>
          <w:tcPr/>
          <w:p>
            <w:pPr>
              <w:pStyle w:val="Compact"/>
            </w:pPr>
            <w:r>
              <w:rPr>
                <w:i/>
                <w:iCs/>
              </w:rPr>
              <w:t xml:space="preserve">Pairs differing only in tone or voicing (MC)</w:t>
            </w:r>
          </w:p>
        </w:tc>
        <w:tc>
          <w:tcPr/>
          <w:p>
            <w:pPr>
              <w:pStyle w:val="Compact"/>
            </w:pPr>
          </w:p>
        </w:tc>
        <w:tc>
          <w:tcPr/>
          <w:p>
            <w:pPr>
              <w:pStyle w:val="Compact"/>
            </w:pPr>
          </w:p>
        </w:tc>
        <w:tc>
          <w:tcPr/>
          <w:p>
            <w:pPr>
              <w:pStyle w:val="Compact"/>
            </w:pPr>
          </w:p>
        </w:tc>
      </w:tr>
      <w:tr>
        <w:tc>
          <w:tcPr/>
          <w:p>
            <w:pPr>
              <w:pStyle w:val="Compact"/>
            </w:pPr>
            <w:r>
              <w:t xml:space="preserve">Member has the departing tone (H1c)</w:t>
            </w:r>
          </w:p>
        </w:tc>
        <w:tc>
          <w:tcPr/>
          <w:p>
            <w:pPr>
              <w:pStyle w:val="Compact"/>
            </w:pPr>
            <w:r>
              <w:t xml:space="preserve">16/33 (48.5%)</w:t>
            </w:r>
          </w:p>
        </w:tc>
        <w:tc>
          <w:tcPr/>
          <w:p>
            <w:pPr>
              <w:pStyle w:val="Compact"/>
            </w:pPr>
            <w:r>
              <w:t xml:space="preserve">43/150 (28.7%)</w:t>
            </w:r>
          </w:p>
        </w:tc>
        <w:tc>
          <w:tcPr/>
          <w:p>
            <w:pPr>
              <w:pStyle w:val="Compact"/>
            </w:pPr>
            <w:r>
              <w:t xml:space="preserve">2.44 [1.34, 4.48]; Holm p = 0.0056</w:t>
            </w:r>
          </w:p>
        </w:tc>
      </w:tr>
      <w:tr>
        <w:tc>
          <w:tcPr/>
          <w:p>
            <w:pPr>
              <w:pStyle w:val="Compact"/>
            </w:pPr>
            <w:r>
              <w:t xml:space="preserve">Step 1: departing tone involved</w:t>
            </w:r>
          </w:p>
        </w:tc>
        <w:tc>
          <w:tcPr/>
          <w:p>
            <w:pPr>
              <w:pStyle w:val="Compact"/>
            </w:pPr>
            <w:r>
              <w:t xml:space="preserve">21/33 (63.6%)</w:t>
            </w:r>
          </w:p>
        </w:tc>
        <w:tc>
          <w:tcPr/>
          <w:p>
            <w:pPr>
              <w:pStyle w:val="Compact"/>
            </w:pPr>
            <w:r>
              <w:t xml:space="preserve">58/150 (38.7%)</w:t>
            </w:r>
          </w:p>
        </w:tc>
        <w:tc>
          <w:tcPr/>
          <w:p>
            <w:pPr>
              <w:pStyle w:val="Compact"/>
            </w:pPr>
            <w:r>
              <w:t xml:space="preserve">2.42 [1.32, 4.46]</w:t>
            </w:r>
          </w:p>
        </w:tc>
      </w:tr>
      <w:tr>
        <w:tc>
          <w:tcPr/>
          <w:p>
            <w:pPr>
              <w:pStyle w:val="Compact"/>
            </w:pPr>
            <w:r>
              <w:t xml:space="preserve">Step 2: member departing, given step 1</w:t>
            </w:r>
          </w:p>
        </w:tc>
        <w:tc>
          <w:tcPr/>
          <w:p>
            <w:pPr>
              <w:pStyle w:val="Compact"/>
            </w:pPr>
            <w:r>
              <w:t xml:space="preserve">16/21 (76.2%)</w:t>
            </w:r>
          </w:p>
        </w:tc>
        <w:tc>
          <w:tcPr/>
          <w:p>
            <w:pPr>
              <w:pStyle w:val="Compact"/>
            </w:pPr>
            <w:r>
              <w:t xml:space="preserve">43/58 (74.1%)</w:t>
            </w:r>
          </w:p>
        </w:tc>
        <w:tc>
          <w:tcPr/>
          <w:p>
            <w:pPr>
              <w:pStyle w:val="Compact"/>
            </w:pPr>
            <w:r>
              <w:t xml:space="preserve">1.11 [0.31, 4.57]</w:t>
            </w:r>
            <w:r>
              <w:rPr>
                <w:vertAlign w:val="superscript"/>
              </w:rPr>
              <w:t xml:space="preserve">a</w:t>
            </w:r>
          </w:p>
        </w:tc>
      </w:tr>
      <w:tr>
        <w:tc>
          <w:tcPr/>
          <w:p>
            <w:pPr>
              <w:pStyle w:val="Compact"/>
            </w:pPr>
            <w:r>
              <w:rPr>
                <w:i/>
                <w:iCs/>
              </w:rPr>
              <w:t xml:space="preserve">Non-identical pairs (MC)</w:t>
            </w:r>
          </w:p>
        </w:tc>
        <w:tc>
          <w:tcPr/>
          <w:p>
            <w:pPr>
              <w:pStyle w:val="Compact"/>
            </w:pPr>
          </w:p>
        </w:tc>
        <w:tc>
          <w:tcPr/>
          <w:p>
            <w:pPr>
              <w:pStyle w:val="Compact"/>
            </w:pPr>
          </w:p>
        </w:tc>
        <w:tc>
          <w:tcPr/>
          <w:p>
            <w:pPr>
              <w:pStyle w:val="Compact"/>
            </w:pPr>
          </w:p>
        </w:tc>
      </w:tr>
      <w:tr>
        <w:tc>
          <w:tcPr/>
          <w:p>
            <w:pPr>
              <w:pStyle w:val="Compact"/>
            </w:pPr>
            <w:r>
              <w:t xml:space="preserve">Any tone or voicing alternation (H1b)</w:t>
            </w:r>
          </w:p>
        </w:tc>
        <w:tc>
          <w:tcPr/>
          <w:p>
            <w:pPr>
              <w:pStyle w:val="Compact"/>
            </w:pPr>
            <w:r>
              <w:t xml:space="preserve">33/114 (28.9%)</w:t>
            </w:r>
          </w:p>
        </w:tc>
        <w:tc>
          <w:tcPr/>
          <w:p>
            <w:pPr>
              <w:pStyle w:val="Compact"/>
            </w:pPr>
            <w:r>
              <w:t xml:space="preserve">150/725 (20.7%)</w:t>
            </w:r>
          </w:p>
        </w:tc>
        <w:tc>
          <w:tcPr/>
          <w:p>
            <w:pPr>
              <w:pStyle w:val="Compact"/>
            </w:pPr>
            <w:r>
              <w:t xml:space="preserve">1.29 [0.87, 1.91]; Holm p = 0.20</w:t>
            </w:r>
          </w:p>
        </w:tc>
      </w:tr>
      <w:tr>
        <w:tc>
          <w:tcPr/>
          <w:p>
            <w:pPr>
              <w:pStyle w:val="Compact"/>
            </w:pPr>
            <w:r>
              <w:t xml:space="preserve">Departing-tone alternation</w:t>
            </w:r>
          </w:p>
        </w:tc>
        <w:tc>
          <w:tcPr/>
          <w:p>
            <w:pPr>
              <w:pStyle w:val="Compact"/>
            </w:pPr>
            <w:r>
              <w:t xml:space="preserve">21/114 (18.4%)</w:t>
            </w:r>
          </w:p>
        </w:tc>
        <w:tc>
          <w:tcPr/>
          <w:p>
            <w:pPr>
              <w:pStyle w:val="Compact"/>
            </w:pPr>
            <w:r>
              <w:t xml:space="preserve">58/725 (8.0%)</w:t>
            </w:r>
          </w:p>
        </w:tc>
        <w:tc>
          <w:tcPr/>
          <w:p>
            <w:pPr>
              <w:pStyle w:val="Compact"/>
            </w:pPr>
            <w:r>
              <w:t xml:space="preserve">2.12 [1.38, 3.26]</w:t>
            </w:r>
          </w:p>
        </w:tc>
      </w:tr>
      <w:tr>
        <w:tc>
          <w:tcPr/>
          <w:p>
            <w:pPr>
              <w:pStyle w:val="Compact"/>
            </w:pPr>
            <w:r>
              <w:t xml:space="preserve">Other alternation</w:t>
            </w:r>
          </w:p>
        </w:tc>
        <w:tc>
          <w:tcPr/>
          <w:p>
            <w:pPr>
              <w:pStyle w:val="Compact"/>
            </w:pPr>
            <w:r>
              <w:t xml:space="preserve">12/114 (10.5%)</w:t>
            </w:r>
          </w:p>
        </w:tc>
        <w:tc>
          <w:tcPr/>
          <w:p>
            <w:pPr>
              <w:pStyle w:val="Compact"/>
            </w:pPr>
            <w:r>
              <w:t xml:space="preserve">92/725 (12.7%)</w:t>
            </w:r>
          </w:p>
        </w:tc>
        <w:tc>
          <w:tcPr/>
          <w:p>
            <w:pPr>
              <w:pStyle w:val="Compact"/>
            </w:pPr>
            <w:r>
              <w:t xml:space="preserve">0.70 [0.36, 1.36]</w:t>
            </w:r>
          </w:p>
        </w:tc>
      </w:tr>
      <w:tr>
        <w:tc>
          <w:tcPr/>
          <w:p>
            <w:pPr>
              <w:pStyle w:val="Compact"/>
            </w:pPr>
            <w:r>
              <w:rPr>
                <w:i/>
                <w:iCs/>
              </w:rPr>
              <w:t xml:space="preserve">Non-identical pairs (OC)</w:t>
            </w:r>
          </w:p>
        </w:tc>
        <w:tc>
          <w:tcPr/>
          <w:p>
            <w:pPr>
              <w:pStyle w:val="Compact"/>
            </w:pPr>
          </w:p>
        </w:tc>
        <w:tc>
          <w:tcPr/>
          <w:p>
            <w:pPr>
              <w:pStyle w:val="Compact"/>
            </w:pPr>
          </w:p>
        </w:tc>
        <w:tc>
          <w:tcPr/>
          <w:p>
            <w:pPr>
              <w:pStyle w:val="Compact"/>
            </w:pPr>
          </w:p>
        </w:tc>
      </w:tr>
      <w:tr>
        <w:tc>
          <w:tcPr/>
          <w:p>
            <w:pPr>
              <w:pStyle w:val="Compact"/>
            </w:pPr>
            <w:r>
              <w:t xml:space="preserve">Affix or regular alternation, R (H1b)</w:t>
            </w:r>
          </w:p>
        </w:tc>
        <w:tc>
          <w:tcPr/>
          <w:p>
            <w:pPr>
              <w:pStyle w:val="Compact"/>
            </w:pPr>
            <w:r>
              <w:t xml:space="preserve">18/45 (40.0%)</w:t>
            </w:r>
          </w:p>
        </w:tc>
        <w:tc>
          <w:tcPr/>
          <w:p>
            <w:pPr>
              <w:pStyle w:val="Compact"/>
            </w:pPr>
            <w:r>
              <w:t xml:space="preserve">84/236 (35.6%)</w:t>
            </w:r>
          </w:p>
        </w:tc>
        <w:tc>
          <w:tcPr/>
          <w:p>
            <w:pPr>
              <w:pStyle w:val="Compact"/>
            </w:pPr>
            <w:r>
              <w:t xml:space="preserve">1.17 [0.62, 2.22]; Holm p = 0.31</w:t>
            </w:r>
          </w:p>
        </w:tc>
      </w:tr>
      <w:tr>
        <w:tc>
          <w:tcPr/>
          <w:p>
            <w:pPr>
              <w:pStyle w:val="Compact"/>
            </w:pPr>
            <w:r>
              <w:t xml:space="preserve">R involving *-s</w:t>
            </w:r>
          </w:p>
        </w:tc>
        <w:tc>
          <w:tcPr/>
          <w:p>
            <w:pPr>
              <w:pStyle w:val="Compact"/>
            </w:pPr>
            <w:r>
              <w:t xml:space="preserve">8/45 (17.8%)</w:t>
            </w:r>
          </w:p>
        </w:tc>
        <w:tc>
          <w:tcPr/>
          <w:p>
            <w:pPr>
              <w:pStyle w:val="Compact"/>
            </w:pPr>
            <w:r>
              <w:t xml:space="preserve">21/236 (8.9%)</w:t>
            </w:r>
          </w:p>
        </w:tc>
        <w:tc>
          <w:tcPr/>
          <w:p>
            <w:pPr>
              <w:pStyle w:val="Compact"/>
            </w:pPr>
            <w:r>
              <w:t xml:space="preserve">2.01 [0.98, 4.10]</w:t>
            </w:r>
          </w:p>
        </w:tc>
      </w:tr>
      <w:tr>
        <w:tc>
          <w:tcPr/>
          <w:p>
            <w:pPr>
              <w:pStyle w:val="Compact"/>
            </w:pPr>
            <w:r>
              <w:t xml:space="preserve">R not involving *-s</w:t>
            </w:r>
          </w:p>
        </w:tc>
        <w:tc>
          <w:tcPr/>
          <w:p>
            <w:pPr>
              <w:pStyle w:val="Compact"/>
            </w:pPr>
            <w:r>
              <w:t xml:space="preserve">10/45 (22.2%)</w:t>
            </w:r>
          </w:p>
        </w:tc>
        <w:tc>
          <w:tcPr/>
          <w:p>
            <w:pPr>
              <w:pStyle w:val="Compact"/>
            </w:pPr>
            <w:r>
              <w:t xml:space="preserve">63/236 (26.7%)</w:t>
            </w:r>
          </w:p>
        </w:tc>
        <w:tc>
          <w:tcPr/>
          <w:p>
            <w:pPr>
              <w:pStyle w:val="Compact"/>
            </w:pPr>
            <w:r>
              <w:t xml:space="preserve">0.81 [0.39, 1.65]</w:t>
            </w:r>
          </w:p>
        </w:tc>
      </w:tr>
    </w:tbl>
    <w:p>
      <w:pPr>
        <w:pStyle w:val="a0"/>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21"/>
    <w:bookmarkStart w:id="22" w:name="Xbe9d8a144de94ad94110fa99dc0add232393b4e"/>
    <w:p>
      <w:pPr>
        <w:pStyle w:val="3"/>
      </w:pPr>
      <w:r>
        <w:t xml:space="preserve">4.3 Meaning (H2) and sound among related pairs (H5)</w:t>
      </w:r>
    </w:p>
    <w:p>
      <w:pPr>
        <w:pStyle w:val="FirstParagraph"/>
      </w:pPr>
      <w:r>
        <w:t xml:space="preserve">Meaning shows the largest contrast. In the first sample, 25 of 33 labelled pairs (75.8%) are related in meaning, against 6 of 50 ordinary pairs (12.0%; OR 22.0, 95% CI 7.1–68.0; Holm p = 2.0 × 10⁻⁷). The enlarged coding gives nearly the same odds ratio with a far narrower interval: 141 of 172 labelled pairs (82.0%) against 79 of 462 ordinary pairs (17.1%; OR 21.6, 95% CI 13.3–35.0; pass 2, 18.1; Table 5). Near-synonymy is almost confined to labelled pairs (38 of 172 against 4 of 462).</w:t>
      </w:r>
    </w:p>
    <w:p>
      <w:pPr>
        <w:pStyle w:val="a0"/>
      </w:pPr>
      <w:r>
        <w:rPr>
          <w:b/>
          <w:bCs/>
        </w:rPr>
        <w:t xml:space="preserve">Table 5</w:t>
      </w:r>
      <w:r>
        <w:t xml:space="preserve"> </w:t>
      </w:r>
      <w:r>
        <w:t xml:space="preserve">Meaning, and sound among related pairs, in the two codings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 or test</w:t>
            </w:r>
          </w:p>
        </w:tc>
      </w:tr>
      <w:tr>
        <w:tc>
          <w:tcPr/>
          <w:p>
            <w:pPr>
              <w:pStyle w:val="Compact"/>
            </w:pPr>
            <w:r>
              <w:rPr>
                <w:i/>
                <w:iCs/>
              </w:rPr>
              <w:t xml:space="preserve">First sample (blind pass unless stated)</w:t>
            </w:r>
          </w:p>
        </w:tc>
        <w:tc>
          <w:tcPr/>
          <w:p>
            <w:pPr>
              <w:pStyle w:val="Compact"/>
            </w:pPr>
          </w:p>
        </w:tc>
        <w:tc>
          <w:tcPr/>
          <w:p>
            <w:pPr>
              <w:pStyle w:val="Compact"/>
            </w:pPr>
          </w:p>
        </w:tc>
        <w:tc>
          <w:tcPr/>
          <w:p>
            <w:pPr>
              <w:pStyle w:val="Compact"/>
            </w:pP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non-blind pass</w:t>
            </w:r>
          </w:p>
        </w:tc>
        <w:tc>
          <w:tcPr/>
          <w:p>
            <w:pPr>
              <w:pStyle w:val="Compact"/>
            </w:pPr>
            <w:r>
              <w:t xml:space="preserve">27/35 (77.1%)</w:t>
            </w:r>
          </w:p>
        </w:tc>
        <w:tc>
          <w:tcPr/>
          <w:p>
            <w:pPr>
              <w:pStyle w:val="Compact"/>
            </w:pPr>
            <w:r>
              <w:t xml:space="preserve">8/53 (15.1%)</w:t>
            </w:r>
          </w:p>
        </w:tc>
        <w:tc>
          <w:tcPr/>
          <w:p>
            <w:pPr>
              <w:pStyle w:val="Compact"/>
            </w:pPr>
            <w:r>
              <w:t xml:space="preserve">Fisher OR 19.0</w:t>
            </w:r>
          </w:p>
        </w:tc>
      </w:tr>
      <w:tr>
        <w:tc>
          <w:tcPr/>
          <w:p>
            <w:pPr>
              <w:pStyle w:val="Compact"/>
            </w:pPr>
            <w:r>
              <w:rPr>
                <w:i/>
                <w:iCs/>
              </w:rPr>
              <w:t xml:space="preserve">Enlarged coding, pairs with MC readings (pass 1 unless stated)</w:t>
            </w:r>
          </w:p>
        </w:tc>
        <w:tc>
          <w:tcPr/>
          <w:p>
            <w:pPr>
              <w:pStyle w:val="Compact"/>
            </w:pPr>
          </w:p>
        </w:tc>
        <w:tc>
          <w:tcPr/>
          <w:p>
            <w:pPr>
              <w:pStyle w:val="Compact"/>
            </w:pPr>
          </w:p>
        </w:tc>
        <w:tc>
          <w:tcPr/>
          <w:p>
            <w:pPr>
              <w:pStyle w:val="Compact"/>
            </w:pPr>
          </w:p>
        </w:tc>
      </w:tr>
      <w:tr>
        <w:tc>
          <w:tcPr/>
          <w:p>
            <w:pPr>
              <w:pStyle w:val="Compact"/>
            </w:pPr>
            <w:r>
              <w:t xml:space="preserve">Related (Y or E)</w:t>
            </w:r>
          </w:p>
        </w:tc>
        <w:tc>
          <w:tcPr/>
          <w:p>
            <w:pPr>
              <w:pStyle w:val="Compact"/>
            </w:pPr>
            <w:r>
              <w:t xml:space="preserve">141/172 (82.0%)</w:t>
            </w:r>
          </w:p>
        </w:tc>
        <w:tc>
          <w:tcPr/>
          <w:p>
            <w:pPr>
              <w:pStyle w:val="Compact"/>
            </w:pPr>
            <w:r>
              <w:t xml:space="preserve">79/462 (17.1%)</w:t>
            </w:r>
          </w:p>
        </w:tc>
        <w:tc>
          <w:tcPr/>
          <w:p>
            <w:pPr>
              <w:pStyle w:val="Compact"/>
            </w:pPr>
            <w:r>
              <w:t xml:space="preserve">21.6 [13.3, 35.0]</w:t>
            </w:r>
          </w:p>
        </w:tc>
      </w:tr>
      <w:tr>
        <w:tc>
          <w:tcPr/>
          <w:p>
            <w:pPr>
              <w:pStyle w:val="Compact"/>
            </w:pPr>
            <w:r>
              <w:t xml:space="preserve">Related, pass 2</w:t>
            </w:r>
          </w:p>
        </w:tc>
        <w:tc>
          <w:tcPr/>
          <w:p>
            <w:pPr>
              <w:pStyle w:val="Compact"/>
            </w:pPr>
            <w:r>
              <w:t xml:space="preserve">138/172 (80.2%)</w:t>
            </w:r>
          </w:p>
        </w:tc>
        <w:tc>
          <w:tcPr/>
          <w:p>
            <w:pPr>
              <w:pStyle w:val="Compact"/>
            </w:pPr>
            <w:r>
              <w:t xml:space="preserve">83/459 (18.1%)</w:t>
            </w:r>
          </w:p>
        </w:tc>
        <w:tc>
          <w:tcPr/>
          <w:p>
            <w:pPr>
              <w:pStyle w:val="Compact"/>
            </w:pPr>
            <w:r>
              <w:t xml:space="preserve">18.1 [11.7, 27.9]</w:t>
            </w:r>
          </w:p>
        </w:tc>
      </w:tr>
      <w:tr>
        <w:tc>
          <w:tcPr/>
          <w:p>
            <w:pPr>
              <w:pStyle w:val="Compact"/>
            </w:pPr>
            <w:r>
              <w:t xml:space="preserve">Related, authors’ judgment replacing 126 codes</w:t>
            </w:r>
          </w:p>
        </w:tc>
        <w:tc>
          <w:tcPr/>
          <w:p>
            <w:pPr>
              <w:pStyle w:val="Compact"/>
            </w:pPr>
            <w:r>
              <w:t xml:space="preserve">138/172 (80.2%)</w:t>
            </w:r>
          </w:p>
        </w:tc>
        <w:tc>
          <w:tcPr/>
          <w:p>
            <w:pPr>
              <w:pStyle w:val="Compact"/>
            </w:pPr>
            <w:r>
              <w:t xml:space="preserve">74/457 (16.2%)</w:t>
            </w:r>
          </w:p>
        </w:tc>
        <w:tc>
          <w:tcPr/>
          <w:p>
            <w:pPr>
              <w:pStyle w:val="Compact"/>
            </w:pPr>
            <w:r>
              <w:t xml:space="preserve">20.7 [13.0, 33.1]</w:t>
            </w:r>
          </w:p>
        </w:tc>
      </w:tr>
      <w:tr>
        <w:tc>
          <w:tcPr/>
          <w:p>
            <w:pPr>
              <w:pStyle w:val="Compact"/>
            </w:pPr>
            <w:r>
              <w:t xml:space="preserve">Near-synonymous (Y)</w:t>
            </w:r>
          </w:p>
        </w:tc>
        <w:tc>
          <w:tcPr/>
          <w:p>
            <w:pPr>
              <w:pStyle w:val="Compact"/>
            </w:pPr>
            <w:r>
              <w:t xml:space="preserve">38/172</w:t>
            </w:r>
          </w:p>
        </w:tc>
        <w:tc>
          <w:tcPr/>
          <w:p>
            <w:pPr>
              <w:pStyle w:val="Compact"/>
            </w:pPr>
            <w:r>
              <w:t xml:space="preserve">4/462</w:t>
            </w:r>
          </w:p>
        </w:tc>
        <w:tc>
          <w:tcPr/>
          <w:p>
            <w:pPr>
              <w:pStyle w:val="Compact"/>
            </w:pPr>
            <w:r>
              <w:t xml:space="preserve">–</w:t>
            </w:r>
          </w:p>
        </w:tc>
      </w:tr>
      <w:tr>
        <w:tc>
          <w:tcPr/>
          <w:p>
            <w:pPr>
              <w:pStyle w:val="Compact"/>
            </w:pPr>
            <w:r>
              <w:rPr>
                <w:i/>
                <w:iCs/>
              </w:rPr>
              <w:t xml:space="preserve">Identical or departing-tone alternation among related pairs, enlarged coding</w:t>
            </w:r>
          </w:p>
        </w:tc>
        <w:tc>
          <w:tcPr/>
          <w:p>
            <w:pPr>
              <w:pStyle w:val="Compact"/>
            </w:pPr>
          </w:p>
        </w:tc>
        <w:tc>
          <w:tcPr/>
          <w:p>
            <w:pPr>
              <w:pStyle w:val="Compact"/>
            </w:pPr>
          </w:p>
        </w:tc>
        <w:tc>
          <w:tcPr/>
          <w:p>
            <w:pPr>
              <w:pStyle w:val="Compact"/>
            </w:pPr>
          </w:p>
        </w:tc>
      </w:tr>
      <w:tr>
        <w:tc>
          <w:tcPr/>
          <w:p>
            <w:pPr>
              <w:pStyle w:val="Compact"/>
            </w:pPr>
            <w:r>
              <w:t xml:space="preserve">All related pairs (H5)</w:t>
            </w:r>
          </w:p>
        </w:tc>
        <w:tc>
          <w:tcPr/>
          <w:p>
            <w:pPr>
              <w:pStyle w:val="Compact"/>
            </w:pPr>
            <w:r>
              <w:t xml:space="preserve">73/141 (51.8%)</w:t>
            </w:r>
          </w:p>
        </w:tc>
        <w:tc>
          <w:tcPr/>
          <w:p>
            <w:pPr>
              <w:pStyle w:val="Compact"/>
            </w:pPr>
            <w:r>
              <w:t xml:space="preserve">23/79 (29.1%)</w:t>
            </w:r>
          </w:p>
        </w:tc>
        <w:tc>
          <w:tcPr/>
          <w:p>
            <w:pPr>
              <w:pStyle w:val="Compact"/>
            </w:pPr>
            <w:r>
              <w:t xml:space="preserve">2.35 [1.43, 3.86]; one-sided p = 0.0004</w:t>
            </w:r>
          </w:p>
        </w:tc>
      </w:tr>
      <w:tr>
        <w:tc>
          <w:tcPr/>
          <w:p>
            <w:pPr>
              <w:pStyle w:val="Compact"/>
            </w:pPr>
            <w:r>
              <w:t xml:space="preserve">Same, within series (MH, 37 phonetics)</w:t>
            </w:r>
          </w:p>
        </w:tc>
        <w:tc>
          <w:tcPr/>
          <w:p>
            <w:pPr>
              <w:pStyle w:val="Compact"/>
            </w:pPr>
          </w:p>
        </w:tc>
        <w:tc>
          <w:tcPr/>
          <w:p>
            <w:pPr>
              <w:pStyle w:val="Compact"/>
            </w:pPr>
          </w:p>
        </w:tc>
        <w:tc>
          <w:tcPr/>
          <w:p>
            <w:pPr>
              <w:pStyle w:val="Compact"/>
            </w:pPr>
            <w:r>
              <w:t xml:space="preserve">2.01 [0.75, 5.39]</w:t>
            </w:r>
          </w:p>
        </w:tc>
      </w:tr>
      <w:tr>
        <w:tc>
          <w:tcPr/>
          <w:p>
            <w:pPr>
              <w:pStyle w:val="Compact"/>
            </w:pPr>
            <w:r>
              <w:t xml:space="preserve">Authors’ judgment replacing 126 codes</w:t>
            </w:r>
          </w:p>
        </w:tc>
        <w:tc>
          <w:tcPr/>
          <w:p>
            <w:pPr>
              <w:pStyle w:val="Compact"/>
            </w:pPr>
            <w:r>
              <w:t xml:space="preserve">70/138 (50.7%)</w:t>
            </w:r>
          </w:p>
        </w:tc>
        <w:tc>
          <w:tcPr/>
          <w:p>
            <w:pPr>
              <w:pStyle w:val="Compact"/>
            </w:pPr>
            <w:r>
              <w:t xml:space="preserve">19/74 (25.7%)</w:t>
            </w:r>
          </w:p>
        </w:tc>
        <w:tc>
          <w:tcPr/>
          <w:p>
            <w:pPr>
              <w:pStyle w:val="Compact"/>
            </w:pPr>
            <w:r>
              <w:t xml:space="preserve">2.73 [1.61, 4.65]; within series 2.26 [0.80, 6.33]</w:t>
            </w:r>
          </w:p>
        </w:tc>
      </w:tr>
      <w:tr>
        <w:tc>
          <w:tcPr/>
          <w:p>
            <w:pPr>
              <w:pStyle w:val="Compact"/>
            </w:pPr>
            <w:r>
              <w:t xml:space="preserve">Identity only</w:t>
            </w:r>
          </w:p>
        </w:tc>
        <w:tc>
          <w:tcPr/>
          <w:p>
            <w:pPr>
              <w:pStyle w:val="Compact"/>
            </w:pPr>
            <w:r>
              <w:t xml:space="preserve">54/141 (38.3%)</w:t>
            </w:r>
          </w:p>
        </w:tc>
        <w:tc>
          <w:tcPr/>
          <w:p>
            <w:pPr>
              <w:pStyle w:val="Compact"/>
            </w:pPr>
            <w:r>
              <w:t xml:space="preserve">15/79 (19.0%)</w:t>
            </w:r>
          </w:p>
        </w:tc>
        <w:tc>
          <w:tcPr/>
          <w:p>
            <w:pPr>
              <w:pStyle w:val="Compact"/>
            </w:pPr>
            <w:r>
              <w:t xml:space="preserve">2.57 [1.35, 4.87]</w:t>
            </w:r>
          </w:p>
        </w:tc>
      </w:tr>
      <w:tr>
        <w:tc>
          <w:tcPr/>
          <w:p>
            <w:pPr>
              <w:pStyle w:val="Compact"/>
            </w:pPr>
            <w:r>
              <w:t xml:space="preserve">Paronomastic glosses removed</w:t>
            </w:r>
          </w:p>
        </w:tc>
        <w:tc>
          <w:tcPr/>
          <w:p>
            <w:pPr>
              <w:pStyle w:val="Compact"/>
            </w:pPr>
            <w:r>
              <w:t xml:space="preserve">43/94 (45.7%)</w:t>
            </w:r>
          </w:p>
        </w:tc>
        <w:tc>
          <w:tcPr/>
          <w:p>
            <w:pPr>
              <w:pStyle w:val="Compact"/>
            </w:pPr>
            <w:r>
              <w:t xml:space="preserve">20/73 (27.4%)</w:t>
            </w:r>
          </w:p>
        </w:tc>
        <w:tc>
          <w:tcPr/>
          <w:p>
            <w:pPr>
              <w:pStyle w:val="Compact"/>
            </w:pPr>
            <w:r>
              <w:t xml:space="preserve">2.09 [1.18, 3.71]</w:t>
            </w:r>
          </w:p>
        </w:tc>
      </w:tr>
      <w:tr>
        <w:tc>
          <w:tcPr/>
          <w:p>
            <w:pPr>
              <w:pStyle w:val="Compact"/>
            </w:pPr>
            <w:r>
              <w:t xml:space="preserve">Labels shared by both recensions</w:t>
            </w:r>
          </w:p>
        </w:tc>
        <w:tc>
          <w:tcPr/>
          <w:p>
            <w:pPr>
              <w:pStyle w:val="Compact"/>
            </w:pPr>
            <w:r>
              <w:t xml:space="preserve">41/93 (44.1%)</w:t>
            </w:r>
          </w:p>
        </w:tc>
        <w:tc>
          <w:tcPr/>
          <w:p>
            <w:pPr>
              <w:pStyle w:val="Compact"/>
            </w:pPr>
            <w:r>
              <w:t xml:space="preserve">23/79 (29.1%)</w:t>
            </w:r>
          </w:p>
        </w:tc>
        <w:tc>
          <w:tcPr/>
          <w:p>
            <w:pPr>
              <w:pStyle w:val="Compact"/>
            </w:pPr>
            <w:r>
              <w:t xml:space="preserve">1.81 [1.04, 3.15]</w:t>
            </w:r>
          </w:p>
        </w:tc>
      </w:tr>
      <w:tr>
        <w:tc>
          <w:tcPr/>
          <w:p>
            <w:pPr>
              <w:pStyle w:val="Compact"/>
            </w:pPr>
            <w:r>
              <w:t xml:space="preserve">Shared labels, paronomastic glosses removed</w:t>
            </w:r>
            <w:r>
              <w:rPr>
                <w:vertAlign w:val="superscript"/>
              </w:rPr>
              <w:t xml:space="preserve">a</w:t>
            </w:r>
          </w:p>
        </w:tc>
        <w:tc>
          <w:tcPr/>
          <w:p>
            <w:pPr>
              <w:pStyle w:val="Compact"/>
            </w:pPr>
            <w:r>
              <w:t xml:space="preserve">27/66 (40.9%)</w:t>
            </w:r>
          </w:p>
        </w:tc>
        <w:tc>
          <w:tcPr/>
          <w:p>
            <w:pPr>
              <w:pStyle w:val="Compact"/>
            </w:pPr>
            <w:r>
              <w:t xml:space="preserve">20/73 (27.4%)</w:t>
            </w:r>
          </w:p>
        </w:tc>
        <w:tc>
          <w:tcPr/>
          <w:p>
            <w:pPr>
              <w:pStyle w:val="Compact"/>
            </w:pPr>
            <w:r>
              <w:t xml:space="preserve">1.80 [0.95, 3.42]</w:t>
            </w:r>
          </w:p>
        </w:tc>
      </w:tr>
      <w:tr>
        <w:tc>
          <w:tcPr/>
          <w:p>
            <w:pPr>
              <w:pStyle w:val="Compact"/>
            </w:pPr>
            <w:r>
              <w:t xml:space="preserve">Pass 2</w:t>
            </w:r>
          </w:p>
        </w:tc>
        <w:tc>
          <w:tcPr/>
          <w:p>
            <w:pPr>
              <w:pStyle w:val="Compact"/>
            </w:pPr>
            <w:r>
              <w:t xml:space="preserve">70/138 (50.7%)</w:t>
            </w:r>
          </w:p>
        </w:tc>
        <w:tc>
          <w:tcPr/>
          <w:p>
            <w:pPr>
              <w:pStyle w:val="Compact"/>
            </w:pPr>
            <w:r>
              <w:t xml:space="preserve">23/83 (27.7%)</w:t>
            </w:r>
          </w:p>
        </w:tc>
        <w:tc>
          <w:tcPr/>
          <w:p>
            <w:pPr>
              <w:pStyle w:val="Compact"/>
            </w:pPr>
            <w:r>
              <w:t xml:space="preserve">2.44 [1.49, 3.99]</w:t>
            </w:r>
          </w:p>
        </w:tc>
      </w:tr>
      <w:tr>
        <w:tc>
          <w:tcPr/>
          <w:p>
            <w:pPr>
              <w:pStyle w:val="Compact"/>
            </w:pPr>
            <w:r>
              <w:t xml:space="preserve">Pairs on which the passes agree</w:t>
            </w:r>
          </w:p>
        </w:tc>
        <w:tc>
          <w:tcPr/>
          <w:p>
            <w:pPr>
              <w:pStyle w:val="Compact"/>
            </w:pPr>
            <w:r>
              <w:t xml:space="preserve">68/132 (51.5%)</w:t>
            </w:r>
          </w:p>
        </w:tc>
        <w:tc>
          <w:tcPr/>
          <w:p>
            <w:pPr>
              <w:pStyle w:val="Compact"/>
            </w:pPr>
            <w:r>
              <w:t xml:space="preserve">18/65 (27.7%)</w:t>
            </w:r>
          </w:p>
        </w:tc>
        <w:tc>
          <w:tcPr/>
          <w:p>
            <w:pPr>
              <w:pStyle w:val="Compact"/>
            </w:pPr>
            <w:r>
              <w:t xml:space="preserve">2.60 [1.48, 4.57]</w:t>
            </w:r>
          </w:p>
        </w:tc>
      </w:tr>
      <w:tr>
        <w:tc>
          <w:tcPr/>
          <w:p>
            <w:pPr>
              <w:pStyle w:val="Compact"/>
            </w:pPr>
            <w:r>
              <w:t xml:space="preserve">Pairs coded E only</w:t>
            </w:r>
            <w:r>
              <w:rPr>
                <w:vertAlign w:val="superscript"/>
              </w:rPr>
              <w:t xml:space="preserve">a</w:t>
            </w:r>
          </w:p>
        </w:tc>
        <w:tc>
          <w:tcPr/>
          <w:p>
            <w:pPr>
              <w:pStyle w:val="Compact"/>
            </w:pPr>
            <w:r>
              <w:t xml:space="preserve">49/103 (47.6%)</w:t>
            </w:r>
          </w:p>
        </w:tc>
        <w:tc>
          <w:tcPr/>
          <w:p>
            <w:pPr>
              <w:pStyle w:val="Compact"/>
            </w:pPr>
            <w:r>
              <w:t xml:space="preserve">23/75 (30.7%)</w:t>
            </w:r>
          </w:p>
        </w:tc>
        <w:tc>
          <w:tcPr/>
          <w:p>
            <w:pPr>
              <w:pStyle w:val="Compact"/>
            </w:pPr>
            <w:r>
              <w:t xml:space="preserve">1.80 [1.00, 3.25]</w:t>
            </w:r>
          </w:p>
        </w:tc>
      </w:tr>
      <w:tr>
        <w:tc>
          <w:tcPr/>
          <w:p>
            <w:pPr>
              <w:pStyle w:val="Compact"/>
            </w:pPr>
            <w:r>
              <w:t xml:space="preserve">Adjusted for Y against E</w:t>
            </w:r>
            <w:r>
              <w:rPr>
                <w:vertAlign w:val="superscript"/>
              </w:rPr>
              <w:t xml:space="preserve">a</w:t>
            </w:r>
          </w:p>
        </w:tc>
        <w:tc>
          <w:tcPr/>
          <w:p>
            <w:pPr>
              <w:pStyle w:val="Compact"/>
            </w:pPr>
          </w:p>
        </w:tc>
        <w:tc>
          <w:tcPr/>
          <w:p>
            <w:pPr>
              <w:pStyle w:val="Compact"/>
            </w:pPr>
          </w:p>
        </w:tc>
        <w:tc>
          <w:tcPr/>
          <w:p>
            <w:pPr>
              <w:pStyle w:val="Compact"/>
            </w:pPr>
            <w:r>
              <w:t xml:space="preserve">2.13 [1.26, 3.63]</w:t>
            </w:r>
          </w:p>
        </w:tc>
      </w:tr>
      <w:tr>
        <w:tc>
          <w:tcPr/>
          <w:p>
            <w:pPr>
              <w:pStyle w:val="Compact"/>
            </w:pPr>
            <w:r>
              <w:t xml:space="preserve">The 677 new items only</w:t>
            </w:r>
            <w:r>
              <w:rPr>
                <w:vertAlign w:val="superscript"/>
              </w:rPr>
              <w:t xml:space="preserve">a</w:t>
            </w:r>
          </w:p>
        </w:tc>
        <w:tc>
          <w:tcPr/>
          <w:p>
            <w:pPr>
              <w:pStyle w:val="Compact"/>
            </w:pPr>
            <w:r>
              <w:t xml:space="preserve">59/116 (50.9%)</w:t>
            </w:r>
          </w:p>
        </w:tc>
        <w:tc>
          <w:tcPr/>
          <w:p>
            <w:pPr>
              <w:pStyle w:val="Compact"/>
            </w:pPr>
            <w:r>
              <w:t xml:space="preserve">21/73 (28.8%)</w:t>
            </w:r>
          </w:p>
        </w:tc>
        <w:tc>
          <w:tcPr/>
          <w:p>
            <w:pPr>
              <w:pStyle w:val="Compact"/>
            </w:pPr>
            <w:r>
              <w:t xml:space="preserve">2.42 [1.37, 4.25]</w:t>
            </w:r>
          </w:p>
        </w:tc>
      </w:tr>
    </w:tbl>
    <w:p>
      <w:pPr>
        <w:pStyle w:val="a0"/>
      </w:pPr>
      <w:r>
        <w:rPr>
          <w:i/>
          <w:iCs/>
        </w:rPr>
        <w:t xml:space="preserve">Note.</w:t>
      </w:r>
      <w:r>
        <w:t xml:space="preserve"> </w:t>
      </w:r>
      <w:r>
        <w:t xml:space="preserve">ORs from GEE clustered by phonetic unless stated. In the enlarged coding, the 90 first-sample items that lie in the frame keep their blind codes; four of the first sample’s 50 ordinary pairs lie outside it, because the only labelled entry on their phonetic </w:t>
      </w:r>
      <w:r>
        <w:rPr>
          <w:rFonts w:hint="eastAsia"/>
        </w:rPr>
        <w:t xml:space="preserve">(晬,</w:t>
      </w:r>
      <w:r>
        <w:t xml:space="preserve"> </w:t>
      </w:r>
      <w:r>
        <w:rPr>
          <w:rFonts w:hint="eastAsia"/>
        </w:rPr>
        <w:t xml:space="preserve">債)</w:t>
      </w:r>
      <w:r>
        <w:t xml:space="preserve"> is a</w:t>
      </w:r>
      <w:r>
        <w:t xml:space="preserve"> </w:t>
      </w:r>
      <w:r>
        <w:rPr>
          <w:i/>
          <w:iCs/>
        </w:rPr>
        <w:t xml:space="preserve">xīnfù</w:t>
      </w:r>
      <w:r>
        <w:t xml:space="preserve"> </w:t>
      </w:r>
      <w:r>
        <w:t xml:space="preserve">character, and without them the first-sample H2 is 25/33 against 6/46 (OR 20.2, 95% CI 6.6–62.1). The non-blind pass was made with knowledge of each pair’s group; its proper names differ slightly, hence the different denominators. Counting only Y as related cannot be estimated, since only 4 ordinary pairs are coded Y (24 of 38 labelled against 0 of 4 identical or departing-tone; Fisher p = 0.027).</w:t>
      </w:r>
      <w:r>
        <w:t xml:space="preserve"> </w:t>
      </w:r>
      <w:r>
        <w:rPr>
          <w:vertAlign w:val="superscript"/>
        </w:rPr>
        <w:t xml:space="preserve">a</w:t>
      </w:r>
      <w:r>
        <w:t xml:space="preserve"> </w:t>
      </w:r>
      <w:r>
        <w:t xml:space="preserve">Exploratory, added after the results were seen.</w:t>
      </w:r>
    </w:p>
    <w:p>
      <w:pPr>
        <w:pStyle w:val="a0"/>
      </w:pPr>
      <w:r>
        <w:t xml:space="preserve">Sound and meaning go together. Related pairs are more often identical or departing-tone alternants than unrelated ones, among labelled pairs (73 of 141 against 8 of 31) and ordinary pairs alike (23 of 79 against 60 of 383); pooled, 60% of homophonous and 55% of departing-tone pairs are related, against 23% of other alternations and 27% of pairs that differ in other ways.</w:t>
      </w:r>
    </w:p>
    <w:p>
      <w:pPr>
        <w:pStyle w:val="a0"/>
      </w:pPr>
      <w:r>
        <w:t xml:space="preserve">H5, the comparison that separates (A) from (C), asks whether among related pairs the label still goes with sound. It does: 73 of 141 related labelled pairs (51.8%) are identical or departing-tone alternants, against 23 of 79 related ordinary pairs (29.1%; OR 2.35, 95% CI 1.43–3.86; one-sided p = 0.0004), which the pre-specified rule reads as support for (C). The difference holds for identity alone, without paronomastic glosses, in pass 2 and where the passes agree, and the 677 new items alone reproduce it (OR 2.42). With the 126 codes the authors checked replaced by their judgment it is 2.73 (95% CI 1.61–4.65). In a model of all 634 pairs, relatedness and the label have effects of similar size (OR 2.34, 95% CI 1.51–3.63, and 1.98, 1.30–3.02). The within-series estimate is similar in size (MH OR 2.01) but imprecise (95% CI 0.75–5.39), since only 37 series contain related pairs of both kinds. In the labels most likely to be Xu’s own, those shared by both recensions and glossed without the phonetic, the difference shrinks to 1.80 (95% CI 0.95–3.42), an exploratory figure that the authors’ changes raise to 2.14 (1.08–4.25).</w:t>
      </w:r>
    </w:p>
    <w:p>
      <w:pPr>
        <w:pStyle w:val="a0"/>
      </w:pPr>
      <w:r>
        <w:t xml:space="preserve">The descriptive relation types agree: of the 63 homophonous labelled pairs, 42 are F, 8 L, 5 C and only 8 U, whereas among the 133 homophonous ordinary pairs unrelated homophones (73) and proper names (42) predominate, with 15 F, 3 L and no C.</w:t>
      </w:r>
    </w:p>
    <w:bookmarkEnd w:id="22"/>
    <w:bookmarkStart w:id="23" w:name="how-much-of-the-label"/>
    <w:p>
      <w:pPr>
        <w:pStyle w:val="3"/>
      </w:pPr>
      <w:r>
        <w:t xml:space="preserve">4.4 How much of the label?</w:t>
      </w:r>
    </w:p>
    <w:p>
      <w:pPr>
        <w:pStyle w:val="FirstParagraph"/>
      </w:pPr>
      <w:r>
        <w:t xml:space="preserve">Identity exceeds the ordinary rate by 20 percentage points and the departing-tone alternation by 5 (Table 3),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the enlarged coding finds 60 of the 141 related labelled pairs (43%) remote in sound.</w:t>
      </w:r>
    </w:p>
    <w:bookmarkEnd w:id="23"/>
    <w:bookmarkStart w:id="24" w:name="Xa6e2b16ec4a710089cfa48b37017510b80669a9"/>
    <w:p>
      <w:pPr>
        <w:pStyle w:val="3"/>
      </w:pPr>
      <w:r>
        <w:t xml:space="preserve">4.5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6): homophonous in 24 of 48 pairs against 35 of 122 (OR for shared relative to Dà Xú-only labels 0.39, 95% CI 0.19–0.80, p = 0.01, Holm about 0.03), remote in 16 against 63 (Fisher p = 0.04), with similar shares of departing-tone alternations. They also more often have paronomastic glosses (21 of 62 entries against 31 of 140; p = 0.08), but do not differ in meaning (8 of 10 against 16 of 22 related).</w:t>
      </w:r>
    </w:p>
    <w:p>
      <w:pPr>
        <w:pStyle w:val="a0"/>
      </w:pPr>
      <w:r>
        <w:rPr>
          <w:b/>
          <w:bCs/>
        </w:rPr>
        <w:t xml:space="preserve">Table 6</w:t>
      </w:r>
      <w:r>
        <w:t xml:space="preserve"> </w:t>
      </w:r>
      <w:r>
        <w:t xml:space="preserve">Sound relations of labelled pairs by recension layer (MC)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w:t>
            </w:r>
          </w:p>
        </w:tc>
        <w:tc>
          <w:tcPr/>
          <w:p>
            <w:pPr>
              <w:pStyle w:val="Compact"/>
            </w:pPr>
            <w:r>
              <w:t xml:space="preserve">Shared by both recensions (n = 122)</w:t>
            </w:r>
          </w:p>
        </w:tc>
        <w:tc>
          <w:tcPr/>
          <w:p>
            <w:pPr>
              <w:pStyle w:val="Compact"/>
            </w:pPr>
            <w:r>
              <w:t xml:space="preserve">Dà Xú only (n = 48)</w:t>
            </w:r>
          </w:p>
        </w:tc>
        <w:tc>
          <w:tcPr/>
          <w:p>
            <w:pPr>
              <w:pStyle w:val="Compact"/>
            </w:pPr>
            <w:r>
              <w:t xml:space="preserve">Ordinary (n = 858)</w:t>
            </w:r>
          </w:p>
        </w:tc>
      </w:tr>
      <w:tr>
        <w:tc>
          <w:tcPr/>
          <w:p>
            <w:pPr>
              <w:pStyle w:val="Compact"/>
            </w:pPr>
            <w:r>
              <w:t xml:space="preserve">Identical</w:t>
            </w:r>
          </w:p>
        </w:tc>
        <w:tc>
          <w:tcPr/>
          <w:p>
            <w:pPr>
              <w:pStyle w:val="Compact"/>
            </w:pPr>
            <w:r>
              <w:t xml:space="preserve">35 (28.7%)</w:t>
            </w:r>
          </w:p>
        </w:tc>
        <w:tc>
          <w:tcPr/>
          <w:p>
            <w:pPr>
              <w:pStyle w:val="Compact"/>
            </w:pPr>
            <w:r>
              <w:t xml:space="preserve">24 (50.0%)</w:t>
            </w:r>
          </w:p>
        </w:tc>
        <w:tc>
          <w:tcPr/>
          <w:p>
            <w:pPr>
              <w:pStyle w:val="Compact"/>
            </w:pPr>
            <w:r>
              <w:t xml:space="preserve">133 (15.5%)</w:t>
            </w:r>
          </w:p>
        </w:tc>
      </w:tr>
      <w:tr>
        <w:tc>
          <w:tcPr/>
          <w:p>
            <w:pPr>
              <w:pStyle w:val="Compact"/>
            </w:pPr>
            <w:r>
              <w:t xml:space="preserve">Departing-tone alternation</w:t>
            </w:r>
          </w:p>
        </w:tc>
        <w:tc>
          <w:tcPr/>
          <w:p>
            <w:pPr>
              <w:pStyle w:val="Compact"/>
            </w:pPr>
            <w:r>
              <w:t xml:space="preserve">14 (11.5%)</w:t>
            </w:r>
          </w:p>
        </w:tc>
        <w:tc>
          <w:tcPr/>
          <w:p>
            <w:pPr>
              <w:pStyle w:val="Compact"/>
            </w:pPr>
            <w:r>
              <w:t xml:space="preserve">6 (12.5%)</w:t>
            </w:r>
          </w:p>
        </w:tc>
        <w:tc>
          <w:tcPr/>
          <w:p>
            <w:pPr>
              <w:pStyle w:val="Compact"/>
            </w:pPr>
            <w:r>
              <w:t xml:space="preserve">58 (6.8%)</w:t>
            </w:r>
          </w:p>
        </w:tc>
      </w:tr>
      <w:tr>
        <w:tc>
          <w:tcPr/>
          <w:p>
            <w:pPr>
              <w:pStyle w:val="Compact"/>
            </w:pPr>
            <w:r>
              <w:t xml:space="preserve">Other tone or voicing alternation</w:t>
            </w:r>
          </w:p>
        </w:tc>
        <w:tc>
          <w:tcPr/>
          <w:p>
            <w:pPr>
              <w:pStyle w:val="Compact"/>
            </w:pPr>
            <w:r>
              <w:t xml:space="preserve">10 (8.2%)</w:t>
            </w:r>
          </w:p>
        </w:tc>
        <w:tc>
          <w:tcPr/>
          <w:p>
            <w:pPr>
              <w:pStyle w:val="Compact"/>
            </w:pPr>
            <w:r>
              <w:t xml:space="preserve">2 (4.2%)</w:t>
            </w:r>
          </w:p>
        </w:tc>
        <w:tc>
          <w:tcPr/>
          <w:p>
            <w:pPr>
              <w:pStyle w:val="Compact"/>
            </w:pPr>
            <w:r>
              <w:t xml:space="preserve">92 (10.7%)</w:t>
            </w:r>
          </w:p>
        </w:tc>
      </w:tr>
      <w:tr>
        <w:tc>
          <w:tcPr/>
          <w:p>
            <w:pPr>
              <w:pStyle w:val="Compact"/>
            </w:pPr>
            <w:r>
              <w:t xml:space="preserve">Other difference</w:t>
            </w:r>
          </w:p>
        </w:tc>
        <w:tc>
          <w:tcPr/>
          <w:p>
            <w:pPr>
              <w:pStyle w:val="Compact"/>
            </w:pPr>
            <w:r>
              <w:t xml:space="preserve">63 (51.6%)</w:t>
            </w:r>
          </w:p>
        </w:tc>
        <w:tc>
          <w:tcPr/>
          <w:p>
            <w:pPr>
              <w:pStyle w:val="Compact"/>
            </w:pPr>
            <w:r>
              <w:t xml:space="preserve">16 (33.3%)</w:t>
            </w:r>
          </w:p>
        </w:tc>
        <w:tc>
          <w:tcPr/>
          <w:p>
            <w:pPr>
              <w:pStyle w:val="Compact"/>
            </w:pPr>
            <w:r>
              <w:t xml:space="preserve">575 (67.0%)</w:t>
            </w:r>
          </w:p>
        </w:tc>
      </w:tr>
    </w:tbl>
    <w:p>
      <w:pPr>
        <w:pStyle w:val="a0"/>
      </w:pPr>
      <w:r>
        <w:rPr>
          <w:i/>
          <w:iCs/>
        </w:rPr>
        <w:t xml:space="preserve">Note.</w:t>
      </w:r>
      <w:r>
        <w:t xml:space="preserve"> </w:t>
      </w:r>
      <w:r>
        <w:t xml:space="preserve">Seven labelled pairs whose layer cannot be decided are omitted.</w:t>
      </w:r>
    </w:p>
    <w:p>
      <w:pPr>
        <w:pStyle w:val="a0"/>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7). In them the contrast in meaning remains large (13 of 19 against 6 of 50 related in the first sample; OR 16.1), while identity is weaker across series (24 of 92, 26.1%; OR 1.59, 95% CI 0.97–2.61) and indeterminate within them (MH OR 1.22, 95% CI 0.61–2.46; 63 series); among related pairs the enlarged coding gives OR 1.80 (Section 4.3). The sound effects are thus carried mainly by the Dà Xú-only labels and the paronomastic glosses; the relation of meaning holds throughout.</w:t>
      </w:r>
    </w:p>
    <w:p>
      <w:pPr>
        <w:pStyle w:val="a0"/>
      </w:pPr>
      <w:r>
        <w:t xml:space="preserve">Neither Duan’s emendations nor filing position separates the labels. The 39 labels that Duan drops are, if anything, more often homophonous than the 170 he keeps (13 of 32 against 49 of 143 pairs; p = 0.54; three entries lack his text), and the 40 labels filed under their own phonetic are less, not more, often homophonous than the others (9 of 34 against 54 of 143; p = 0.24).</w:t>
      </w:r>
    </w:p>
    <w:p>
      <w:pPr>
        <w:pStyle w:val="a0"/>
      </w:pPr>
      <w:r>
        <w:rPr>
          <w:b/>
          <w:bCs/>
        </w:rPr>
        <w:t xml:space="preserve">Table 7</w:t>
      </w:r>
      <w:r>
        <w:t xml:space="preserve"> </w:t>
      </w:r>
      <w:r>
        <w:t xml:space="preserve">Checks on the main results (OR [95% 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Check</w:t>
            </w:r>
          </w:p>
        </w:tc>
        <w:tc>
          <w:tcPr/>
          <w:p>
            <w:pPr>
              <w:pStyle w:val="Compact"/>
            </w:pPr>
            <w:r>
              <w:t xml:space="preserve">H1a GEE</w:t>
            </w:r>
          </w:p>
        </w:tc>
        <w:tc>
          <w:tcPr/>
          <w:p>
            <w:pPr>
              <w:pStyle w:val="Compact"/>
            </w:pPr>
            <w:r>
              <w:t xml:space="preserve">H1a within series</w:t>
            </w:r>
          </w:p>
        </w:tc>
        <w:tc>
          <w:tcPr/>
          <w:p>
            <w:pPr>
              <w:pStyle w:val="Compact"/>
            </w:pPr>
            <w:r>
              <w:t xml:space="preserve">H1c GEE</w:t>
            </w:r>
          </w:p>
        </w:tc>
        <w:tc>
          <w:tcPr/>
          <w:p>
            <w:pPr>
              <w:pStyle w:val="Compact"/>
            </w:pPr>
            <w:r>
              <w:t xml:space="preserve">H1c within series</w:t>
            </w:r>
          </w:p>
        </w:tc>
        <w:tc>
          <w:tcPr/>
          <w:p>
            <w:pPr>
              <w:pStyle w:val="Compact"/>
            </w:pPr>
            <w:r>
              <w:t xml:space="preserve">H2 GEE (first sample)</w:t>
            </w:r>
          </w:p>
        </w:tc>
      </w:tr>
      <w:tr>
        <w:tc>
          <w:tcPr/>
          <w:p>
            <w:pPr>
              <w:pStyle w:val="Compact"/>
            </w:pPr>
            <w:r>
              <w:t xml:space="preserve">All labels</w:t>
            </w:r>
          </w:p>
        </w:tc>
        <w:tc>
          <w:tcPr/>
          <w:p>
            <w:pPr>
              <w:pStyle w:val="Compact"/>
            </w:pPr>
            <w:r>
              <w:t xml:space="preserve">2.38 [1.69, 3.34]</w:t>
            </w:r>
          </w:p>
        </w:tc>
        <w:tc>
          <w:tcPr/>
          <w:p>
            <w:pPr>
              <w:pStyle w:val="Compact"/>
            </w:pPr>
            <w:r>
              <w:t xml:space="preserve">2.15 [1.36, 3.42]</w:t>
            </w:r>
          </w:p>
        </w:tc>
        <w:tc>
          <w:tcPr/>
          <w:p>
            <w:pPr>
              <w:pStyle w:val="Compact"/>
            </w:pPr>
            <w:r>
              <w:t xml:space="preserve">2.44 [1.34, 4.48]</w:t>
            </w:r>
          </w:p>
        </w:tc>
        <w:tc>
          <w:tcPr/>
          <w:p>
            <w:pPr>
              <w:pStyle w:val="Compact"/>
            </w:pPr>
            <w:r>
              <w:t xml:space="preserve">7.35 [1.09, 49.5]</w:t>
            </w:r>
          </w:p>
        </w:tc>
        <w:tc>
          <w:tcPr/>
          <w:p>
            <w:pPr>
              <w:pStyle w:val="Compact"/>
            </w:pPr>
            <w:r>
              <w:t xml:space="preserve">22.0 [7.1, 68.0]</w:t>
            </w:r>
          </w:p>
        </w:tc>
      </w:tr>
      <w:tr>
        <w:tc>
          <w:tcPr/>
          <w:p>
            <w:pPr>
              <w:pStyle w:val="Compact"/>
            </w:pPr>
            <w:r>
              <w:t xml:space="preserve">Identity read from fǎnqiè strings</w:t>
            </w:r>
          </w:p>
        </w:tc>
        <w:tc>
          <w:tcPr/>
          <w:p>
            <w:pPr>
              <w:pStyle w:val="Compact"/>
            </w:pPr>
            <w:r>
              <w:t xml:space="preserve">2.43 [1.74, 3.39]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Paronomastic glosses removed</w:t>
            </w:r>
          </w:p>
        </w:tc>
        <w:tc>
          <w:tcPr/>
          <w:p>
            <w:pPr>
              <w:pStyle w:val="Compact"/>
            </w:pPr>
            <w:r>
              <w:t xml:space="preserve">1.99 [1.34, 2.96]</w:t>
            </w:r>
          </w:p>
        </w:tc>
        <w:tc>
          <w:tcPr/>
          <w:p>
            <w:pPr>
              <w:pStyle w:val="Compact"/>
            </w:pPr>
            <w:r>
              <w:t xml:space="preserve">1.54 [0.85, 2.78]</w:t>
            </w:r>
          </w:p>
        </w:tc>
        <w:tc>
          <w:tcPr/>
          <w:p>
            <w:pPr>
              <w:pStyle w:val="Compact"/>
            </w:pPr>
            <w:r>
              <w:t xml:space="preserve">1.82 [0.79, 4.22]</w:t>
            </w:r>
          </w:p>
        </w:tc>
        <w:tc>
          <w:tcPr/>
          <w:p>
            <w:pPr>
              <w:pStyle w:val="Compact"/>
            </w:pPr>
            <w:r>
              <w:t xml:space="preserve">4.47 [0.65, 30.9]</w:t>
            </w:r>
          </w:p>
        </w:tc>
        <w:tc>
          <w:tcPr/>
          <w:p>
            <w:pPr>
              <w:pStyle w:val="Compact"/>
            </w:pPr>
            <w:r>
              <w:t xml:space="preserve">16.4 [5.1, 52.9]</w:t>
            </w:r>
          </w:p>
        </w:tc>
      </w:tr>
      <w:tr>
        <w:tc>
          <w:tcPr/>
          <w:p>
            <w:pPr>
              <w:pStyle w:val="Compact"/>
            </w:pPr>
            <w:r>
              <w:t xml:space="preserve">Labels shared by both recensions</w:t>
            </w:r>
          </w:p>
        </w:tc>
        <w:tc>
          <w:tcPr/>
          <w:p>
            <w:pPr>
              <w:pStyle w:val="Compact"/>
            </w:pPr>
            <w:r>
              <w:t xml:space="preserve">1.83 [1.18, 2.82]</w:t>
            </w:r>
          </w:p>
        </w:tc>
        <w:tc>
          <w:tcPr/>
          <w:p>
            <w:pPr>
              <w:pStyle w:val="Compact"/>
            </w:pPr>
            <w:r>
              <w:t xml:space="preserve">1.58 [0.90, 2.78]</w:t>
            </w:r>
          </w:p>
        </w:tc>
        <w:tc>
          <w:tcPr/>
          <w:p>
            <w:pPr>
              <w:pStyle w:val="Compact"/>
            </w:pPr>
            <w:r>
              <w:t xml:space="preserve">2.32 [1.09, 4.93]</w:t>
            </w:r>
          </w:p>
        </w:tc>
        <w:tc>
          <w:tcPr/>
          <w:p>
            <w:pPr>
              <w:pStyle w:val="Compact"/>
            </w:pPr>
            <w:r>
              <w:t xml:space="preserve">6.71 [1.01, 44.7]</w:t>
            </w:r>
          </w:p>
        </w:tc>
        <w:tc>
          <w:tcPr/>
          <w:p>
            <w:pPr>
              <w:pStyle w:val="Compact"/>
            </w:pPr>
            <w:r>
              <w:t xml:space="preserve">19.8 [5.5, 70.8]</w:t>
            </w:r>
          </w:p>
        </w:tc>
      </w:tr>
      <w:tr>
        <w:tc>
          <w:tcPr/>
          <w:p>
            <w:pPr>
              <w:pStyle w:val="Compact"/>
            </w:pPr>
            <w:r>
              <w:t xml:space="preserve">Shared labels, paronomastic glosses removed (92 pairs)</w:t>
            </w:r>
          </w:p>
        </w:tc>
        <w:tc>
          <w:tcPr/>
          <w:p>
            <w:pPr>
              <w:pStyle w:val="Compact"/>
            </w:pPr>
            <w:r>
              <w:t xml:space="preserve">1.59 [0.97, 2.61]</w:t>
            </w:r>
          </w:p>
        </w:tc>
        <w:tc>
          <w:tcPr/>
          <w:p>
            <w:pPr>
              <w:pStyle w:val="Compact"/>
            </w:pPr>
            <w:r>
              <w:t xml:space="preserve">1.22 [0.61, 2.46]</w:t>
            </w:r>
          </w:p>
        </w:tc>
        <w:tc>
          <w:tcPr/>
          <w:p>
            <w:pPr>
              <w:pStyle w:val="Compact"/>
            </w:pPr>
            <w:r>
              <w:t xml:space="preserve">2.03 [0.78, 5.29]</w:t>
            </w:r>
          </w:p>
        </w:tc>
        <w:tc>
          <w:tcPr/>
          <w:p>
            <w:pPr>
              <w:pStyle w:val="Compact"/>
            </w:pPr>
            <w:r>
              <w:t xml:space="preserve">4.47 [0.65, 30.9]</w:t>
            </w:r>
          </w:p>
        </w:tc>
        <w:tc>
          <w:tcPr/>
          <w:p>
            <w:pPr>
              <w:pStyle w:val="Compact"/>
            </w:pPr>
            <w:r>
              <w:t xml:space="preserve">16.1 [4.4, 59.2]</w:t>
            </w:r>
          </w:p>
        </w:tc>
      </w:tr>
      <w:tr>
        <w:tc>
          <w:tcPr/>
          <w:p>
            <w:pPr>
              <w:pStyle w:val="Compact"/>
            </w:pPr>
            <w:r>
              <w:t xml:space="preserve">Wang Yun’s nine rejected labels removed</w:t>
            </w:r>
          </w:p>
        </w:tc>
        <w:tc>
          <w:tcPr/>
          <w:p>
            <w:pPr>
              <w:pStyle w:val="Compact"/>
            </w:pPr>
            <w:r>
              <w:t xml:space="preserve">2.37 [1.68, 3.36]</w:t>
            </w:r>
          </w:p>
        </w:tc>
        <w:tc>
          <w:tcPr/>
          <w:p>
            <w:pPr>
              <w:pStyle w:val="Compact"/>
            </w:pPr>
            <w:r>
              <w:t xml:space="preserve">2.26 [1.40, 3.64]</w:t>
            </w:r>
          </w:p>
        </w:tc>
        <w:tc>
          <w:tcPr/>
          <w:p>
            <w:pPr>
              <w:pStyle w:val="Compact"/>
            </w:pPr>
            <w:r>
              <w:t xml:space="preserve">2.21 [1.14, 4.29]</w:t>
            </w:r>
          </w:p>
        </w:tc>
        <w:tc>
          <w:tcPr/>
          <w:p>
            <w:pPr>
              <w:pStyle w:val="Compact"/>
            </w:pPr>
            <w:r>
              <w:t xml:space="preserve">7.35 [1.09, 49.5]</w:t>
            </w:r>
          </w:p>
        </w:tc>
        <w:tc>
          <w:tcPr/>
          <w:p>
            <w:pPr>
              <w:pStyle w:val="Compact"/>
            </w:pPr>
            <w:r>
              <w:t xml:space="preserve">20.5 [6.6, 63.9]</w:t>
            </w:r>
          </w:p>
        </w:tc>
      </w:tr>
      <w:tr>
        <w:tc>
          <w:tcPr/>
          <w:p>
            <w:pPr>
              <w:pStyle w:val="Compact"/>
            </w:pPr>
            <w:r>
              <w:t xml:space="preserve">40 labels filed under own phonetic removed</w:t>
            </w:r>
          </w:p>
        </w:tc>
        <w:tc>
          <w:tcPr/>
          <w:p>
            <w:pPr>
              <w:pStyle w:val="Compact"/>
            </w:pPr>
            <w:r>
              <w:t xml:space="preserve">2.51 [1.74, 3.60]</w:t>
            </w:r>
          </w:p>
        </w:tc>
        <w:tc>
          <w:tcPr/>
          <w:p>
            <w:pPr>
              <w:pStyle w:val="Compact"/>
            </w:pPr>
            <w:r>
              <w:t xml:space="preserve">2.17 [1.32, 3.56]</w:t>
            </w:r>
          </w:p>
        </w:tc>
        <w:tc>
          <w:tcPr/>
          <w:p>
            <w:pPr>
              <w:pStyle w:val="Compact"/>
            </w:pPr>
            <w:r>
              <w:t xml:space="preserve">2.58 [1.39, 4.81]</w:t>
            </w:r>
          </w:p>
        </w:tc>
        <w:tc>
          <w:tcPr/>
          <w:p>
            <w:pPr>
              <w:pStyle w:val="Compact"/>
            </w:pPr>
            <w:r>
              <w:t xml:space="preserve">n.e.</w:t>
            </w:r>
          </w:p>
        </w:tc>
        <w:tc>
          <w:tcPr/>
          <w:p>
            <w:pPr>
              <w:pStyle w:val="Compact"/>
            </w:pPr>
            <w:r>
              <w:t xml:space="preserve">–</w:t>
            </w:r>
          </w:p>
        </w:tc>
      </w:tr>
    </w:tbl>
    <w:p>
      <w:pPr>
        <w:pStyle w:val="a0"/>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24"/>
    <w:bookmarkEnd w:id="25"/>
    <w:bookmarkStart w:id="30" w:name="discussion"/>
    <w:p>
      <w:pPr>
        <w:pStyle w:val="2"/>
      </w:pPr>
      <w:r>
        <w:t xml:space="preserve">5 Discussion</w:t>
      </w:r>
    </w:p>
    <w:p>
      <w:pPr>
        <w:pStyle w:val="FirstParagraph"/>
      </w:pPr>
      <w:r>
        <w:t xml:space="preserve">In short, H1a: yes, though within series the effect depends on the Dà Xú-only labels and the paronomastic glosses. H1b: no, and informatively for tone and voicing, since of those alternations only the departing tone sets labelled pairs apart. H1c: yes, but not as framed; the label goes with the *-s relation, not with its direction. H2: yes, in every subset and in both codings. H5: yes, moderately. Of the exploratory comparisons, only the Xiǎo Xú separates the labels. Of the accounts in Table 1, (B) fails on H1b and on direction; (D) cannot produce the contrast in meaning, or the contrast in sound across all labels, though for the 92 core pairs it is not excluded on sound alone. (A) and (C) both fit the earlier results; H5, fixed before the enlarged coding was made, is the one comparison that separates them, and it favours (C). What the label goes with is thus a result; what its author had in mind remains a hypothesis.</w:t>
      </w:r>
    </w:p>
    <w:bookmarkStart w:id="26" w:name="artefacts"/>
    <w:p>
      <w:pPr>
        <w:pStyle w:val="3"/>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7). Together, however, the checks overlap, since all use one text and one set of MC readings, and the OC *-s trend largely re-counts the MC departing-tone pairs (Section 4.2). Combining either of the first two checks with the within-series comparison, or the two with each other, leaves the contrast in sound imprecise but not the contrast in meaning.</w:t>
      </w:r>
    </w:p>
    <w:bookmarkEnd w:id="26"/>
    <w:bookmarkStart w:id="27" w:name="meaning-first-or-sound-as-well"/>
    <w:p>
      <w:pPr>
        <w:pStyle w:val="3"/>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explains a good deal. Its precondition holds, since in both groups related pairs are nearer in sound than unrelated ones, so a label assigned for meaning alone would already favour identity and the *-s alternation; and it accommodates the remote labels, 43% of the related labelled pairs, which (C) does not lead one to expect (Section 4.4).</w:t>
      </w:r>
    </w:p>
    <w:p>
      <w:pPr>
        <w:pStyle w:val="a0"/>
      </w:pPr>
      <w:r>
        <w:t xml:space="preserve">It does not explain the rest. A label decided by relatedness alone predicts that related labelled and related ordinary pairs are equally close in sound, an odds ratio near 1; on (C) the label should single out the same word or a minimal derivative, which stands closer in sound to the phonetic than a remote cognate does. H5 found the difference (C) predicts; the new items alone reproduce it, the authors’ changes enlarge it, and the label contributes about as much as relatedness itself (Section 4.3). Account (A) survives only if coded relatedness measures the relatedness Xu saw with so much error that related ordinary pairs are less truly related than related labelled ones, and truly related pairs are nearer in sound. Counting only E and adjusting for Y against E narrow this possibility without removing it (Table 5), and a coder readier to find homophones related would have worked against the result.</w:t>
      </w:r>
    </w:p>
    <w:p>
      <w:pPr>
        <w:pStyle w:val="a0"/>
      </w:pPr>
      <w:r>
        <w:t xml:space="preserve">On balance, the label records relatedness of meaning first and, among related pairs, leans toward what (C) names: the same word written with a new graph, or a word minimally derived from it. The lean is moderate (the lower confidence limit falls below 2, the smallest odds ratio of interest), imprecise within series, and weaker in the labels most likely to be Xu’s own (1.80, exploratory; 2.14 with the authors’ changes). It can be stated as a hypothesis about what the analyst saw.</w:t>
      </w:r>
    </w:p>
    <w:p>
      <w:pPr>
        <w:pStyle w:val="aa"/>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first results, but H5, which could have contradicted it, was fixed before the enlarged coding, and it passed. Its other two predictions are untested: that excavated manuscripts write labelled headwords with the bare phonetic graph more often than homophonous ordinary compounds (cf. Section 2.2), and that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linking a compound to its own phonetic favour identity and the departing tone. A meaning-first label predicts neither beyond what relatedness brings.</w:t>
      </w:r>
    </w:p>
    <w:p>
      <w:pPr>
        <w:pStyle w:val="a0"/>
      </w:pPr>
      <w:r>
        <w:t xml:space="preserve">Why the departing tone, and not the other alternations? Perhaps because the *-s derivatives in these series stayed related in meaning to their bases, as far as Xu’s glosses show, while pairs linked by other alternations seldom did (55% against 23% related; Section 4.3). That fits tone C as</w:t>
      </w:r>
      <w:r>
        <w:t xml:space="preserve"> </w:t>
      </w:r>
      <w:r>
        <w:t xml:space="preserve">“the most common derivational device in OC”</w:t>
      </w:r>
      <w:r>
        <w:t xml:space="preserve"> </w:t>
      </w:r>
      <w:r>
        <w:t xml:space="preserve">(Schuessler, 2007), the departing-tone alternation as the</w:t>
      </w:r>
      <w:r>
        <w:t xml:space="preserve"> </w:t>
      </w:r>
      <w:r>
        <w:t xml:space="preserve">“least controversial”</w:t>
      </w:r>
      <w:r>
        <w:t xml:space="preserve"> </w:t>
      </w:r>
      <w:r>
        <w:t xml:space="preserve">evidence of Old Chinese morphology (Zhang, 2022), and the differences between derivational processes in the predictability of their semantics (Barbu Mititelu et al., 2026). But half the labelled *-s members are glossed by their own phonetic, so the *-s result is supported rather than secure.</w:t>
      </w:r>
    </w:p>
    <w:bookmarkEnd w:id="27"/>
    <w:bookmarkStart w:id="28" w:name="X61d98e2b9e88b431582eb5587a7aff70d0eb697"/>
    <w:p>
      <w:pPr>
        <w:pStyle w:val="3"/>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a0"/>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the label’s lean toward close forms cannot replace it, since so many related labelled pairs are remote in sound. Direction comes from neither: the label is silent on it, and the graph’s default, the compound as the derived member, is only partly specific to derivation (Section 4.2).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a0"/>
      </w:pPr>
      <w:r>
        <w:t xml:space="preserve">This is, on a larger scale, the lesson Rasin et al. (2024) drew from Arad’s diagnostics (Section 2.3). It also fits paradigm-based definitions of relatedness, which require no designated base and no fixed direction (Bonami &amp; Strnadová, 2019; Hathout &amp; Namer, 2019): tested at the level of the population, the label, a native judgement of the content side, recovers the form relations that recur with that content, identity and the *-s alternation, and nothing about direction.</w:t>
      </w:r>
    </w:p>
    <w:p>
      <w:pPr>
        <w:pStyle w:val="a0"/>
      </w:pPr>
      <w:r>
        <w:t xml:space="preserve">The homophonous labelled pairs show what the script adds. Speech records nothing for them, yet the descriptive coding classes most as a sense given its own graph and five as conversion: the determinative marks a change of meaning that speech leaves invisible. A graphic device, not a morpheme, it shows only that the writers treated the word as distinct, but it is an overt record of a covert distinction, which diagnostics of conversion usually lack.</w:t>
      </w:r>
    </w:p>
    <w:p>
      <w:pPr>
        <w:pStyle w:val="a0"/>
      </w:pPr>
      <w:r>
        <w:t xml:space="preserve">Whether these relations reflect a word-based or a root-based grammar of Old Chinese, or only which relations had stayed transparent, the design cannot tell. It bears on how derivational families are delimited: a phonetic series is a graphic set whose members may share no more than a sound, and a native label, tested against a comparison group, can help to find the core of homophonous and *-s-related pairs within it.</w:t>
      </w:r>
    </w:p>
    <w:bookmarkEnd w:id="28"/>
    <w:bookmarkStart w:id="29" w:name="whose-label"/>
    <w:p>
      <w:pPr>
        <w:pStyle w:val="3"/>
      </w:pPr>
      <w:r>
        <w:t xml:space="preserve">5.4 Whose label?</w:t>
      </w:r>
    </w:p>
    <w:p>
      <w:pPr>
        <w:pStyle w:val="FirstParagraph"/>
      </w:pPr>
      <w:r>
        <w:t xml:space="preserve">The shared layer, the one most likely to go back to Xu Shen, is less often homophonous and more often remote than the Dà Xú-only layer (Table 6). If the Dà Xú-only labels are later additions, their authors may have applied Xu’s criterion more generously, so that the extra labels fell where related pairs are densest, on homophones; or they may have followed a narrower, sound-oriented criterion, labelling where the phonetic sounded the same and the gloss used it (34% of the Dà Xú-only labels, against 22% of the shared ones), while Xu’s own rest on the broader judgement that the phonetic contributes meaning, so that much of the phonological core would be a product of transmission. Either way the shared labels keep the contrast in meaning and a weaker contrast in sound, so the core is not solely an editor’s creation.</w:t>
      </w:r>
    </w:p>
    <w:p>
      <w:pPr>
        <w:pStyle w:val="a0"/>
      </w:pPr>
      <w:r>
        <w:t xml:space="preserve">Wang Yun thought that the Dà Xú had added labels, and 62 of its labels are indeed absent from the Xiǎo Xú.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filed away from their base: he lets the label on </w:t>
      </w:r>
      <w:r>
        <w:rPr>
          <w:rFonts w:hint="eastAsia"/>
        </w:rPr>
        <w:t xml:space="preserve">傾,</w:t>
      </w:r>
      <w:r>
        <w:t xml:space="preserve"> homophonous with </w:t>
      </w:r>
      <w:r>
        <w:rPr>
          <w:rFonts w:hint="eastAsia"/>
        </w:rPr>
        <w:t xml:space="preserve">頃,</w:t>
      </w:r>
      <w:r>
        <w:t xml:space="preserve"> stand, as does the Xiǎo Xú, but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and calls the Dà Xú analysis</w:t>
      </w:r>
      <w:r>
        <w:t xml:space="preserve"> </w:t>
      </w:r>
      <w:r>
        <w:t xml:space="preserve">“not the convention”</w:t>
      </w:r>
      <w:r>
        <w:t xml:space="preserve"> </w:t>
      </w:r>
      <w:r>
        <w:rPr>
          <w:rFonts w:hint="eastAsia"/>
        </w:rPr>
        <w:t xml:space="preserve">(非例;</w:t>
      </w:r>
      <w:r>
        <w:t xml:space="preserve"> Wang Yun, 1837, juan 8). Here, at least, what separates his decisions is the reading of the Xiǎo Xú, not the relation of sound.</w:t>
      </w:r>
    </w:p>
    <w:bookmarkEnd w:id="29"/>
    <w:bookmarkEnd w:id="30"/>
    <w:bookmarkStart w:id="31" w:name="limitations"/>
    <w:p>
      <w:pPr>
        <w:pStyle w:val="2"/>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judgement. The checks of Section 5.1 constrain each without proving it. The first is weakest where it matters most for H1c, since some tone-change readings are analogical creations of the reading tradition and MC does not always show which words had *-s (Baxter &amp; Sagart, 1998, 2014), although Jacques (2022) argues that the tradition as a whole preserves inherited morphology.</w:t>
      </w:r>
    </w:p>
    <w:p>
      <w:pPr>
        <w:pStyle w:val="a0"/>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removed the label from the sheet but not from the coders’ memory, and the authors, like the model, may know the analysis of common characters. All machine passes come from one model family, so their errors may be correlated and their agreement (lowest for labelled pairs, κ = 0.681) may overstate reliability. The authors’ check was one joint judgment made on a sheet that showed the passes’ codes, so it is neither independent of them nor a measure of reliability between judges; H5 rests on the machine coding, with the check as a sensitivity analysis. Relatedness enters H5 as a binary code, which leaves open the bias discussed in Section 5.2.</w:t>
      </w:r>
    </w:p>
    <w:p>
      <w:pPr>
        <w:pStyle w:val="a0"/>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a0"/>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31"/>
    <w:bookmarkStart w:id="33" w:name="conclusion"/>
    <w:p>
      <w:pPr>
        <w:pStyle w:val="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which in Old Chinese phonetic series is densest among homophones and pairs that differ by *-s. Even among related pairs it favours these two relations, moderately, as it would if it often marked the same word or a minimal derivative; it passes over the series’ other alternations and says nothing about direction. The sound profile is sharpest in the labels found only in the Dà Xú and in entries glossed by their own phonetic, and weak in the plain labels most likely to be Xu Shen’s own, where the relation of meaning is not. Wang Yun saw part of this in 1837. Tested on the whole population, his filing criterion does not separate the labels, and the labels he rejected fall on the same relations as the rest.</w:t>
      </w:r>
    </w:p>
    <w:p>
      <w:pPr>
        <w:pStyle w:val="a0"/>
      </w:pPr>
      <w:r>
        <w:t xml:space="preserve">The study is also a proof of concept. A native metalinguistic label can be tested like any other classification, against a comparison group and against independent evidence of sound and meaning, and the test shows what it measures, here relatedness, and what it does not, here direction. The same test can be turned on the tradition’s other devices (the </w:t>
      </w:r>
      <w:r>
        <w:rPr>
          <w:rFonts w:hint="eastAsia"/>
        </w:rPr>
        <w:t xml:space="preserve">讀若</w:t>
      </w:r>
      <w:r>
        <w:t xml:space="preserve"> notes, sound glosses and Duan’s </w:t>
      </w:r>
      <w:r>
        <w:rPr>
          <w:rFonts w:hint="eastAsia"/>
        </w:rPr>
        <w:t xml:space="preserve">之言</w:t>
      </w:r>
      <w:r>
        <w:t xml:space="preserve"> glosses) and on labelled words in excavated manuscripts.</w:t>
      </w:r>
    </w:p>
    <w:p>
      <w:r>
        <w:pict>
          <v:rect style="width:0;height:1.5pt" o:hralign="center" o:hrstd="t" o:hr="t"/>
        </w:pict>
      </w:r>
    </w:p>
    <w:p>
      <w:pPr>
        <w:pStyle w:val="FirstParagraph"/>
      </w:pPr>
      <w:r>
        <w:rPr>
          <w:b/>
          <w:bCs/>
        </w:rPr>
        <w:t xml:space="preserve">Data availability</w:t>
      </w:r>
      <w:r>
        <w:t xml:space="preserve"> </w:t>
      </w:r>
      <w:r>
        <w:t xml:space="preserve">The dataset, codes and analysis scripts are available at</w:t>
      </w:r>
      <w:r>
        <w:t xml:space="preserve"> </w:t>
      </w:r>
      <w:hyperlink r:id="rId32">
        <w:r>
          <w:rPr>
            <w:rStyle w:val="af"/>
          </w:rPr>
          <w:t xml:space="preserve">WuYusen825/Morphology</w:t>
        </w:r>
      </w:hyperlink>
      <w:r>
        <w:t xml:space="preserve">, in</w:t>
      </w:r>
      <w:r>
        <w:t xml:space="preserve"> </w:t>
      </w:r>
      <w:r>
        <w:rPr>
          <w:rStyle w:val="VerbatimChar"/>
        </w:rPr>
        <w:t xml:space="preserve">youwen/</w:t>
      </w:r>
      <w:r>
        <w:t xml:space="preserve">. The blind semantic pass is in</w:t>
      </w:r>
      <w:r>
        <w:t xml:space="preserve"> </w:t>
      </w:r>
      <w:r>
        <w:rPr>
          <w:rStyle w:val="VerbatimChar"/>
        </w:rPr>
        <w:t xml:space="preserve">blind_coding_sheet_llm_coded.xlsx</w:t>
      </w:r>
      <w:r>
        <w:t xml:space="preserve"> </w:t>
      </w:r>
      <w:r>
        <w:t xml:space="preserve">(sheet </w:t>
      </w:r>
      <w:r>
        <w:rPr>
          <w:rFonts w:hint="eastAsia"/>
        </w:rPr>
        <w:t xml:space="preserve">编码,</w:t>
      </w:r>
      <w:r>
        <w:t xml:space="preserve"> column </w:t>
      </w:r>
      <w:r>
        <w:rPr>
          <w:rFonts w:hint="eastAsia"/>
        </w:rPr>
        <w:t xml:space="preserve">语义关系(Y/E/N/X)),</w:t>
      </w:r>
      <w:r>
        <w:t xml:space="preserve"> with the coding instructions on its sheet </w:t>
      </w:r>
      <w:r>
        <w:rPr>
          <w:rFonts w:hint="eastAsia"/>
        </w:rPr>
        <w:t xml:space="preserve">说明</w:t>
      </w:r>
      <w:r>
        <w:t xml:space="preserve"> and in</w:t>
      </w:r>
      <w:r>
        <w:t xml:space="preserve"> </w:t>
      </w:r>
      <w:r>
        <w:rPr>
          <w:rStyle w:val="VerbatimChar"/>
        </w:rPr>
        <w:t xml:space="preserve">blind_coding_llm_protocol.md</w:t>
      </w:r>
      <w:r>
        <w:t xml:space="preserve">; the first pass is the column</w:t>
      </w:r>
      <w:r>
        <w:t xml:space="preserve"> </w:t>
      </w:r>
      <w:r>
        <w:rPr>
          <w:rStyle w:val="VerbatimChar"/>
        </w:rPr>
        <w:t xml:space="preserve">code_core</w:t>
      </w:r>
      <w:r>
        <w:t xml:space="preserve"> </w:t>
      </w:r>
      <w:r>
        <w:t xml:space="preserve">of</w:t>
      </w:r>
      <w:r>
        <w:t xml:space="preserve"> </w:t>
      </w:r>
      <w:r>
        <w:rPr>
          <w:rStyle w:val="VerbatimChar"/>
        </w:rPr>
        <w:t xml:space="preserve">yisheng_claude_codes.csv</w:t>
      </w:r>
      <w:r>
        <w:t xml:space="preserve">. The supplementary analyses reported here, including the combined checks of Table 7, are in</w:t>
      </w:r>
      <w:r>
        <w:t xml:space="preserve"> </w:t>
      </w:r>
      <w:r>
        <w:rPr>
          <w:rStyle w:val="VerbatimChar"/>
        </w:rPr>
        <w:t xml:space="preserve">yisheng_models_v7_checks.csv</w:t>
      </w:r>
      <w:r>
        <w:t xml:space="preserve">, produced by</w:t>
      </w:r>
      <w:r>
        <w:t xml:space="preserve"> </w:t>
      </w:r>
      <w:r>
        <w:rPr>
          <w:rStyle w:val="VerbatimChar"/>
        </w:rPr>
        <w:t xml:space="preserve">scripts/yisheng_v7_checks.py</w:t>
      </w:r>
      <w:r>
        <w:t xml:space="preserve">. The enlarged coding is in</w:t>
      </w:r>
      <w:r>
        <w:t xml:space="preserve"> </w:t>
      </w:r>
      <w:r>
        <w:rPr>
          <w:rStyle w:val="VerbatimChar"/>
        </w:rPr>
        <w:t xml:space="preserve">ext_coding/</w:t>
      </w:r>
      <w:r>
        <w:t xml:space="preserve">: the analysis plan committed before coding (</w:t>
      </w:r>
      <w:r>
        <w:rPr>
          <w:rStyle w:val="VerbatimChar"/>
        </w:rPr>
        <w:t xml:space="preserve">analysis_plan.md</w:t>
      </w:r>
      <w:r>
        <w:t xml:space="preserve">), the sampling and analysis scripts, the prompts and raw answers of every batch, the two passes (</w:t>
      </w:r>
      <w:r>
        <w:rPr>
          <w:rStyle w:val="VerbatimChar"/>
        </w:rPr>
        <w:t xml:space="preserve">blind_coding_extended_pass1.xlsx</w:t>
      </w:r>
      <w:r>
        <w:t xml:space="preserve">,</w:t>
      </w:r>
      <w:r>
        <w:t xml:space="preserve"> </w:t>
      </w:r>
      <w:r>
        <w:rPr>
          <w:rStyle w:val="VerbatimChar"/>
        </w:rPr>
        <w:t xml:space="preserve">blind_coding_extended_pass2.xlsx</w:t>
      </w:r>
      <w:r>
        <w:t xml:space="preserve">), the results (</w:t>
      </w:r>
      <w:r>
        <w:rPr>
          <w:rStyle w:val="VerbatimChar"/>
        </w:rPr>
        <w:t xml:space="preserve">yisheng_models_ext_coding.csv</w:t>
      </w:r>
      <w:r>
        <w:t xml:space="preserve">) and agreement statistics (</w:t>
      </w:r>
      <w:r>
        <w:rPr>
          <w:rStyle w:val="VerbatimChar"/>
        </w:rPr>
        <w:t xml:space="preserve">ext_kappa_output.txt</w:t>
      </w:r>
      <w:r>
        <w:t xml:space="preserve">), and the authors’ joint check with its sensitivity analysis (</w:t>
      </w:r>
      <w:r>
        <w:rPr>
          <w:rStyle w:val="VerbatimChar"/>
        </w:rPr>
        <w:t xml:space="preserve">ext_check_sheet_author_filled.xlsx</w:t>
      </w:r>
      <w:r>
        <w:t xml:space="preserve">,</w:t>
      </w:r>
      <w:r>
        <w:t xml:space="preserve"> </w:t>
      </w:r>
      <w:r>
        <w:rPr>
          <w:rStyle w:val="VerbatimChar"/>
        </w:rPr>
        <w:t xml:space="preserve">yisheng_models_ext_author_check.csv</w:t>
      </w:r>
      <w:r>
        <w:t xml:space="preserve">,</w:t>
      </w:r>
      <w:r>
        <w:t xml:space="preserve"> </w:t>
      </w:r>
      <w:r>
        <w:rPr>
          <w:rStyle w:val="VerbatimChar"/>
        </w:rPr>
        <w:t xml:space="preserve">ext_author_check_output.txt</w:t>
      </w:r>
      <w:r>
        <w:t xml:space="preserve">). The Dà Xú spot-check register, source-check ledger and coding provenance note are in</w:t>
      </w:r>
      <w:r>
        <w:t xml:space="preserve"> </w:t>
      </w:r>
      <w:r>
        <w:rPr>
          <w:rStyle w:val="VerbatimChar"/>
        </w:rPr>
        <w:t xml:space="preserve">youwen/manuscript/</w:t>
      </w:r>
      <w:r>
        <w:t xml:space="preserve">. An archived snapshot with a DOI will be deposited before publication. Some characters (e.g., </w:t>
      </w:r>
      <w:r>
        <w:rPr>
          <w:rFonts w:hint="eastAsia"/>
        </w:rPr>
        <w:t xml:space="preserve">𠔁,</w:t>
      </w:r>
      <w:r>
        <w:t xml:space="preserve"> </w:t>
      </w:r>
      <w:r>
        <w:rPr>
          <w:rFonts w:hint="eastAsia"/>
        </w:rPr>
        <w:t xml:space="preserve">𨻺,</w:t>
      </w:r>
      <w:r>
        <w:t xml:space="preserve"> 䢈) need a font that covers the CJK extension blocks.</w:t>
      </w:r>
    </w:p>
    <w:p>
      <w:pPr>
        <w:pStyle w:val="a0"/>
      </w:pPr>
      <w:r>
        <w:rPr>
          <w:b/>
          <w:bCs/>
        </w:rPr>
        <w:t xml:space="preserve">Declarations</w:t>
      </w:r>
      <w:r>
        <w:t xml:space="preserve"> </w:t>
      </w:r>
      <w:r>
        <w:t xml:space="preserve">Yusen Wu and Weiyi Qu each coded the first semantic sample independently from the unlabelled sheet and checked it against the blind machine coding, jointly reviewed 126 items of the enlarged coding, and jointly reviewed the relation types of the homophonous pairs. Affiliation, funding and competing-interest statements will be completed for submission.</w:t>
      </w:r>
    </w:p>
    <w:p>
      <w:pPr>
        <w:pStyle w:val="a0"/>
      </w:pPr>
      <w:r>
        <w:rPr>
          <w:b/>
          <w:bCs/>
        </w:rPr>
        <w:t xml:space="preserve">Use of AI tools</w:t>
      </w:r>
      <w:r>
        <w:t xml:space="preserve"> </w:t>
      </w:r>
      <w:r>
        <w:t xml:space="preserve">Claude (Anthropic) assisted with data extraction, recension collation, statistical scripting and drafting. The semantic codings analysed here were made blind by separate Claude instances: one pass for the first sample, beside a non-blind pass by the instance that built the dataset that is reported for comparison, and two independent passes for the enlarged coding. The authors verified the first coding item by item and reviewed 126 items of the enlarged coding jointly. Codex (OpenAI) assisted with source checks and revision planning. The authors take responsibility for the analyses and the text; the machine-assisted materials are retained in the repository for provenance.</w:t>
      </w:r>
    </w:p>
    <w:p>
      <w:r>
        <w:pict>
          <v:rect style="width:0;height:1.5pt" o:hralign="center" o:hrstd="t" o:hr="t"/>
        </w:pict>
      </w:r>
    </w:p>
    <w:bookmarkEnd w:id="33"/>
    <w:bookmarkStart w:id="34" w:name="references"/>
    <w:p>
      <w:pPr>
        <w:pStyle w:val="2"/>
      </w:pPr>
      <w:r>
        <w:t xml:space="preserve">References</w:t>
      </w:r>
    </w:p>
    <w:p>
      <w:pPr>
        <w:pStyle w:val="FirstParagraph"/>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a0"/>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a0"/>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a0"/>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w:t>
      </w:r>
    </w:p>
    <w:p>
      <w:pPr>
        <w:pStyle w:val="a0"/>
      </w:pPr>
      <w:r>
        <w:t xml:space="preserve">Baxter, W. H., &amp; Sagart, L. (2014).</w:t>
      </w:r>
      <w:r>
        <w:t xml:space="preserve"> </w:t>
      </w:r>
      <w:r>
        <w:rPr>
          <w:i/>
          <w:iCs/>
        </w:rPr>
        <w:t xml:space="preserve">Old Chinese: A new reconstruction</w:t>
      </w:r>
      <w:r>
        <w:t xml:space="preserve">. Oxford University Press.</w:t>
      </w:r>
    </w:p>
    <w:p>
      <w:pPr>
        <w:pStyle w:val="a0"/>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a0"/>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a0"/>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a0"/>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a0"/>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a0"/>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a0"/>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a0"/>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a0"/>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a0"/>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a0"/>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a0"/>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a0"/>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a0"/>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a0"/>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a0"/>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a0"/>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a0"/>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a0"/>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a0"/>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a0"/>
      </w:pPr>
      <w:r>
        <w:t xml:space="preserve">Sagart, L. (1999).</w:t>
      </w:r>
      <w:r>
        <w:t xml:space="preserve"> </w:t>
      </w:r>
      <w:r>
        <w:rPr>
          <w:i/>
          <w:iCs/>
        </w:rPr>
        <w:t xml:space="preserve">The roots of Old Chinese</w:t>
      </w:r>
      <w:r>
        <w:t xml:space="preserve">. John Benjamins.</w:t>
      </w:r>
    </w:p>
    <w:p>
      <w:pPr>
        <w:pStyle w:val="a0"/>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a0"/>
      </w:pPr>
      <w:r>
        <w:t xml:space="preserve">Schuessler, A. (2007).</w:t>
      </w:r>
      <w:r>
        <w:t xml:space="preserve"> </w:t>
      </w:r>
      <w:r>
        <w:rPr>
          <w:i/>
          <w:iCs/>
        </w:rPr>
        <w:t xml:space="preserve">ABC etymological dictionary of Old Chinese</w:t>
      </w:r>
      <w:r>
        <w:t xml:space="preserve">. University of Hawai’i Press.</w:t>
      </w:r>
    </w:p>
    <w:p>
      <w:pPr>
        <w:pStyle w:val="a0"/>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a0"/>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a0"/>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a0"/>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a0"/>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a0"/>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a0"/>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a0"/>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a0"/>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34"/>
    <w:sectPr w:rsidR="001E7AC3">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B128FA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024B1A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00086106" w:numId="1">
    <w:abstractNumId w:val="0"/>
  </w:num>
  <w:num w16cid:durableId="1122724509" w:numId="2">
    <w:abstractNumId w:val="1"/>
  </w: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1E7AC3"/>
    <w:rsid w:val="001E7AC3"/>
    <w:rsid w:val="003A44C0"/>
    <w:rsid w:val="004149FF"/>
    <w:rsid w:val="009A31C6"/>
    <w:rsid w:val="00B43F4D"/>
    <w:rsid w:val="00E33B98"/>
    <w:rsid w:val="00E8744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ascii="Times New Roman" w:cs="Times New Roman" w:eastAsia="宋体" w:hAnsi="Times New Roman"/>
    </w:rPr>
  </w:style>
  <w:style w:styleId="1" w:type="paragraph">
    <w:name w:val="heading 1"/>
    <w:basedOn w:val="a"/>
    <w:next w:val="a0"/>
    <w:link w:val="10"/>
    <w:uiPriority w:val="9"/>
    <w:qFormat/>
    <w:rsid w:val="00A10FD9"/>
    <w:pPr>
      <w:keepNext/>
      <w:keepLines/>
      <w:spacing w:after="80" w:before="360"/>
      <w:outlineLvl w:val="0"/>
    </w:pPr>
    <w:rPr>
      <w:color w:val="000000"/>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color w:val="000000"/>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color w:val="000000"/>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Pr>
      <w:rFonts w:ascii="Times New Roman" w:cs="Times New Roman" w:eastAsia="宋体" w:hAnsi="Times New Roman"/>
      <w:sz w:val="20"/>
      <w:szCs w:val="20"/>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0" w:type="character">
    <w:name w:val="annotation reference"/>
    <w:basedOn w:val="a1"/>
    <w:rsid w:val="009A31C6"/>
    <w:rPr>
      <w:sz w:val="21"/>
      <w:szCs w:val="21"/>
    </w:rPr>
  </w:style>
  <w:style w:styleId="af1" w:type="paragraph">
    <w:name w:val="annotation text"/>
    <w:basedOn w:val="a"/>
    <w:link w:val="af2"/>
    <w:rsid w:val="009A31C6"/>
  </w:style>
  <w:style w:customStyle="1" w:styleId="af2" w:type="character">
    <w:name w:val="批注文字 字符"/>
    <w:basedOn w:val="a1"/>
    <w:link w:val="af1"/>
    <w:rsid w:val="009A31C6"/>
    <w:rPr>
      <w:rFonts w:ascii="Times New Roman" w:cs="Times New Roman" w:eastAsia="宋体" w:hAnsi="Times New Roman"/>
    </w:rPr>
  </w:style>
  <w:style w:styleId="af3" w:type="paragraph">
    <w:name w:val="annotation subject"/>
    <w:basedOn w:val="af1"/>
    <w:next w:val="af1"/>
    <w:link w:val="af4"/>
    <w:rsid w:val="009A31C6"/>
    <w:rPr>
      <w:b/>
      <w:bCs/>
    </w:rPr>
  </w:style>
  <w:style w:customStyle="1" w:styleId="af4" w:type="character">
    <w:name w:val="批注主题 字符"/>
    <w:basedOn w:val="af2"/>
    <w:link w:val="af3"/>
    <w:rsid w:val="009A31C6"/>
    <w:rPr>
      <w:rFonts w:ascii="Times New Roman" w:cs="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github.com/WuYusen825/Morphology"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WuYusen825/Morph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7994</Words>
  <Characters>45572</Characters>
  <Application>Microsoft Office Word</Application>
  <DocSecurity>0</DocSecurity>
  <Lines>379</Lines>
  <Paragraphs>106</Paragraphs>
  <ScaleCrop>false</ScaleCrop>
  <Company/>
  <LinksUpToDate>false</LinksUpToDate>
  <CharactersWithSpaces>53460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Yusen Wu and Weiyi Qu</dc:creator>
  <cp:keywords/>
  <dcterms:created xsi:type="dcterms:W3CDTF">2026-09-30T13:50:55Z</dcterms:created>
  <dcterms:modified xsi:type="dcterms:W3CDTF">2026-09-30T13:50:55Z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v8, 30 September 2026</vt:lpwstr>
  </property>
</Properties>
</file>