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supplementary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Data availability</w:t>
      </w:r>
      <w:r>
        <w:t xml:space="preserve"> </w:t>
      </w:r>
      <w:r>
        <w:t xml:space="preserve">All data supporting the findings of this study are available within the article and its Supplementary Information: the pair-level dataset (Online Resource 2), the semantic codings (Online Resource 3), the analysis plan and the materials of the enlarged coding, including the prompts and the raw answers of the Claude instances (Online Resources 4 and 5), the result tables (Online Resource 6), and the analysis code together with all input tables as CSV files (Online Resource 7). Online Resource 1 is a guide to all files, with the data dictionaries, the coding instructions and the sources and licences of third-party data (its Section 8).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 The scans of the print editions consulted for the checks (Waseda University Library; National Library of China) are not redistributed.</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
  <cp:keywords/>
  <dcterms:created xsi:type="dcterms:W3CDTF">2026-10-01T09:58:28Z</dcterms:created>
  <dcterms:modified xsi:type="dcterms:W3CDTF">2026-10-01T09:58:28Z</dcterms:modified>
  <cp:lastModifiedBy/>
</cp:coreProperties>
</file>

<file path=docProps/custom.xml><?xml version="1.0" encoding="utf-8"?>
<Properties xmlns="http://schemas.openxmlformats.org/officeDocument/2006/custom-properties" xmlns:vt="http://schemas.openxmlformats.org/officeDocument/2006/docPropsVTypes"/>
</file>