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跨语言兄弟姐妹称谓的语义组合传统相对性别与剩余非加性的预测检验"/>
    <w:p>
      <w:pPr>
        <w:pStyle w:val="Heading1"/>
      </w:pPr>
      <w:r>
        <w:t xml:space="preserve">跨语言兄弟姐妹称谓的语义组合：传统相对性别与剩余非加性的预测检验</w:t>
      </w:r>
    </w:p>
    <w:p>
      <w:pPr>
        <w:pStyle w:val="FirstParagraph"/>
      </w:pPr>
      <w:r>
        <w:rPr>
          <w:b/>
          <w:bCs/>
        </w:rPr>
        <w:t xml:space="preserve">中文实证工作稿｜2026年10月14日</w:t>
      </w:r>
    </w:p>
    <w:bookmarkStart w:id="20" w:name="摘要"/>
    <w:p>
      <w:pPr>
        <w:pStyle w:val="Heading2"/>
      </w:pPr>
      <w:r>
        <w:t xml:space="preserve">摘要</w:t>
      </w:r>
    </w:p>
    <w:p>
      <w:pPr>
        <w:pStyle w:val="FirstParagraph"/>
      </w:pPr>
      <w:r>
        <w:t xml:space="preserve">亲属称谓研究长期使用性别、年龄与参照者关系描述词汇分类，但多个语义特征的存在并不意味着类别对共享词形的概率满足加性。本研究利用锁定版本的Kinbank，以939个具有完整八类兄弟姐妹记录的语言系统、125个谱系组和26,292个无序类别对，比较原始三特征加性、加入传统相对性别的经典加性、完整两两交互三种模型。研究首先证明：相对性别差异等于所指者性别差异与参照者性别差异的异或，因此一个传统特征主效应可改写为原始编码中的交互。三个模型分别具有4、5、7个可识别参数；两两交互模型在七种非零差异组合上饱和。语系整组五折验证的主设定下，三模型的语言等权对数损失分别为0.581049、0.578468、0.576625。完整交互相对原始加性的增益为0.004423，谱系组重采样95%区间为[-0.000510, 0.008205]；相对经典加性的剩余增益为0.001843，区间为[-0.000604, 0.006120]。严格词形集合与单词形子样本中，经典基准后的增益转负；弱惩罚及无惩罚分析则得到较大的正增益。结果揭示了传统语义重编码与统计交互之间的精确联系，并表明剩余预测增益具有数据定义和估计设定依赖性。本研究为亲属语义组合提供可复现的分层基准比较，其结论针对跨语言总体词形共享的预测结构。</w:t>
      </w:r>
    </w:p>
    <w:p>
      <w:pPr>
        <w:pStyle w:val="BodyText"/>
      </w:pPr>
      <w:r>
        <w:rPr>
          <w:b/>
          <w:bCs/>
        </w:rPr>
        <w:t xml:space="preserve">关键词：</w:t>
      </w:r>
      <w:r>
        <w:t xml:space="preserve"> </w:t>
      </w:r>
      <w:r>
        <w:t xml:space="preserve">亲属称谓；词汇语义；相对性别；统计交互；Kinbank；跨语系验证</w:t>
      </w:r>
    </w:p>
    <w:bookmarkEnd w:id="20"/>
    <w:bookmarkStart w:id="21" w:name="一引言"/>
    <w:p>
      <w:pPr>
        <w:pStyle w:val="Heading2"/>
      </w:pPr>
      <w:r>
        <w:t xml:space="preserve">一、引言</w:t>
      </w:r>
    </w:p>
    <w:p>
      <w:pPr>
        <w:pStyle w:val="FirstParagraph"/>
      </w:pPr>
      <w:r>
        <w:t xml:space="preserve">一个亲属称谓可以覆盖多个谱系位置，而不同语言对相同位置的区分方式并不一致。英语的brother、sister主要区分所指者性别，另一些体系突出年长与年幼，还有一些体系依据说话者与兄弟姐妹是否同性组织称谓。比较这些差异，是研究语言如何形成语义范畴的重要途径[A01、A02、A09]。</w:t>
      </w:r>
    </w:p>
    <w:p>
      <w:pPr>
        <w:pStyle w:val="BodyText"/>
      </w:pPr>
      <w:r>
        <w:t xml:space="preserve">亲属分类中的多维结构具有很长的研究史。Kroeber提出的区分维度、Nerlove与Romney的兄弟姐妹类型研究、Kronenfeld的合取性与标记性分析，已经把年龄和性别的组合纳入讨论[A01、A02、A06]。本研究关注的是另一个可形式化的问题：给定两个具体亲属类别，它们共享词形的概率，是否能够由各原始维度的独立贡献预测？</w:t>
      </w:r>
    </w:p>
    <w:p>
      <w:pPr>
        <w:pStyle w:val="BodyText"/>
      </w:pPr>
      <w:r>
        <w:t xml:space="preserve">这一问题需要同时处理语义表述与统计尺度。首先，某个编码中的交互可能在另一种编码中成为主效应。</w:t>
      </w:r>
      <w:r>
        <w:t xml:space="preserve">“</w:t>
      </w:r>
      <w:r>
        <w:t xml:space="preserve">同性／异性兄弟姐妹</w:t>
      </w:r>
      <w:r>
        <w:t xml:space="preserve">”</w:t>
      </w:r>
      <w:r>
        <w:t xml:space="preserve">就是典型例子。其次，logit上的加性不同于概率上的加性；直接比较概率变化与回归系数，会把模型尺度差异混入语义解释。再次，兄弟姐妹八类别生成28个配对，这些配对由同一个称谓系统产生，语言又共享谱系历史，评估设计必须体现这些依赖。</w:t>
      </w:r>
    </w:p>
    <w:p>
      <w:pPr>
        <w:pStyle w:val="BodyText"/>
      </w:pPr>
      <w:r>
        <w:t xml:space="preserve">本研究在公开数据库上建立三个基准：原始所指者性别、相对年龄、参照者性别差异的加性模型；加入传统相对性别的加性模型；完整两两交互模型。研究问题依次为：交互相对原始加性有多少预测增益；传统相对性别解释多少增益；剩余增益如何随词形判定、资料覆盖、来源和估计方式变化。主要评价目标是未见谱系组的预测，而非训练拟合程度。</w:t>
      </w:r>
    </w:p>
    <w:bookmarkEnd w:id="21"/>
    <w:bookmarkStart w:id="26" w:name="二文献综述与理论框架"/>
    <w:p>
      <w:pPr>
        <w:pStyle w:val="Heading2"/>
      </w:pPr>
      <w:r>
        <w:t xml:space="preserve">二、文献综述与理论框架</w:t>
      </w:r>
    </w:p>
    <w:bookmarkStart w:id="22" w:name="从经典亲属维度到关系特征"/>
    <w:p>
      <w:pPr>
        <w:pStyle w:val="Heading3"/>
      </w:pPr>
      <w:r>
        <w:t xml:space="preserve">2.1 从经典亲属维度到关系特征</w:t>
      </w:r>
    </w:p>
    <w:p>
      <w:pPr>
        <w:pStyle w:val="FirstParagraph"/>
      </w:pPr>
      <w:r>
        <w:t xml:space="preserve">Morgan的历史关系表为跨社会亲属比较提供早期资料[A08]。Kroeber指出，各体系都把不同关系纳入词汇类别，分析重点在于所采用的区分[A01]。成分分析进一步尝试将称谓意义组织为属性和规则；Goodenough与Lounsbury的两项经典文章[A03、A04]在本次取得的是出版商可见首段，本文仅据其定位说明历史脉络，相关详细规则采用已取得全文的亲属理论与类型学研究[A15、A17]。</w:t>
      </w:r>
    </w:p>
    <w:p>
      <w:pPr>
        <w:pStyle w:val="BodyText"/>
      </w:pPr>
      <w:r>
        <w:t xml:space="preserve">Nerlove与Romney围绕性别、年龄及同性／异性关系比较兄弟姐妹体系[A02]。Kronenfeld将传统限制扩展为合取结构与标记性问题[A06]；Hage从标记理论、历史应用和不出现的类别组合讨论亲属规律[A07、A19]。Faris的东南Nuba资料提供了对传统兄弟姐妹结构假设的具体早期材料[A20]。这些摘要文献支持研究脉络和所报告的问题，其详细分析不作为本次回归参数的直接证据。</w:t>
      </w:r>
    </w:p>
    <w:p>
      <w:pPr>
        <w:pStyle w:val="BodyText"/>
      </w:pPr>
      <w:r>
        <w:t xml:space="preserve">亲属语义的形式结构又不限于外部关系位置。Read将亲属概念与术语生成运算联系起来[A15]，Jones从概念结构与约束体系解释跨语言差异[A14]。Kronenfeld2006年的全文讨论词干、性别后缀与通用修饰手段[A17]，提示“共享词形”与“共享语义范畴”应保持清楚的操作区分。</w:t>
      </w:r>
    </w:p>
    <w:bookmarkEnd w:id="22"/>
    <w:bookmarkStart w:id="23" w:name="共享历史社会实践与系统内部关系"/>
    <w:p>
      <w:pPr>
        <w:pStyle w:val="Heading3"/>
      </w:pPr>
      <w:r>
        <w:t xml:space="preserve">2.2 共享历史、社会实践与系统内部关系</w:t>
      </w:r>
    </w:p>
    <w:p>
      <w:pPr>
        <w:pStyle w:val="FirstParagraph"/>
      </w:pPr>
      <w:r>
        <w:t xml:space="preserve">Jordan在南岛语系重建兄弟姐妹相对年龄和相对性别的历史[A10]。该文分别考察相关区分及其变化，联合意义演化检验属于其提出的后续方向。Pericliev以亲属模式研究语言家族，兄弟姐妹类别对谱系区分具有信息[A16]。这使本研究以语系作为验证组具有直接领域依据。</w:t>
      </w:r>
    </w:p>
    <w:p>
      <w:pPr>
        <w:pStyle w:val="BodyText"/>
      </w:pPr>
      <w:r>
        <w:t xml:space="preserve">关于班图语及更广泛亲属体系的研究指出，称谓与社会组织之间的关联具有地区与历史背景[A11、A13]；Rácz等以堂／表亲称谓结构的复杂度研究社会实践和共享历史[A12]。Passmore等关于内部共选的研究，将类别对词形相似组织为系统结构，评估传统类型和跨代区域的关系[A18]。因此，类别对比较本身已有直接先例。本研究将新增的分析重点放在预定义语义函数、传统相对性别基准及谱系外预测增益。</w:t>
      </w:r>
    </w:p>
    <w:bookmarkEnd w:id="23"/>
    <w:bookmarkStart w:id="24" w:name="交际效率学习和范畴结构"/>
    <w:p>
      <w:pPr>
        <w:pStyle w:val="Heading3"/>
      </w:pPr>
      <w:r>
        <w:t xml:space="preserve">2.3 交际效率、学习和范畴结构</w:t>
      </w:r>
    </w:p>
    <w:p>
      <w:pPr>
        <w:pStyle w:val="FirstParagraph"/>
      </w:pPr>
      <w:r>
        <w:t xml:space="preserve">Kemp与Regier将亲属系统置于简洁性与信息性权衡之中[B01]。语义类型学综述和跨语言词义研究[B05、B07]，以及颜色、数量和语法标记研究[B06、B08、B09、B11、B15、B16]，显示此框架可用于比较多种语义系统。概念空间、简洁性和领域差异研究进一步讨论结构约束与学习的关系[B10、B12、B13]。这些文献用于理论比较；本研究没有直接估计交际需要或交际成本。</w:t>
      </w:r>
    </w:p>
    <w:p>
      <w:pPr>
        <w:pStyle w:val="BodyText"/>
      </w:pPr>
      <w:r>
        <w:t xml:space="preserve">Hallam等2025年的会议论文建立亲属语义特征与交际效率的联系，使用加权的共享特征来描述相似性，并讨论条件性区分[B02]。这是本研究的重要先行工作。Mollica与Piantadosi的亲属词逻辑学习研究则把组合结构置于学习过程[B14]；其逻辑表示与本次logit交互分别对应不同形式层次。</w:t>
      </w:r>
    </w:p>
    <w:p>
      <w:pPr>
        <w:pStyle w:val="BodyText"/>
      </w:pPr>
      <w:r>
        <w:t xml:space="preserve">Hallam等2025年在731种语言及人工推广任务中研究不同亲属区域间的预测结构[B03]。Kemp2026年讨论对称性与范畴数量，并直接把相对性别纳入兄弟姐妹空间[B04]。综合这些工作，本研究的贡献是明确的基准比较和增益量化：交互的改进应与已有语义特征、组合规则和结构理论对照，而不是以“首次发现组合”表述。</w:t>
      </w:r>
    </w:p>
    <w:bookmarkEnd w:id="24"/>
    <w:bookmarkStart w:id="25" w:name="本研究的估计对象"/>
    <w:p>
      <w:pPr>
        <w:pStyle w:val="Heading3"/>
      </w:pPr>
      <w:r>
        <w:t xml:space="preserve">2.4 本研究的估计对象</w:t>
      </w:r>
    </w:p>
    <w:p>
      <w:pPr>
        <w:pStyle w:val="FirstParagraph"/>
      </w:pPr>
      <w:r>
        <w:t xml:space="preserve">令</w:t>
      </w:r>
      <w:r>
        <w:t xml:space="preserve"> </w:t>
      </w:r>
      <m:oMath>
        <m:sSub>
          <m:e>
            <m:r>
              <m:t>Y</m:t>
            </m:r>
          </m:e>
          <m:sub>
            <m:r>
              <m:t>l</m:t>
            </m:r>
            <m:r>
              <m:rPr>
                <m:sty m:val="p"/>
              </m:rPr>
              <m:t>,</m:t>
            </m:r>
            <m:r>
              <m:t>i</m:t>
            </m:r>
            <m:r>
              <m:t>j</m:t>
            </m:r>
          </m:sub>
        </m:sSub>
        <m:r>
          <m:rPr>
            <m:sty m:val="p"/>
          </m:rPr>
          <m:t>=</m:t>
        </m:r>
        <m:r>
          <m:t>1</m:t>
        </m:r>
      </m:oMath>
      <w:r>
        <w:t xml:space="preserve"> </w:t>
      </w:r>
      <w:r>
        <w:t xml:space="preserve">表示语言记录系统</w:t>
      </w:r>
      <w:r>
        <w:t xml:space="preserve"> </w:t>
      </w:r>
      <m:oMath>
        <m:r>
          <m:t>l</m:t>
        </m:r>
      </m:oMath>
      <w:r>
        <w:t xml:space="preserve"> </w:t>
      </w:r>
      <w:r>
        <w:t xml:space="preserve">中两个不同类别</w:t>
      </w:r>
      <w:r>
        <w:t xml:space="preserve"> </w:t>
      </w:r>
      <m:oMath>
        <m:r>
          <m:t>i</m:t>
        </m:r>
        <m:r>
          <m:rPr>
            <m:sty m:val="p"/>
          </m:rPr>
          <m:t>,</m:t>
        </m:r>
        <m:r>
          <m:t>j</m:t>
        </m:r>
      </m:oMath>
      <w:r>
        <w:t xml:space="preserve"> </w:t>
      </w:r>
      <w:r>
        <w:t xml:space="preserve">至少共享一个标准化词形。本研究拟合的是跨语言总体的条件概率</w:t>
      </w:r>
      <w:r>
        <w:t xml:space="preserve"> </w:t>
      </w:r>
      <m:oMath>
        <m:r>
          <m:t>P</m:t>
        </m:r>
        <m:d>
          <m:dPr>
            <m:begChr m:val="("/>
            <m:endChr m:val=")"/>
            <m:sepChr m:val=""/>
            <m:grow/>
          </m:dPr>
          <m:e>
            <m:r>
              <m:t>Y</m:t>
            </m:r>
            <m:r>
              <m:rPr>
                <m:sty m:val="p"/>
              </m:rPr>
              <m:t>=</m:t>
            </m:r>
            <m:r>
              <m:t>1</m:t>
            </m:r>
            <m:r>
              <m:rPr>
                <m:sty m:val="p"/>
              </m:rPr>
              <m:t>∣</m:t>
            </m:r>
            <m:r>
              <m:t>D</m:t>
            </m:r>
          </m:e>
        </m:d>
      </m:oMath>
      <w:r>
        <w:t xml:space="preserve">，比较这一边际预测函数对新谱系数据的泛化能力。</w:t>
      </w:r>
    </w:p>
    <w:p>
      <w:pPr>
        <w:pStyle w:val="BodyText"/>
      </w:pPr>
      <w:r>
        <w:t xml:space="preserve">这一对象与单个语言内部的语义表示有所区别。多种语言的异质性在混合后可以产生总体logit的非加性，因而总体函数的改善并不直接说明每一种语言都具有相应心理交互。语系留出检验跨谱系预测能力，语系重采样描述谱系组成变化；二者与个体加工机制、历史因果和完整谱系协方差模型分别对应不同问题。</w:t>
      </w:r>
    </w:p>
    <w:bookmarkEnd w:id="25"/>
    <w:bookmarkEnd w:id="26"/>
    <w:bookmarkStart w:id="31" w:name="三数据与方法"/>
    <w:p>
      <w:pPr>
        <w:pStyle w:val="Heading2"/>
      </w:pPr>
      <w:r>
        <w:t xml:space="preserve">三、数据与方法</w:t>
      </w:r>
    </w:p>
    <w:bookmarkStart w:id="27" w:name="数据版本类别与资料选择"/>
    <w:p>
      <w:pPr>
        <w:pStyle w:val="Heading3"/>
      </w:pPr>
      <w:r>
        <w:t xml:space="preserve">3.1 数据版本、类别与资料选择</w:t>
      </w:r>
    </w:p>
    <w:p>
      <w:pPr>
        <w:pStyle w:val="FirstParagraph"/>
      </w:pPr>
      <w:r>
        <w:t xml:space="preserve">数据采用Kinbank仓库commit</w:t>
      </w:r>
      <w:r>
        <w:t xml:space="preserve"> </w:t>
      </w:r>
      <w:r>
        <w:rPr>
          <w:rStyle w:val="VerbatimChar"/>
        </w:rPr>
        <w:t xml:space="preserve">925cc0e702ae5481cfe0088aaa0e69c3991000f3</w:t>
      </w:r>
      <w:r>
        <w:t xml:space="preserve">，谱系联结采用Glottolog CLDF commit</w:t>
      </w:r>
      <w:r>
        <w:t xml:space="preserve"> </w:t>
      </w:r>
      <w:r>
        <w:rPr>
          <w:rStyle w:val="VerbatimChar"/>
        </w:rPr>
        <w:t xml:space="preserve">072ca0d0410039fb8b779be8fc165bac575d2cda</w:t>
      </w:r>
      <w:r>
        <w:t xml:space="preserve">。下载与执行日期为2026年10月14日，数据许可与原始文件SHA-256保存于复现材料。当前Kinbank仓库许可为CC BY 4.0。CLDF的数据规范及相关比较数据库提供结构化复用背景[C10、C11]。</w:t>
      </w:r>
    </w:p>
    <w:p>
      <w:pPr>
        <w:pStyle w:val="BodyText"/>
      </w:pPr>
      <w:r>
        <w:t xml:space="preserve">2023年Kinbank论文报告210,903条称谓、1,229种语言[A09]；本次锁定版本实际具有218,412条词形记录和1,314个语言资料ID。这些数字分别对应论文发表样本与本次仓库版本。目标八类为meB、myB、meZ、myZ、feB、fyB、feZ、fyZ。其中m/f为男性／女性参照者，e/y为年长／年幼，B/Z为男性／女性所指者。</w:t>
      </w:r>
    </w:p>
    <w:p>
      <w:pPr>
        <w:pStyle w:val="BodyText"/>
      </w:pPr>
      <w:r>
        <w:t xml:space="preserve">目标域共有12,537条记录，涉及1,208个资料ID。按Glottocode选取类别覆盖最高的一个资料ID，并列按ID排序，移除98个重复来源ID，保留1,110个Glottocode记录系统，其中941个八类齐全。官方Glottolog用于统一谱系；明确的孤立语言各自成组，两条未分类／未匹配记录分别列于排除表。最终主样本为939个完整记录系统、125个谱系组和26,292个类别对。该样本含语言变体与历史语言，本文“语言数”是相应Glottocode记录系统的计数。</w:t>
      </w:r>
    </w:p>
    <w:p>
      <w:pPr>
        <w:pStyle w:val="BodyText"/>
      </w:pPr>
      <w:r>
        <w:t xml:space="preserve">原始Kinbank Family字段在已选资料中有180个空缺。它们经官方分类补联，不统一视为孤立语言。主分析按语系或所属语言的官方分组处理方言；谱系分组的具体映射保存在输出数据中。</w:t>
      </w:r>
    </w:p>
    <w:bookmarkEnd w:id="27"/>
    <w:bookmarkStart w:id="28" w:name="词形与共享结果"/>
    <w:p>
      <w:pPr>
        <w:pStyle w:val="Heading3"/>
      </w:pPr>
      <w:r>
        <w:t xml:space="preserve">3.2 词形与共享结果</w:t>
      </w:r>
    </w:p>
    <w:p>
      <w:pPr>
        <w:pStyle w:val="FirstParagraph"/>
      </w:pPr>
      <w:r>
        <w:t xml:space="preserve">每个类别的Form经Unicode NFC与空白合并后构成去重集合；大小写、音标、声调与变音符号保留。目标记录中798条受到该标准化影响，没有目标记录因所指定的空值标记被移除。本研究保留Value字段，以便查阅数据库生成Form时已完成的处理；没有新增人工词义判断、音系相似匹配或词缀删除。</w:t>
      </w:r>
    </w:p>
    <w:p>
      <w:pPr>
        <w:pStyle w:val="BodyText"/>
      </w:pPr>
      <w:r>
        <w:t xml:space="preserve">主结果为两个类别词形集合交集非空。因为集合重叠不保证传递性，主文采用“共享词形关系”描述数据。严格敏感性将结果改为词形集合完全相同；另一敏感性仅保留每类恰有一个词形的完整系统。对资料来源则另选所覆盖类别最多的单篇来源，并以相同结构规则处理。</w:t>
      </w:r>
    </w:p>
    <w:p>
      <w:pPr>
        <w:pStyle w:val="BodyText"/>
      </w:pPr>
      <w:r>
        <w:t xml:space="preserve">已选1,110个资料ID中，133个含多个文献来源，701个类别有多个来源；80条目标记录没有来源标识。主词形集合只在已选资料ID内合并。单来源分析用于评估这种来源组织的影响。八类记录完整可能来自数据库把较粗原始类别展开至年龄和参照者性别的细网格[A09]，完整覆盖据此解释为数据结构。</w:t>
      </w:r>
    </w:p>
    <w:bookmarkEnd w:id="28"/>
    <w:bookmarkStart w:id="29" w:name="差异编码与三个模型"/>
    <w:p>
      <w:pPr>
        <w:pStyle w:val="Heading3"/>
      </w:pPr>
      <w:r>
        <w:t xml:space="preserve">3.3 差异编码与三个模型</w:t>
      </w:r>
    </w:p>
    <w:p>
      <w:pPr>
        <w:pStyle w:val="FirstParagraph"/>
      </w:pPr>
      <w:r>
        <w:t xml:space="preserve">对任意无序类别对，定义</w:t>
      </w:r>
      <w:r>
        <w:t xml:space="preserve"> </w:t>
      </w:r>
      <m:oMath>
        <m:sSub>
          <m:e>
            <m:r>
              <m:t>D</m:t>
            </m:r>
          </m:e>
          <m:sub>
            <m:r>
              <m:t>r</m:t>
            </m:r>
          </m:sub>
        </m:sSub>
        <m:r>
          <m:rPr>
            <m:sty m:val="p"/>
          </m:rPr>
          <m:t>,</m:t>
        </m:r>
        <m:sSub>
          <m:e>
            <m:r>
              <m:t>D</m:t>
            </m:r>
          </m:e>
          <m:sub>
            <m:r>
              <m:t>a</m:t>
            </m:r>
          </m:sub>
        </m:sSub>
        <m:r>
          <m:rPr>
            <m:sty m:val="p"/>
          </m:rPr>
          <m:t>,</m:t>
        </m:r>
        <m:sSub>
          <m:e>
            <m:r>
              <m:t>D</m:t>
            </m:r>
          </m:e>
          <m:sub>
            <m:r>
              <m:t>e</m:t>
            </m:r>
          </m:sub>
        </m:sSub>
      </m:oMath>
      <w:r>
        <w:t xml:space="preserve"> </w:t>
      </w:r>
      <w:r>
        <w:t xml:space="preserve">为所指者性别、年龄、参照者性别差异，取值0或1。设</w:t>
      </w:r>
      <w:r>
        <w:t xml:space="preserve"> </w:t>
      </w:r>
      <m:oMath>
        <m:r>
          <m:t>η</m:t>
        </m:r>
        <m:r>
          <m:rPr>
            <m:sty m:val="p"/>
          </m:rPr>
          <m:t>=</m:t>
        </m:r>
        <m:r>
          <m:rPr>
            <m:sty m:val="p"/>
          </m:rPr>
          <m:t>logit</m:t>
        </m:r>
        <m:r>
          <m:t>P</m:t>
        </m:r>
        <m:d>
          <m:dPr>
            <m:begChr m:val="("/>
            <m:endChr m:val=")"/>
            <m:sepChr m:val=""/>
            <m:grow/>
          </m:dPr>
          <m:e>
            <m:r>
              <m:t>Y</m:t>
            </m:r>
            <m:r>
              <m:rPr>
                <m:sty m:val="p"/>
              </m:rPr>
              <m:t>=</m:t>
            </m:r>
            <m:r>
              <m:t>1</m:t>
            </m:r>
          </m:e>
        </m:d>
      </m:oMath>
      <w:r>
        <w:t xml:space="preserve">：</w:t>
      </w:r>
    </w:p>
    <w:p>
      <w:pPr>
        <w:pStyle w:val="BodyText"/>
      </w:pPr>
      <m:oMathPara>
        <m:oMathParaPr>
          <m:jc m:val="center"/>
        </m:oMathParaPr>
        <m:oMath>
          <m:sSub>
            <m:e>
              <m:r>
                <m:t>M</m:t>
              </m:r>
            </m:e>
            <m:sub>
              <m:r>
                <m:t>0</m:t>
              </m:r>
            </m:sub>
          </m:sSub>
          <m:r>
            <m:rPr>
              <m:sty m:val="p"/>
            </m:rPr>
            <m:t>:</m:t>
          </m:r>
          <m:r>
            <m:t> </m:t>
          </m:r>
          <m:r>
            <m:t>η</m:t>
          </m:r>
          <m:r>
            <m:rPr>
              <m:sty m:val="p"/>
            </m:rPr>
            <m:t>=</m:t>
          </m:r>
          <m:sSub>
            <m:e>
              <m:r>
                <m:t>β</m:t>
              </m:r>
            </m:e>
            <m:sub>
              <m:r>
                <m:t>0</m:t>
              </m:r>
            </m:sub>
          </m:sSub>
          <m:r>
            <m:rPr>
              <m:sty m:val="p"/>
            </m:rPr>
            <m:t>+</m:t>
          </m:r>
          <m:sSub>
            <m:e>
              <m:r>
                <m:t>β</m:t>
              </m:r>
            </m:e>
            <m:sub>
              <m:r>
                <m:t>r</m:t>
              </m:r>
            </m:sub>
          </m:sSub>
          <m:sSub>
            <m:e>
              <m:r>
                <m:t>D</m:t>
              </m:r>
            </m:e>
            <m:sub>
              <m:r>
                <m:t>r</m:t>
              </m:r>
            </m:sub>
          </m:sSub>
          <m:r>
            <m:rPr>
              <m:sty m:val="p"/>
            </m:rPr>
            <m:t>+</m:t>
          </m:r>
          <m:sSub>
            <m:e>
              <m:r>
                <m:t>β</m:t>
              </m:r>
            </m:e>
            <m:sub>
              <m:r>
                <m:t>a</m:t>
              </m:r>
            </m:sub>
          </m:sSub>
          <m:sSub>
            <m:e>
              <m:r>
                <m:t>D</m:t>
              </m:r>
            </m:e>
            <m:sub>
              <m:r>
                <m:t>a</m:t>
              </m:r>
            </m:sub>
          </m:sSub>
          <m:r>
            <m:rPr>
              <m:sty m:val="p"/>
            </m:rPr>
            <m:t>+</m:t>
          </m:r>
          <m:sSub>
            <m:e>
              <m:r>
                <m:t>β</m:t>
              </m:r>
            </m:e>
            <m:sub>
              <m:r>
                <m:t>e</m:t>
              </m:r>
            </m:sub>
          </m:sSub>
          <m:sSub>
            <m:e>
              <m:r>
                <m:t>D</m:t>
              </m:r>
            </m:e>
            <m:sub>
              <m:r>
                <m:t>e</m:t>
              </m:r>
            </m:sub>
          </m:sSub>
          <m:r>
            <m:rPr>
              <m:sty m:val="p"/>
            </m:rPr>
            <m:t>.</m:t>
          </m:r>
        </m:oMath>
      </m:oMathPara>
    </w:p>
    <w:p>
      <w:pPr>
        <w:pStyle w:val="FirstParagraph"/>
      </w:pPr>
      <m:oMathPara>
        <m:oMathParaPr>
          <m:jc m:val="center"/>
        </m:oMathParaPr>
        <m:oMath>
          <m:sSub>
            <m:e>
              <m:r>
                <m:t>M</m:t>
              </m:r>
            </m:e>
            <m:sub>
              <m:r>
                <m:t>1</m:t>
              </m:r>
            </m:sub>
          </m:sSub>
          <m:r>
            <m:rPr>
              <m:sty m:val="p"/>
            </m:rPr>
            <m:t>:</m:t>
          </m:r>
          <m:r>
            <m:t> </m:t>
          </m:r>
          <m:r>
            <m:t>η</m:t>
          </m:r>
          <m:r>
            <m:rPr>
              <m:sty m:val="p"/>
            </m:rPr>
            <m:t>=</m:t>
          </m:r>
          <m:sSub>
            <m:e>
              <m:r>
                <m:t>β</m:t>
              </m:r>
            </m:e>
            <m:sub>
              <m:r>
                <m:t>0</m:t>
              </m:r>
            </m:sub>
          </m:sSub>
          <m:r>
            <m:rPr>
              <m:sty m:val="p"/>
            </m:rPr>
            <m:t>+</m:t>
          </m:r>
          <m:sSub>
            <m:e>
              <m:r>
                <m:t>β</m:t>
              </m:r>
            </m:e>
            <m:sub>
              <m:r>
                <m:t>r</m:t>
              </m:r>
            </m:sub>
          </m:sSub>
          <m:sSub>
            <m:e>
              <m:r>
                <m:t>D</m:t>
              </m:r>
            </m:e>
            <m:sub>
              <m:r>
                <m:t>r</m:t>
              </m:r>
            </m:sub>
          </m:sSub>
          <m:r>
            <m:rPr>
              <m:sty m:val="p"/>
            </m:rPr>
            <m:t>+</m:t>
          </m:r>
          <m:sSub>
            <m:e>
              <m:r>
                <m:t>β</m:t>
              </m:r>
            </m:e>
            <m:sub>
              <m:r>
                <m:t>a</m:t>
              </m:r>
            </m:sub>
          </m:sSub>
          <m:sSub>
            <m:e>
              <m:r>
                <m:t>D</m:t>
              </m:r>
            </m:e>
            <m:sub>
              <m:r>
                <m:t>a</m:t>
              </m:r>
            </m:sub>
          </m:sSub>
          <m:r>
            <m:rPr>
              <m:sty m:val="p"/>
            </m:rPr>
            <m:t>+</m:t>
          </m:r>
          <m:sSub>
            <m:e>
              <m:r>
                <m:t>β</m:t>
              </m:r>
            </m:e>
            <m:sub>
              <m:r>
                <m:t>e</m:t>
              </m:r>
            </m:sub>
          </m:sSub>
          <m:sSub>
            <m:e>
              <m:r>
                <m:t>D</m:t>
              </m:r>
            </m:e>
            <m:sub>
              <m:r>
                <m:t>e</m:t>
              </m:r>
            </m:sub>
          </m:sSub>
          <m:r>
            <m:rPr>
              <m:sty m:val="p"/>
            </m:rPr>
            <m:t>+</m:t>
          </m:r>
          <m:r>
            <m:t>θ</m:t>
          </m:r>
          <m:sSub>
            <m:e>
              <m:r>
                <m:t>D</m:t>
              </m:r>
            </m:e>
            <m:sub>
              <m:r>
                <m:t>q</m:t>
              </m:r>
            </m:sub>
          </m:sSub>
          <m:r>
            <m:rPr>
              <m:sty m:val="p"/>
            </m:rPr>
            <m:t>.</m:t>
          </m:r>
        </m:oMath>
      </m:oMathPara>
    </w:p>
    <w:p>
      <w:pPr>
        <w:pStyle w:val="FirstParagraph"/>
      </w:pPr>
      <m:oMathPara>
        <m:oMathParaPr>
          <m:jc m:val="center"/>
        </m:oMathParaPr>
        <m:oMath>
          <m:sSub>
            <m:e>
              <m:r>
                <m:t>M</m:t>
              </m:r>
            </m:e>
            <m:sub>
              <m:r>
                <m:t>2</m:t>
              </m:r>
            </m:sub>
          </m:sSub>
          <m:r>
            <m:rPr>
              <m:sty m:val="p"/>
            </m:rPr>
            <m:t>:</m:t>
          </m:r>
          <m:r>
            <m:t> </m:t>
          </m:r>
          <m:r>
            <m:t>η</m:t>
          </m:r>
          <m:r>
            <m:rPr>
              <m:sty m:val="p"/>
            </m:rPr>
            <m:t>=</m:t>
          </m:r>
          <m:sSub>
            <m:e>
              <m:r>
                <m:t>β</m:t>
              </m:r>
            </m:e>
            <m:sub>
              <m:r>
                <m:t>0</m:t>
              </m:r>
            </m:sub>
          </m:sSub>
          <m:r>
            <m:rPr>
              <m:sty m:val="p"/>
            </m:rPr>
            <m:t>+</m:t>
          </m:r>
          <m:sSub>
            <m:e>
              <m:r>
                <m:t>β</m:t>
              </m:r>
            </m:e>
            <m:sub>
              <m:r>
                <m:t>r</m:t>
              </m:r>
            </m:sub>
          </m:sSub>
          <m:sSub>
            <m:e>
              <m:r>
                <m:t>D</m:t>
              </m:r>
            </m:e>
            <m:sub>
              <m:r>
                <m:t>r</m:t>
              </m:r>
            </m:sub>
          </m:sSub>
          <m:r>
            <m:rPr>
              <m:sty m:val="p"/>
            </m:rPr>
            <m:t>+</m:t>
          </m:r>
          <m:sSub>
            <m:e>
              <m:r>
                <m:t>β</m:t>
              </m:r>
            </m:e>
            <m:sub>
              <m:r>
                <m:t>a</m:t>
              </m:r>
            </m:sub>
          </m:sSub>
          <m:sSub>
            <m:e>
              <m:r>
                <m:t>D</m:t>
              </m:r>
            </m:e>
            <m:sub>
              <m:r>
                <m:t>a</m:t>
              </m:r>
            </m:sub>
          </m:sSub>
          <m:r>
            <m:rPr>
              <m:sty m:val="p"/>
            </m:rPr>
            <m:t>+</m:t>
          </m:r>
          <m:sSub>
            <m:e>
              <m:r>
                <m:t>β</m:t>
              </m:r>
            </m:e>
            <m:sub>
              <m:r>
                <m:t>e</m:t>
              </m:r>
            </m:sub>
          </m:sSub>
          <m:sSub>
            <m:e>
              <m:r>
                <m:t>D</m:t>
              </m:r>
            </m:e>
            <m:sub>
              <m:r>
                <m:t>e</m:t>
              </m:r>
            </m:sub>
          </m:sSub>
          <m:r>
            <m:rPr>
              <m:sty m:val="p"/>
            </m:rPr>
            <m:t>+</m:t>
          </m:r>
          <m:sSub>
            <m:e>
              <m:r>
                <m:t>γ</m:t>
              </m:r>
            </m:e>
            <m:sub>
              <m:r>
                <m:t>r</m:t>
              </m:r>
              <m:r>
                <m:t>a</m:t>
              </m:r>
            </m:sub>
          </m:sSub>
          <m:sSub>
            <m:e>
              <m:r>
                <m:t>D</m:t>
              </m:r>
            </m:e>
            <m:sub>
              <m:r>
                <m:t>r</m:t>
              </m:r>
            </m:sub>
          </m:sSub>
          <m:sSub>
            <m:e>
              <m:r>
                <m:t>D</m:t>
              </m:r>
            </m:e>
            <m:sub>
              <m:r>
                <m:t>a</m:t>
              </m:r>
            </m:sub>
          </m:sSub>
          <m:r>
            <m:rPr>
              <m:sty m:val="p"/>
            </m:rPr>
            <m:t>+</m:t>
          </m:r>
          <m:sSub>
            <m:e>
              <m:r>
                <m:t>γ</m:t>
              </m:r>
            </m:e>
            <m:sub>
              <m:r>
                <m:t>r</m:t>
              </m:r>
              <m:r>
                <m:t>e</m:t>
              </m:r>
            </m:sub>
          </m:sSub>
          <m:sSub>
            <m:e>
              <m:r>
                <m:t>D</m:t>
              </m:r>
            </m:e>
            <m:sub>
              <m:r>
                <m:t>r</m:t>
              </m:r>
            </m:sub>
          </m:sSub>
          <m:sSub>
            <m:e>
              <m:r>
                <m:t>D</m:t>
              </m:r>
            </m:e>
            <m:sub>
              <m:r>
                <m:t>e</m:t>
              </m:r>
            </m:sub>
          </m:sSub>
          <m:r>
            <m:rPr>
              <m:sty m:val="p"/>
            </m:rPr>
            <m:t>+</m:t>
          </m:r>
          <m:sSub>
            <m:e>
              <m:r>
                <m:t>γ</m:t>
              </m:r>
            </m:e>
            <m:sub>
              <m:r>
                <m:t>a</m:t>
              </m:r>
              <m:r>
                <m:t>e</m:t>
              </m:r>
            </m:sub>
          </m:sSub>
          <m:sSub>
            <m:e>
              <m:r>
                <m:t>D</m:t>
              </m:r>
            </m:e>
            <m:sub>
              <m:r>
                <m:t>a</m:t>
              </m:r>
            </m:sub>
          </m:sSub>
          <m:sSub>
            <m:e>
              <m:r>
                <m:t>D</m:t>
              </m:r>
            </m:e>
            <m:sub>
              <m:r>
                <m:t>e</m:t>
              </m:r>
            </m:sub>
          </m:sSub>
          <m:r>
            <m:rPr>
              <m:sty m:val="p"/>
            </m:rPr>
            <m:t>.</m:t>
          </m:r>
        </m:oMath>
      </m:oMathPara>
    </w:p>
    <w:p>
      <w:pPr>
        <w:pStyle w:val="FirstParagraph"/>
      </w:pPr>
      <m:oMath>
        <m:sSub>
          <m:e>
            <m:r>
              <m:t>D</m:t>
            </m:r>
          </m:e>
          <m:sub>
            <m:r>
              <m:t>q</m:t>
            </m:r>
          </m:sub>
        </m:sSub>
      </m:oMath>
      <w:r>
        <w:t xml:space="preserve"> </w:t>
      </w:r>
      <w:r>
        <w:t xml:space="preserve">表示两个类别在“同性／异性兄弟姐妹”属性上是否不同。二元编码直接给出</w:t>
      </w:r>
    </w:p>
    <w:p>
      <w:pPr>
        <w:pStyle w:val="BodyText"/>
      </w:pPr>
      <m:oMathPara>
        <m:oMathParaPr>
          <m:jc m:val="center"/>
        </m:oMathParaPr>
        <m:oMath>
          <m:sSub>
            <m:e>
              <m:r>
                <m:t>D</m:t>
              </m:r>
            </m:e>
            <m:sub>
              <m:r>
                <m:t>q</m:t>
              </m:r>
            </m:sub>
          </m:sSub>
          <m:r>
            <m:rPr>
              <m:sty m:val="p"/>
            </m:rPr>
            <m:t>=</m:t>
          </m:r>
          <m:sSub>
            <m:e>
              <m:r>
                <m:t>D</m:t>
              </m:r>
            </m:e>
            <m:sub>
              <m:r>
                <m:t>r</m:t>
              </m:r>
            </m:sub>
          </m:sSub>
          <m:r>
            <m:rPr>
              <m:sty m:val="p"/>
            </m:rPr>
            <m:t>⊕</m:t>
          </m:r>
          <m:sSub>
            <m:e>
              <m:r>
                <m:t>D</m:t>
              </m:r>
            </m:e>
            <m:sub>
              <m:r>
                <m:t>e</m:t>
              </m:r>
            </m:sub>
          </m:sSub>
          <m:r>
            <m:rPr>
              <m:sty m:val="p"/>
            </m:rPr>
            <m:t>=</m:t>
          </m:r>
          <m:sSub>
            <m:e>
              <m:r>
                <m:t>D</m:t>
              </m:r>
            </m:e>
            <m:sub>
              <m:r>
                <m:t>r</m:t>
              </m:r>
            </m:sub>
          </m:sSub>
          <m:r>
            <m:rPr>
              <m:sty m:val="p"/>
            </m:rPr>
            <m:t>+</m:t>
          </m:r>
          <m:sSub>
            <m:e>
              <m:r>
                <m:t>D</m:t>
              </m:r>
            </m:e>
            <m:sub>
              <m:r>
                <m:t>e</m:t>
              </m:r>
            </m:sub>
          </m:sSub>
          <m:r>
            <m:rPr>
              <m:sty m:val="p"/>
            </m:rPr>
            <m:t>−</m:t>
          </m:r>
          <m:r>
            <m:t>2</m:t>
          </m:r>
          <m:sSub>
            <m:e>
              <m:r>
                <m:t>D</m:t>
              </m:r>
            </m:e>
            <m:sub>
              <m:r>
                <m:t>r</m:t>
              </m:r>
            </m:sub>
          </m:sSub>
          <m:sSub>
            <m:e>
              <m:r>
                <m:t>D</m:t>
              </m:r>
            </m:e>
            <m:sub>
              <m:r>
                <m:t>e</m:t>
              </m:r>
            </m:sub>
          </m:sSub>
          <m:r>
            <m:rPr>
              <m:sty m:val="p"/>
            </m:rPr>
            <m:t>.</m:t>
          </m:r>
        </m:oMath>
      </m:oMathPara>
    </w:p>
    <w:p>
      <w:pPr>
        <w:pStyle w:val="FirstParagraph"/>
      </w:pPr>
      <w:r>
        <w:t xml:space="preserve">因此，经典相对性别主效应与原始所指者性别×参照者性别交互具有可转换的函数表达。</w:t>
      </w:r>
      <m:oMath>
        <m:sSub>
          <m:e>
            <m:r>
              <m:t>M</m:t>
            </m:r>
          </m:e>
          <m:sub>
            <m:r>
              <m:t>1</m:t>
            </m:r>
          </m:sub>
        </m:sSub>
      </m:oMath>
      <w:r>
        <w:t xml:space="preserve"> </w:t>
      </w:r>
      <w:r>
        <w:t xml:space="preserve">与仅在</w:t>
      </w:r>
      <w:r>
        <w:t xml:space="preserve"> </w:t>
      </w:r>
      <m:oMath>
        <m:sSub>
          <m:e>
            <m:r>
              <m:t>M</m:t>
            </m:r>
          </m:e>
          <m:sub>
            <m:r>
              <m:t>0</m:t>
            </m:r>
          </m:sub>
        </m:sSub>
      </m:oMath>
      <w:r>
        <w:t xml:space="preserve"> </w:t>
      </w:r>
      <w:r>
        <w:t xml:space="preserve">上加入</w:t>
      </w:r>
      <w:r>
        <w:t xml:space="preserve"> </w:t>
      </w:r>
      <m:oMath>
        <m:sSub>
          <m:e>
            <m:r>
              <m:t>D</m:t>
            </m:r>
          </m:e>
          <m:sub>
            <m:r>
              <m:t>r</m:t>
            </m:r>
          </m:sub>
        </m:sSub>
        <m:sSub>
          <m:e>
            <m:r>
              <m:t>D</m:t>
            </m:r>
          </m:e>
          <m:sub>
            <m:r>
              <m:t>e</m:t>
            </m:r>
          </m:sub>
        </m:sSub>
      </m:oMath>
      <w:r>
        <w:t xml:space="preserve"> </w:t>
      </w:r>
      <w:r>
        <w:t xml:space="preserve">的模型具有相同的未惩罚函数空间；独立对各系数施加岭惩罚会受到编码影响，本文把代数等价与实际惩罚估计区分。</w:t>
      </w:r>
    </w:p>
    <w:p>
      <w:pPr>
        <w:pStyle w:val="BodyText"/>
      </w:pPr>
      <w:r>
        <w:t xml:space="preserve">八类别的28个无序对产生七种非零差异组合，每种组合在每个完整系统中出现四次。三个模型的秩分别为4、5、7。</w:t>
      </w:r>
      <m:oMath>
        <m:sSub>
          <m:e>
            <m:r>
              <m:t>M</m:t>
            </m:r>
          </m:e>
          <m:sub>
            <m:r>
              <m:t>2</m:t>
            </m:r>
          </m:sub>
        </m:sSub>
      </m:oMath>
      <w:r>
        <w:t xml:space="preserve"> </w:t>
      </w:r>
      <w:r>
        <w:t xml:space="preserve">对七种差异组合饱和，而非对全部28个具体类别对饱和。三阶乘积满足</w:t>
      </w:r>
    </w:p>
    <w:p>
      <w:pPr>
        <w:pStyle w:val="BodyText"/>
      </w:pPr>
      <m:oMathPara>
        <m:oMathParaPr>
          <m:jc m:val="center"/>
        </m:oMathParaPr>
        <m:oMath>
          <m:sSub>
            <m:e>
              <m:r>
                <m:t>D</m:t>
              </m:r>
            </m:e>
            <m:sub>
              <m:r>
                <m:t>r</m:t>
              </m:r>
            </m:sub>
          </m:sSub>
          <m:sSub>
            <m:e>
              <m:r>
                <m:t>D</m:t>
              </m:r>
            </m:e>
            <m:sub>
              <m:r>
                <m:t>a</m:t>
              </m:r>
            </m:sub>
          </m:sSub>
          <m:sSub>
            <m:e>
              <m:r>
                <m:t>D</m:t>
              </m:r>
            </m:e>
            <m:sub>
              <m:r>
                <m:t>e</m:t>
              </m:r>
            </m:sub>
          </m:sSub>
          <m:r>
            <m:rPr>
              <m:sty m:val="p"/>
            </m:rPr>
            <m:t>=</m:t>
          </m:r>
          <m:r>
            <m:t>1</m:t>
          </m:r>
          <m:r>
            <m:rPr>
              <m:sty m:val="p"/>
            </m:rPr>
            <m:t>−</m:t>
          </m:r>
          <m:sSub>
            <m:e>
              <m:r>
                <m:t>D</m:t>
              </m:r>
            </m:e>
            <m:sub>
              <m:r>
                <m:t>r</m:t>
              </m:r>
            </m:sub>
          </m:sSub>
          <m:r>
            <m:rPr>
              <m:sty m:val="p"/>
            </m:rPr>
            <m:t>−</m:t>
          </m:r>
          <m:sSub>
            <m:e>
              <m:r>
                <m:t>D</m:t>
              </m:r>
            </m:e>
            <m:sub>
              <m:r>
                <m:t>a</m:t>
              </m:r>
            </m:sub>
          </m:sSub>
          <m:r>
            <m:rPr>
              <m:sty m:val="p"/>
            </m:rPr>
            <m:t>−</m:t>
          </m:r>
          <m:sSub>
            <m:e>
              <m:r>
                <m:t>D</m:t>
              </m:r>
            </m:e>
            <m:sub>
              <m:r>
                <m:t>e</m:t>
              </m:r>
            </m:sub>
          </m:sSub>
          <m:r>
            <m:rPr>
              <m:sty m:val="p"/>
            </m:rPr>
            <m:t>+</m:t>
          </m:r>
          <m:sSub>
            <m:e>
              <m:r>
                <m:t>D</m:t>
              </m:r>
            </m:e>
            <m:sub>
              <m:r>
                <m:t>r</m:t>
              </m:r>
            </m:sub>
          </m:sSub>
          <m:sSub>
            <m:e>
              <m:r>
                <m:t>D</m:t>
              </m:r>
            </m:e>
            <m:sub>
              <m:r>
                <m:t>a</m:t>
              </m:r>
            </m:sub>
          </m:sSub>
          <m:r>
            <m:rPr>
              <m:sty m:val="p"/>
            </m:rPr>
            <m:t>+</m:t>
          </m:r>
          <m:sSub>
            <m:e>
              <m:r>
                <m:t>D</m:t>
              </m:r>
            </m:e>
            <m:sub>
              <m:r>
                <m:t>r</m:t>
              </m:r>
            </m:sub>
          </m:sSub>
          <m:sSub>
            <m:e>
              <m:r>
                <m:t>D</m:t>
              </m:r>
            </m:e>
            <m:sub>
              <m:r>
                <m:t>e</m:t>
              </m:r>
            </m:sub>
          </m:sSub>
          <m:r>
            <m:rPr>
              <m:sty m:val="p"/>
            </m:rPr>
            <m:t>+</m:t>
          </m:r>
          <m:sSub>
            <m:e>
              <m:r>
                <m:t>D</m:t>
              </m:r>
            </m:e>
            <m:sub>
              <m:r>
                <m:t>a</m:t>
              </m:r>
            </m:sub>
          </m:sSub>
          <m:sSub>
            <m:e>
              <m:r>
                <m:t>D</m:t>
              </m:r>
            </m:e>
            <m:sub>
              <m:r>
                <m:t>e</m:t>
              </m:r>
            </m:sub>
          </m:sSub>
          <m:r>
            <m:rPr>
              <m:sty m:val="p"/>
            </m:rPr>
            <m:t>,</m:t>
          </m:r>
        </m:oMath>
      </m:oMathPara>
    </w:p>
    <w:p>
      <w:pPr>
        <w:pStyle w:val="FirstParagraph"/>
      </w:pPr>
      <w:r>
        <w:t xml:space="preserve">所以不能在上述七参数之外另识别三阶项。截距对应的000没有实际不同类别配对；结果以七单元概率和观测对比表达。原始加性、经典加性与完整交互的比较，分别回答原始编码和传统关系特征之后的预测问题。</w:t>
      </w:r>
    </w:p>
    <w:bookmarkEnd w:id="29"/>
    <w:bookmarkStart w:id="30" w:name="固定协议拟合与评估"/>
    <w:p>
      <w:pPr>
        <w:pStyle w:val="Heading3"/>
      </w:pPr>
      <w:r>
        <w:t xml:space="preserve">3.4 固定协议、拟合与评估</w:t>
      </w:r>
    </w:p>
    <w:p>
      <w:pPr>
        <w:pStyle w:val="FirstParagraph"/>
      </w:pPr>
      <w:r>
        <w:t xml:space="preserve">分析协议在结构审计之后、共享结果生成和模型比较之前固定；UTC时间戳为2026年10月14日17:51:27，另有17:52:00固定的无惩罚敏感性补充。协议和校验值保存于复现材料。本次采用事前固定的内部协议，未在外部平台注册。</w:t>
      </w:r>
    </w:p>
    <w:p>
      <w:pPr>
        <w:pStyle w:val="BodyText"/>
      </w:pPr>
      <w:r>
        <w:t xml:space="preserve">三个模型使用固定效应岭惩罚二项逻辑回归，主设定</w:t>
      </w:r>
      <w:r>
        <w:t xml:space="preserve"> </w:t>
      </w:r>
      <m:oMath>
        <m:r>
          <m:t>C</m:t>
        </m:r>
        <m:r>
          <m:rPr>
            <m:sty m:val="p"/>
          </m:rPr>
          <m:t>=</m:t>
        </m:r>
        <m:r>
          <m:t>1</m:t>
        </m:r>
      </m:oMath>
      <w:r>
        <w:t xml:space="preserve">，截距不惩罚；每个训练语言内的类别对权重总和为1。分类模型、稳定估计及多层结构的讨论分别参考[C01–C03、C05、C06]。实际实施的模型为固定效应，谱系依赖的预测评估通过整组留出与整组重采样完成。</w:t>
      </w:r>
    </w:p>
    <w:p>
      <w:pPr>
        <w:pStyle w:val="BodyText"/>
      </w:pPr>
      <w:r>
        <w:t xml:space="preserve">主验证使用五折GroupKFold，按官方语系／孤立语言组留出，任一谱系组的全部记录只出现在一个测试折。辅验证按Glottocode留出，它允许相关语系成员同时出现在训练与测试，因此对应不同的泛化目标。结构化验证的原则依据[C04]，语言谱系和地域依赖的背景依据[C08、C09、A10、A16]。本次没有独立拟合地域或接触网络效应。</w:t>
      </w:r>
    </w:p>
    <w:p>
      <w:pPr>
        <w:pStyle w:val="BodyText"/>
      </w:pPr>
      <w:r>
        <w:t xml:space="preserve">主指标为自然对数尺度的对数损失：先在每个语言内平均，再对语言等权。完整样本中每语言28对，因此语言等权与类别对等权一致；部分覆盖分析仍保留语言等权。另报告Brier分数。两项主要增益为</w:t>
      </w:r>
    </w:p>
    <w:p>
      <w:pPr>
        <w:pStyle w:val="BodyText"/>
      </w:pPr>
      <m:oMathPara>
        <m:oMathParaPr>
          <m:jc m:val="center"/>
        </m:oMathParaPr>
        <m:oMath>
          <m:sSub>
            <m:e>
              <m:r>
                <m:t>Δ</m:t>
              </m:r>
            </m:e>
            <m:sub>
              <m:r>
                <m:t>0</m:t>
              </m:r>
            </m:sub>
          </m:sSub>
          <m:r>
            <m:rPr>
              <m:sty m:val="p"/>
            </m:rPr>
            <m:t>=</m:t>
          </m:r>
          <m:r>
            <m:t>L</m:t>
          </m:r>
          <m:d>
            <m:dPr>
              <m:begChr m:val="("/>
              <m:endChr m:val=")"/>
              <m:sepChr m:val=""/>
              <m:grow/>
            </m:dPr>
            <m:e>
              <m:sSub>
                <m:e>
                  <m:r>
                    <m:t>M</m:t>
                  </m:r>
                </m:e>
                <m:sub>
                  <m:r>
                    <m:t>0</m:t>
                  </m:r>
                </m:sub>
              </m:sSub>
            </m:e>
          </m:d>
          <m:r>
            <m:rPr>
              <m:sty m:val="p"/>
            </m:rPr>
            <m:t>−</m:t>
          </m:r>
          <m:r>
            <m:t>L</m:t>
          </m:r>
          <m:d>
            <m:dPr>
              <m:begChr m:val="("/>
              <m:endChr m:val=")"/>
              <m:sepChr m:val=""/>
              <m:grow/>
            </m:dPr>
            <m:e>
              <m:sSub>
                <m:e>
                  <m:r>
                    <m:t>M</m:t>
                  </m:r>
                </m:e>
                <m:sub>
                  <m:r>
                    <m:t>2</m:t>
                  </m:r>
                </m:sub>
              </m:sSub>
            </m:e>
          </m:d>
          <m:r>
            <m:rPr>
              <m:sty m:val="p"/>
            </m:rPr>
            <m:t>,</m:t>
          </m:r>
          <m:r>
            <m:t>  </m:t>
          </m:r>
          <m:sSub>
            <m:e>
              <m:r>
                <m:t>Δ</m:t>
              </m:r>
            </m:e>
            <m:sub>
              <m:r>
                <m:t>1</m:t>
              </m:r>
            </m:sub>
          </m:sSub>
          <m:r>
            <m:rPr>
              <m:sty m:val="p"/>
            </m:rPr>
            <m:t>=</m:t>
          </m:r>
          <m:r>
            <m:t>L</m:t>
          </m:r>
          <m:d>
            <m:dPr>
              <m:begChr m:val="("/>
              <m:endChr m:val=")"/>
              <m:sepChr m:val=""/>
              <m:grow/>
            </m:dPr>
            <m:e>
              <m:sSub>
                <m:e>
                  <m:r>
                    <m:t>M</m:t>
                  </m:r>
                </m:e>
                <m:sub>
                  <m:r>
                    <m:t>1</m:t>
                  </m:r>
                </m:sub>
              </m:sSub>
            </m:e>
          </m:d>
          <m:r>
            <m:rPr>
              <m:sty m:val="p"/>
            </m:rPr>
            <m:t>−</m:t>
          </m:r>
          <m:r>
            <m:t>L</m:t>
          </m:r>
          <m:d>
            <m:dPr>
              <m:begChr m:val="("/>
              <m:endChr m:val=")"/>
              <m:sepChr m:val=""/>
              <m:grow/>
            </m:dPr>
            <m:e>
              <m:sSub>
                <m:e>
                  <m:r>
                    <m:t>M</m:t>
                  </m:r>
                </m:e>
                <m:sub>
                  <m:r>
                    <m:t>2</m:t>
                  </m:r>
                </m:sub>
              </m:sSub>
            </m:e>
          </m:d>
          <m:r>
            <m:rPr>
              <m:sty m:val="p"/>
            </m:rPr>
            <m:t>.</m:t>
          </m:r>
        </m:oMath>
      </m:oMathPara>
    </w:p>
    <w:p>
      <w:pPr>
        <w:pStyle w:val="FirstParagraph"/>
      </w:pPr>
      <w:r>
        <w:t xml:space="preserve">正值表示完整交互损失较低。对固定折外预测的语言损失差，按谱系组整组抽样5,000次，随机种子20261014，计算百分位95%区间。群组推断背景参见[C12]；本次具体实现为谱系组样本重采样。所得区间反映已有预测对谱系组成变化的敏感性，不包含重新训练与重新分折的不确定性。</w:t>
      </w:r>
    </w:p>
    <w:p>
      <w:pPr>
        <w:pStyle w:val="BodyText"/>
      </w:pPr>
      <w:r>
        <w:t xml:space="preserve">预设分析包括至少75%覆盖、集合相同、每类单词形、单一文献来源、</w:t>
      </w:r>
      <m:oMath>
        <m:r>
          <m:t>C</m:t>
        </m:r>
        <m:r>
          <m:rPr>
            <m:sty m:val="p"/>
          </m:rPr>
          <m:t>=</m:t>
        </m:r>
        <m:r>
          <m:t>0.1</m:t>
        </m:r>
      </m:oMath>
      <w:r>
        <w:t xml:space="preserve">、</w:t>
      </w:r>
      <m:oMath>
        <m:r>
          <m:t>C</m:t>
        </m:r>
        <m:r>
          <m:rPr>
            <m:sty m:val="p"/>
          </m:rPr>
          <m:t>=</m:t>
        </m:r>
        <m:r>
          <m:t>10</m:t>
        </m:r>
      </m:oMath>
      <w:r>
        <w:t xml:space="preserve">、无惩罚最大似然，以及语言分组辅助验证。所有设定完整报告，测试结果未用于选择主模型参数或事后替换主指标。本研究不报告独立配对的显著性检验；多组参数探索若在后续展开，可按[C07]事先组织多重比较。</w:t>
      </w:r>
    </w:p>
    <w:bookmarkEnd w:id="30"/>
    <w:bookmarkEnd w:id="31"/>
    <w:bookmarkStart w:id="43" w:name="四结果"/>
    <w:p>
      <w:pPr>
        <w:pStyle w:val="Heading2"/>
      </w:pPr>
      <w:r>
        <w:t xml:space="preserve">四、结果</w:t>
      </w:r>
    </w:p>
    <w:bookmarkStart w:id="35" w:name="七种差异组合"/>
    <w:p>
      <w:pPr>
        <w:pStyle w:val="Heading3"/>
      </w:pPr>
      <w:r>
        <w:t xml:space="preserve">4.1 七种差异组合</w:t>
      </w:r>
    </w:p>
    <w:p>
      <w:pPr>
        <w:pStyle w:val="FirstParagraph"/>
      </w:pPr>
      <w:r>
        <w:t xml:space="preserve">主样本共享词形比例为31.9945%。每个差异组合包含3,756个类别对，均来自939个记录系统。只改变参照者性别的001共享率最高，为73.8818%；同时改变所指者性别与年龄而保持参照者性别的110最低，为7.4814%。这些比例刻画本次样本的总体结构。</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差异组合（所指／年龄／参照者）</w:t>
            </w:r>
          </w:p>
        </w:tc>
        <w:tc>
          <w:tcPr/>
          <w:p>
            <w:pPr>
              <w:pStyle w:val="Compact"/>
              <w:jc w:val="right"/>
            </w:pPr>
            <w:r>
              <w:t xml:space="preserve">类别对数</w:t>
            </w:r>
          </w:p>
        </w:tc>
        <w:tc>
          <w:tcPr/>
          <w:p>
            <w:pPr>
              <w:pStyle w:val="Compact"/>
              <w:jc w:val="right"/>
            </w:pPr>
            <w:r>
              <w:t xml:space="preserve">实测共享率</w:t>
            </w:r>
          </w:p>
        </w:tc>
        <w:tc>
          <w:tcPr/>
          <w:p>
            <w:pPr>
              <w:pStyle w:val="Compact"/>
              <w:jc w:val="right"/>
            </w:pPr>
            <w:r>
              <w:t xml:space="preserve">原始加性预测</w:t>
            </w:r>
          </w:p>
        </w:tc>
        <w:tc>
          <w:tcPr/>
          <w:p>
            <w:pPr>
              <w:pStyle w:val="Compact"/>
              <w:jc w:val="right"/>
            </w:pPr>
            <w:r>
              <w:t xml:space="preserve">经典加性预测</w:t>
            </w:r>
          </w:p>
        </w:tc>
        <w:tc>
          <w:tcPr/>
          <w:p>
            <w:pPr>
              <w:pStyle w:val="Compact"/>
              <w:jc w:val="right"/>
            </w:pPr>
            <w:r>
              <w:t xml:space="preserve">交互预测</w:t>
            </w:r>
          </w:p>
        </w:tc>
      </w:tr>
      <w:tr>
        <w:tc>
          <w:tcPr/>
          <w:p>
            <w:pPr>
              <w:pStyle w:val="Compact"/>
              <w:jc w:val="left"/>
            </w:pPr>
            <w:r>
              <w:t xml:space="preserve">001</w:t>
            </w:r>
          </w:p>
        </w:tc>
        <w:tc>
          <w:tcPr/>
          <w:p>
            <w:pPr>
              <w:pStyle w:val="Compact"/>
              <w:jc w:val="right"/>
            </w:pPr>
            <w:r>
              <w:t xml:space="preserve">3,756</w:t>
            </w:r>
          </w:p>
        </w:tc>
        <w:tc>
          <w:tcPr/>
          <w:p>
            <w:pPr>
              <w:pStyle w:val="Compact"/>
              <w:jc w:val="right"/>
            </w:pPr>
            <w:r>
              <w:t xml:space="preserve">73.88%</w:t>
            </w:r>
          </w:p>
        </w:tc>
        <w:tc>
          <w:tcPr/>
          <w:p>
            <w:pPr>
              <w:pStyle w:val="Compact"/>
              <w:jc w:val="right"/>
            </w:pPr>
            <w:r>
              <w:t xml:space="preserve">0.6923</w:t>
            </w:r>
          </w:p>
        </w:tc>
        <w:tc>
          <w:tcPr/>
          <w:p>
            <w:pPr>
              <w:pStyle w:val="Compact"/>
              <w:jc w:val="right"/>
            </w:pPr>
            <w:r>
              <w:t xml:space="preserve">0.6700</w:t>
            </w:r>
          </w:p>
        </w:tc>
        <w:tc>
          <w:tcPr/>
          <w:p>
            <w:pPr>
              <w:pStyle w:val="Compact"/>
              <w:jc w:val="right"/>
            </w:pPr>
            <w:r>
              <w:t xml:space="preserve">0.7091</w:t>
            </w:r>
          </w:p>
        </w:tc>
      </w:tr>
      <w:tr>
        <w:tc>
          <w:tcPr/>
          <w:p>
            <w:pPr>
              <w:pStyle w:val="Compact"/>
              <w:jc w:val="left"/>
            </w:pPr>
            <w:r>
              <w:t xml:space="preserve">010</w:t>
            </w:r>
          </w:p>
        </w:tc>
        <w:tc>
          <w:tcPr/>
          <w:p>
            <w:pPr>
              <w:pStyle w:val="Compact"/>
              <w:jc w:val="right"/>
            </w:pPr>
            <w:r>
              <w:t xml:space="preserve">3,756</w:t>
            </w:r>
          </w:p>
        </w:tc>
        <w:tc>
          <w:tcPr/>
          <w:p>
            <w:pPr>
              <w:pStyle w:val="Compact"/>
              <w:jc w:val="right"/>
            </w:pPr>
            <w:r>
              <w:t xml:space="preserve">37.14%</w:t>
            </w:r>
          </w:p>
        </w:tc>
        <w:tc>
          <w:tcPr/>
          <w:p>
            <w:pPr>
              <w:pStyle w:val="Compact"/>
              <w:jc w:val="right"/>
            </w:pPr>
            <w:r>
              <w:t xml:space="preserve">0.2844</w:t>
            </w:r>
          </w:p>
        </w:tc>
        <w:tc>
          <w:tcPr/>
          <w:p>
            <w:pPr>
              <w:pStyle w:val="Compact"/>
              <w:jc w:val="right"/>
            </w:pPr>
            <w:r>
              <w:t xml:space="preserve">0.3642</w:t>
            </w:r>
          </w:p>
        </w:tc>
        <w:tc>
          <w:tcPr/>
          <w:p>
            <w:pPr>
              <w:pStyle w:val="Compact"/>
              <w:jc w:val="right"/>
            </w:pPr>
            <w:r>
              <w:t xml:space="preserve">0.3500</w:t>
            </w:r>
          </w:p>
        </w:tc>
      </w:tr>
      <w:tr>
        <w:tc>
          <w:tcPr/>
          <w:p>
            <w:pPr>
              <w:pStyle w:val="Compact"/>
              <w:jc w:val="left"/>
            </w:pPr>
            <w:r>
              <w:t xml:space="preserve">011</w:t>
            </w:r>
          </w:p>
        </w:tc>
        <w:tc>
          <w:tcPr/>
          <w:p>
            <w:pPr>
              <w:pStyle w:val="Compact"/>
              <w:jc w:val="right"/>
            </w:pPr>
            <w:r>
              <w:t xml:space="preserve">3,756</w:t>
            </w:r>
          </w:p>
        </w:tc>
        <w:tc>
          <w:tcPr/>
          <w:p>
            <w:pPr>
              <w:pStyle w:val="Compact"/>
              <w:jc w:val="right"/>
            </w:pPr>
            <w:r>
              <w:t xml:space="preserve">19.89%</w:t>
            </w:r>
          </w:p>
        </w:tc>
        <w:tc>
          <w:tcPr/>
          <w:p>
            <w:pPr>
              <w:pStyle w:val="Compact"/>
              <w:jc w:val="right"/>
            </w:pPr>
            <w:r>
              <w:t xml:space="preserve">0.3228</w:t>
            </w:r>
          </w:p>
        </w:tc>
        <w:tc>
          <w:tcPr/>
          <w:p>
            <w:pPr>
              <w:pStyle w:val="Compact"/>
              <w:jc w:val="right"/>
            </w:pPr>
            <w:r>
              <w:t xml:space="preserve">0.2639</w:t>
            </w:r>
          </w:p>
        </w:tc>
        <w:tc>
          <w:tcPr/>
          <w:p>
            <w:pPr>
              <w:pStyle w:val="Compact"/>
              <w:jc w:val="right"/>
            </w:pPr>
            <w:r>
              <w:t xml:space="preserve">0.2354</w:t>
            </w:r>
          </w:p>
        </w:tc>
      </w:tr>
      <w:tr>
        <w:tc>
          <w:tcPr/>
          <w:p>
            <w:pPr>
              <w:pStyle w:val="Compact"/>
              <w:jc w:val="left"/>
            </w:pPr>
            <w:r>
              <w:t xml:space="preserve">100</w:t>
            </w:r>
          </w:p>
        </w:tc>
        <w:tc>
          <w:tcPr/>
          <w:p>
            <w:pPr>
              <w:pStyle w:val="Compact"/>
              <w:jc w:val="right"/>
            </w:pPr>
            <w:r>
              <w:t xml:space="preserve">3,756</w:t>
            </w:r>
          </w:p>
        </w:tc>
        <w:tc>
          <w:tcPr/>
          <w:p>
            <w:pPr>
              <w:pStyle w:val="Compact"/>
              <w:jc w:val="right"/>
            </w:pPr>
            <w:r>
              <w:t xml:space="preserve">27.72%</w:t>
            </w:r>
          </w:p>
        </w:tc>
        <w:tc>
          <w:tcPr/>
          <w:p>
            <w:pPr>
              <w:pStyle w:val="Compact"/>
              <w:jc w:val="right"/>
            </w:pPr>
            <w:r>
              <w:t xml:space="preserve">0.3414</w:t>
            </w:r>
          </w:p>
        </w:tc>
        <w:tc>
          <w:tcPr/>
          <w:p>
            <w:pPr>
              <w:pStyle w:val="Compact"/>
              <w:jc w:val="right"/>
            </w:pPr>
            <w:r>
              <w:t xml:space="preserve">0.2921</w:t>
            </w:r>
          </w:p>
        </w:tc>
        <w:tc>
          <w:tcPr/>
          <w:p>
            <w:pPr>
              <w:pStyle w:val="Compact"/>
              <w:jc w:val="right"/>
            </w:pPr>
            <w:r>
              <w:t xml:space="preserve">0.2684</w:t>
            </w:r>
          </w:p>
        </w:tc>
      </w:tr>
      <w:tr>
        <w:tc>
          <w:tcPr/>
          <w:p>
            <w:pPr>
              <w:pStyle w:val="Compact"/>
              <w:jc w:val="left"/>
            </w:pPr>
            <w:r>
              <w:t xml:space="preserve">101</w:t>
            </w:r>
          </w:p>
        </w:tc>
        <w:tc>
          <w:tcPr/>
          <w:p>
            <w:pPr>
              <w:pStyle w:val="Compact"/>
              <w:jc w:val="right"/>
            </w:pPr>
            <w:r>
              <w:t xml:space="preserve">3,756</w:t>
            </w:r>
          </w:p>
        </w:tc>
        <w:tc>
          <w:tcPr/>
          <w:p>
            <w:pPr>
              <w:pStyle w:val="Compact"/>
              <w:jc w:val="right"/>
            </w:pPr>
            <w:r>
              <w:t xml:space="preserve">41.27%</w:t>
            </w:r>
          </w:p>
        </w:tc>
        <w:tc>
          <w:tcPr/>
          <w:p>
            <w:pPr>
              <w:pStyle w:val="Compact"/>
              <w:jc w:val="right"/>
            </w:pPr>
            <w:r>
              <w:t xml:space="preserve">0.3834</w:t>
            </w:r>
          </w:p>
        </w:tc>
        <w:tc>
          <w:tcPr/>
          <w:p>
            <w:pPr>
              <w:pStyle w:val="Compact"/>
              <w:jc w:val="right"/>
            </w:pPr>
            <w:r>
              <w:t xml:space="preserve">0.4536</w:t>
            </w:r>
          </w:p>
        </w:tc>
        <w:tc>
          <w:tcPr/>
          <w:p>
            <w:pPr>
              <w:pStyle w:val="Compact"/>
              <w:jc w:val="right"/>
            </w:pPr>
            <w:r>
              <w:t xml:space="preserve">0.4394</w:t>
            </w:r>
          </w:p>
        </w:tc>
      </w:tr>
      <w:tr>
        <w:tc>
          <w:tcPr/>
          <w:p>
            <w:pPr>
              <w:pStyle w:val="Compact"/>
              <w:jc w:val="left"/>
            </w:pPr>
            <w:r>
              <w:t xml:space="preserve">110</w:t>
            </w:r>
          </w:p>
        </w:tc>
        <w:tc>
          <w:tcPr/>
          <w:p>
            <w:pPr>
              <w:pStyle w:val="Compact"/>
              <w:jc w:val="right"/>
            </w:pPr>
            <w:r>
              <w:t xml:space="preserve">3,756</w:t>
            </w:r>
          </w:p>
        </w:tc>
        <w:tc>
          <w:tcPr/>
          <w:p>
            <w:pPr>
              <w:pStyle w:val="Compact"/>
              <w:jc w:val="right"/>
            </w:pPr>
            <w:r>
              <w:t xml:space="preserve">7.48%</w:t>
            </w:r>
          </w:p>
        </w:tc>
        <w:tc>
          <w:tcPr/>
          <w:p>
            <w:pPr>
              <w:pStyle w:val="Compact"/>
              <w:jc w:val="right"/>
            </w:pPr>
            <w:r>
              <w:t xml:space="preserve">0.0989</w:t>
            </w:r>
          </w:p>
        </w:tc>
        <w:tc>
          <w:tcPr/>
          <w:p>
            <w:pPr>
              <w:pStyle w:val="Compact"/>
              <w:jc w:val="right"/>
            </w:pPr>
            <w:r>
              <w:t xml:space="preserve">0.0679</w:t>
            </w:r>
          </w:p>
        </w:tc>
        <w:tc>
          <w:tcPr/>
          <w:p>
            <w:pPr>
              <w:pStyle w:val="Compact"/>
              <w:jc w:val="right"/>
            </w:pPr>
            <w:r>
              <w:t xml:space="preserve">0.1044</w:t>
            </w:r>
          </w:p>
        </w:tc>
      </w:tr>
      <w:tr>
        <w:tc>
          <w:tcPr/>
          <w:p>
            <w:pPr>
              <w:pStyle w:val="Compact"/>
              <w:jc w:val="left"/>
            </w:pPr>
            <w:r>
              <w:t xml:space="preserve">111</w:t>
            </w:r>
          </w:p>
        </w:tc>
        <w:tc>
          <w:tcPr/>
          <w:p>
            <w:pPr>
              <w:pStyle w:val="Compact"/>
              <w:jc w:val="right"/>
            </w:pPr>
            <w:r>
              <w:t xml:space="preserve">3,756</w:t>
            </w:r>
          </w:p>
        </w:tc>
        <w:tc>
          <w:tcPr/>
          <w:p>
            <w:pPr>
              <w:pStyle w:val="Compact"/>
              <w:jc w:val="right"/>
            </w:pPr>
            <w:r>
              <w:t xml:space="preserve">16.59%</w:t>
            </w:r>
          </w:p>
        </w:tc>
        <w:tc>
          <w:tcPr/>
          <w:p>
            <w:pPr>
              <w:pStyle w:val="Compact"/>
              <w:jc w:val="right"/>
            </w:pPr>
            <w:r>
              <w:t xml:space="preserve">0.1164</w:t>
            </w:r>
          </w:p>
        </w:tc>
        <w:tc>
          <w:tcPr/>
          <w:p>
            <w:pPr>
              <w:pStyle w:val="Compact"/>
              <w:jc w:val="right"/>
            </w:pPr>
            <w:r>
              <w:t xml:space="preserve">0.1279</w:t>
            </w:r>
          </w:p>
        </w:tc>
        <w:tc>
          <w:tcPr/>
          <w:p>
            <w:pPr>
              <w:pStyle w:val="Compact"/>
              <w:jc w:val="right"/>
            </w:pPr>
            <w:r>
              <w:t xml:space="preserve">0.1330</w:t>
            </w:r>
          </w:p>
        </w:tc>
      </w:tr>
    </w:tbl>
    <w:p>
      <w:pPr>
        <w:pStyle w:val="BodyText"/>
      </w:pPr>
      <w:r>
        <w:t xml:space="preserve">例如，101同时改变所指者和参照者性别，相对性别保持不变；100只改变所指者性别，相对性别改变。两者共享率分别为41.2673%和27.7157%。这与关系性别值得作为基准特征的理论背景衔接。具体回归解释仍需综合其他组合和样本外表现。</w:t>
      </w:r>
    </w:p>
    <w:p>
      <w:pPr>
        <w:pStyle w:val="CaptionedFigure"/>
      </w:pPr>
      <w:r>
        <w:drawing>
          <wp:inline>
            <wp:extent cx="5334000" cy="2844800"/>
            <wp:effectExtent b="0" l="0" r="0" t="0"/>
            <wp:docPr descr="七种差异组合的共享比例与全样本模型预测" title="" id="33" name="Picture"/>
            <a:graphic>
              <a:graphicData uri="http://schemas.openxmlformats.org/drawingml/2006/picture">
                <pic:pic>
                  <pic:nvPicPr>
                    <pic:cNvPr descr="../analysis/seven_cell_fit.png" id="34" name="Picture"/>
                    <pic:cNvPicPr>
                      <a:picLocks noChangeArrowheads="1" noChangeAspect="1"/>
                    </pic:cNvPicPr>
                  </pic:nvPicPr>
                  <pic:blipFill>
                    <a:blip r:embed="rId32"/>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七种差异组合的共享比例与全样本模型预测</w:t>
      </w:r>
    </w:p>
    <w:p>
      <w:pPr>
        <w:pStyle w:val="BodyText"/>
      </w:pPr>
      <w:r>
        <w:t xml:space="preserve">图1中模型拟合用于描述结构；无惩罚饱和模型会重现七个实测共享率，其一致性属于模型性质。训练拟合与真实比例的贴合程度不代替样本外结果。</w:t>
      </w:r>
    </w:p>
    <w:bookmarkEnd w:id="35"/>
    <w:bookmarkStart w:id="36" w:name="未见谱系组的主比较"/>
    <w:p>
      <w:pPr>
        <w:pStyle w:val="Heading3"/>
      </w:pPr>
      <w:r>
        <w:t xml:space="preserve">4.2 未见谱系组的主比较</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模型</w:t>
            </w:r>
          </w:p>
        </w:tc>
        <w:tc>
          <w:tcPr/>
          <w:p>
            <w:pPr>
              <w:pStyle w:val="Compact"/>
              <w:jc w:val="right"/>
            </w:pPr>
            <w:r>
              <w:t xml:space="preserve">可识别参数数</w:t>
            </w:r>
          </w:p>
        </w:tc>
        <w:tc>
          <w:tcPr/>
          <w:p>
            <w:pPr>
              <w:pStyle w:val="Compact"/>
              <w:jc w:val="right"/>
            </w:pPr>
            <w:r>
              <w:t xml:space="preserve">语言等权对数损失</w:t>
            </w:r>
          </w:p>
        </w:tc>
        <w:tc>
          <w:tcPr/>
          <w:p>
            <w:pPr>
              <w:pStyle w:val="Compact"/>
              <w:jc w:val="right"/>
            </w:pPr>
            <w:r>
              <w:t xml:space="preserve">Brier分数</w:t>
            </w:r>
          </w:p>
        </w:tc>
      </w:tr>
      <w:tr>
        <w:tc>
          <w:tcPr/>
          <w:p>
            <w:pPr>
              <w:pStyle w:val="Compact"/>
              <w:jc w:val="left"/>
            </w:pPr>
            <w:r>
              <w:t xml:space="preserve">原始加性</w:t>
            </w:r>
          </w:p>
        </w:tc>
        <w:tc>
          <w:tcPr/>
          <w:p>
            <w:pPr>
              <w:pStyle w:val="Compact"/>
              <w:jc w:val="right"/>
            </w:pPr>
            <w:r>
              <w:t xml:space="preserve">4</w:t>
            </w:r>
          </w:p>
        </w:tc>
        <w:tc>
          <w:tcPr/>
          <w:p>
            <w:pPr>
              <w:pStyle w:val="Compact"/>
              <w:jc w:val="right"/>
            </w:pPr>
            <w:r>
              <w:t xml:space="preserve">0.581049</w:t>
            </w:r>
          </w:p>
        </w:tc>
        <w:tc>
          <w:tcPr/>
          <w:p>
            <w:pPr>
              <w:pStyle w:val="Compact"/>
              <w:jc w:val="right"/>
            </w:pPr>
            <w:r>
              <w:t xml:space="preserve">0.192943</w:t>
            </w:r>
          </w:p>
        </w:tc>
      </w:tr>
      <w:tr>
        <w:tc>
          <w:tcPr/>
          <w:p>
            <w:pPr>
              <w:pStyle w:val="Compact"/>
              <w:jc w:val="left"/>
            </w:pPr>
            <w:r>
              <w:t xml:space="preserve">经典加性</w:t>
            </w:r>
          </w:p>
        </w:tc>
        <w:tc>
          <w:tcPr/>
          <w:p>
            <w:pPr>
              <w:pStyle w:val="Compact"/>
              <w:jc w:val="right"/>
            </w:pPr>
            <w:r>
              <w:t xml:space="preserve">5</w:t>
            </w:r>
          </w:p>
        </w:tc>
        <w:tc>
          <w:tcPr/>
          <w:p>
            <w:pPr>
              <w:pStyle w:val="Compact"/>
              <w:jc w:val="right"/>
            </w:pPr>
            <w:r>
              <w:t xml:space="preserve">0.578468</w:t>
            </w:r>
          </w:p>
        </w:tc>
        <w:tc>
          <w:tcPr/>
          <w:p>
            <w:pPr>
              <w:pStyle w:val="Compact"/>
              <w:jc w:val="right"/>
            </w:pPr>
            <w:r>
              <w:t xml:space="preserve">0.192613</w:t>
            </w:r>
          </w:p>
        </w:tc>
      </w:tr>
      <w:tr>
        <w:tc>
          <w:tcPr/>
          <w:p>
            <w:pPr>
              <w:pStyle w:val="Compact"/>
              <w:jc w:val="left"/>
            </w:pPr>
            <w:r>
              <w:t xml:space="preserve">完整两两交互</w:t>
            </w:r>
          </w:p>
        </w:tc>
        <w:tc>
          <w:tcPr/>
          <w:p>
            <w:pPr>
              <w:pStyle w:val="Compact"/>
              <w:jc w:val="right"/>
            </w:pPr>
            <w:r>
              <w:t xml:space="preserve">7</w:t>
            </w:r>
          </w:p>
        </w:tc>
        <w:tc>
          <w:tcPr/>
          <w:p>
            <w:pPr>
              <w:pStyle w:val="Compact"/>
              <w:jc w:val="right"/>
            </w:pPr>
            <w:r>
              <w:t xml:space="preserve">0.576625</w:t>
            </w:r>
          </w:p>
        </w:tc>
        <w:tc>
          <w:tcPr/>
          <w:p>
            <w:pPr>
              <w:pStyle w:val="Compact"/>
              <w:jc w:val="right"/>
            </w:pPr>
            <w:r>
              <w:t xml:space="preserve">0.191835</w:t>
            </w:r>
          </w:p>
        </w:tc>
      </w:tr>
    </w:tbl>
    <w:p>
      <w:pPr>
        <w:pStyle w:val="BodyText"/>
      </w:pPr>
      <w:r>
        <w:t xml:space="preserve">完整交互相对原始加性提升0.004423，对应原始损失的约0.76%；相对经典加性的剩余提升为0.001843，约0.32%。前者谱系重采样区间为[-0.000510, 0.008205]，后者为[-0.000604, 0.006120]，两者均包含零。在相同折与评分规则下，经典相对性别模型相对原始模型改善0.002581，占原始→完整交互点估计差值的约58.3%。这个比例是本次估计器和评分设定下的损失分解，不作为特征的因果解释比例；岭惩罚下还包含编码与惩罚几何的影响。</w:t>
      </w:r>
    </w:p>
    <w:p>
      <w:pPr>
        <w:pStyle w:val="BodyText"/>
      </w:pPr>
      <w:r>
        <w:t xml:space="preserve">主比较的点估计支持小幅预测改善，谱系组成变化带来的区间则显示改进幅度存在不确定性。125组中，完整交互相对原始模型在53组得分较好、72组较差；相对经典基准在71组较好、54组较差。每组平均损失和整体验证样本的权重不同，这些计数与总体平均增益应结合解释。</w:t>
      </w:r>
    </w:p>
    <w:bookmarkEnd w:id="36"/>
    <w:bookmarkStart w:id="40" w:name="数据定义与估计设定的敏感性"/>
    <w:p>
      <w:pPr>
        <w:pStyle w:val="Heading3"/>
      </w:pPr>
      <w:r>
        <w:t xml:space="preserve">4.3 数据定义与估计设定的敏感性</w:t>
      </w:r>
    </w:p>
    <w:tbl>
      <w:tblPr>
        <w:tblStyle w:val="Table"/>
        <w:tblW w:type="pct" w:w="5000"/>
        <w:jc w:val="left"/>
        <w:tblLayout w:type="fixed"/>
        <w:tblLook w:firstRow="1" w:lastRow="0" w:firstColumn="0" w:lastColumn="0" w:noHBand="0" w:noVBand="0" w:val="0020"/>
      </w:tblPr>
      <w:tblGrid>
        <w:gridCol w:w="1131"/>
        <w:gridCol w:w="1508"/>
        <w:gridCol w:w="1508"/>
        <w:gridCol w:w="1131"/>
        <w:gridCol w:w="1508"/>
        <w:gridCol w:w="1131"/>
      </w:tblGrid>
      <w:tr>
        <w:trPr>
          <w:tblHeader w:val="on"/>
        </w:trPr>
        <w:tc>
          <w:tcPr/>
          <w:p>
            <w:pPr>
              <w:pStyle w:val="Compact"/>
              <w:jc w:val="left"/>
            </w:pPr>
            <w:r>
              <w:t xml:space="preserve">条件</w:t>
            </w:r>
          </w:p>
        </w:tc>
        <w:tc>
          <w:tcPr/>
          <w:p>
            <w:pPr>
              <w:pStyle w:val="Compact"/>
              <w:jc w:val="right"/>
            </w:pPr>
            <w:r>
              <w:t xml:space="preserve">语言数</w:t>
            </w:r>
          </w:p>
        </w:tc>
        <w:tc>
          <w:tcPr/>
          <w:p>
            <w:pPr>
              <w:pStyle w:val="Compact"/>
              <w:jc w:val="right"/>
            </w:pPr>
            <w:r>
              <w:t xml:space="preserve">原始增益</w:t>
            </w:r>
          </w:p>
        </w:tc>
        <w:tc>
          <w:tcPr/>
          <w:p>
            <w:pPr>
              <w:pStyle w:val="Compact"/>
              <w:jc w:val="left"/>
            </w:pPr>
            <w:r>
              <w:t xml:space="preserve">原始增益95%区间</w:t>
            </w:r>
          </w:p>
        </w:tc>
        <w:tc>
          <w:tcPr/>
          <w:p>
            <w:pPr>
              <w:pStyle w:val="Compact"/>
              <w:jc w:val="right"/>
            </w:pPr>
            <w:r>
              <w:t xml:space="preserve">经典剩余增益</w:t>
            </w:r>
          </w:p>
        </w:tc>
        <w:tc>
          <w:tcPr/>
          <w:p>
            <w:pPr>
              <w:pStyle w:val="Compact"/>
              <w:jc w:val="left"/>
            </w:pPr>
            <w:r>
              <w:t xml:space="preserve">剩余增益95%区间</w:t>
            </w:r>
          </w:p>
        </w:tc>
      </w:tr>
      <w:tr>
        <w:tc>
          <w:tcPr/>
          <w:p>
            <w:pPr>
              <w:pStyle w:val="Compact"/>
              <w:jc w:val="left"/>
            </w:pPr>
            <w:r>
              <w:t xml:space="preserve">主分析</w:t>
            </w:r>
          </w:p>
        </w:tc>
        <w:tc>
          <w:tcPr/>
          <w:p>
            <w:pPr>
              <w:pStyle w:val="Compact"/>
              <w:jc w:val="right"/>
            </w:pPr>
            <w:r>
              <w:t xml:space="preserve">939</w:t>
            </w:r>
          </w:p>
        </w:tc>
        <w:tc>
          <w:tcPr/>
          <w:p>
            <w:pPr>
              <w:pStyle w:val="Compact"/>
              <w:jc w:val="right"/>
            </w:pPr>
            <w:r>
              <w:t xml:space="preserve">0.004423</w:t>
            </w:r>
          </w:p>
        </w:tc>
        <w:tc>
          <w:tcPr/>
          <w:p>
            <w:pPr>
              <w:pStyle w:val="Compact"/>
              <w:jc w:val="left"/>
            </w:pPr>
            <w:r>
              <w:t xml:space="preserve">[-0.000510, 0.008205]</w:t>
            </w:r>
          </w:p>
        </w:tc>
        <w:tc>
          <w:tcPr/>
          <w:p>
            <w:pPr>
              <w:pStyle w:val="Compact"/>
              <w:jc w:val="right"/>
            </w:pPr>
            <w:r>
              <w:t xml:space="preserve">0.001843</w:t>
            </w:r>
          </w:p>
        </w:tc>
        <w:tc>
          <w:tcPr/>
          <w:p>
            <w:pPr>
              <w:pStyle w:val="Compact"/>
              <w:jc w:val="left"/>
            </w:pPr>
            <w:r>
              <w:t xml:space="preserve">[-0.000604, 0.006120]</w:t>
            </w:r>
          </w:p>
        </w:tc>
      </w:tr>
      <w:tr>
        <w:tc>
          <w:tcPr/>
          <w:p>
            <w:pPr>
              <w:pStyle w:val="Compact"/>
              <w:jc w:val="left"/>
            </w:pPr>
            <w:r>
              <w:t xml:space="preserve">至少75%覆盖</w:t>
            </w:r>
          </w:p>
        </w:tc>
        <w:tc>
          <w:tcPr/>
          <w:p>
            <w:pPr>
              <w:pStyle w:val="Compact"/>
              <w:jc w:val="right"/>
            </w:pPr>
            <w:r>
              <w:t xml:space="preserve">997</w:t>
            </w:r>
          </w:p>
        </w:tc>
        <w:tc>
          <w:tcPr/>
          <w:p>
            <w:pPr>
              <w:pStyle w:val="Compact"/>
              <w:jc w:val="right"/>
            </w:pPr>
            <w:r>
              <w:t xml:space="preserve">0.004765</w:t>
            </w:r>
          </w:p>
        </w:tc>
        <w:tc>
          <w:tcPr/>
          <w:p>
            <w:pPr>
              <w:pStyle w:val="Compact"/>
              <w:jc w:val="left"/>
            </w:pPr>
            <w:r>
              <w:t xml:space="preserve">[-0.000108, 0.008337]</w:t>
            </w:r>
          </w:p>
        </w:tc>
        <w:tc>
          <w:tcPr/>
          <w:p>
            <w:pPr>
              <w:pStyle w:val="Compact"/>
              <w:jc w:val="right"/>
            </w:pPr>
            <w:r>
              <w:t xml:space="preserve">0.002291</w:t>
            </w:r>
          </w:p>
        </w:tc>
        <w:tc>
          <w:tcPr/>
          <w:p>
            <w:pPr>
              <w:pStyle w:val="Compact"/>
              <w:jc w:val="left"/>
            </w:pPr>
            <w:r>
              <w:t xml:space="preserve">[-0.000178, 0.006472]</w:t>
            </w:r>
          </w:p>
        </w:tc>
      </w:tr>
      <w:tr>
        <w:tc>
          <w:tcPr/>
          <w:p>
            <w:pPr>
              <w:pStyle w:val="Compact"/>
              <w:jc w:val="left"/>
            </w:pPr>
            <w:r>
              <w:t xml:space="preserve">词形集合完全相同</w:t>
            </w:r>
          </w:p>
        </w:tc>
        <w:tc>
          <w:tcPr/>
          <w:p>
            <w:pPr>
              <w:pStyle w:val="Compact"/>
              <w:jc w:val="right"/>
            </w:pPr>
            <w:r>
              <w:t xml:space="preserve">939</w:t>
            </w:r>
          </w:p>
        </w:tc>
        <w:tc>
          <w:tcPr/>
          <w:p>
            <w:pPr>
              <w:pStyle w:val="Compact"/>
              <w:jc w:val="right"/>
            </w:pPr>
            <w:r>
              <w:t xml:space="preserve">0.002682</w:t>
            </w:r>
          </w:p>
        </w:tc>
        <w:tc>
          <w:tcPr/>
          <w:p>
            <w:pPr>
              <w:pStyle w:val="Compact"/>
              <w:jc w:val="left"/>
            </w:pPr>
            <w:r>
              <w:t xml:space="preserve">[-0.002046, 0.006597]</w:t>
            </w:r>
          </w:p>
        </w:tc>
        <w:tc>
          <w:tcPr/>
          <w:p>
            <w:pPr>
              <w:pStyle w:val="Compact"/>
              <w:jc w:val="right"/>
            </w:pPr>
            <w:r>
              <w:t xml:space="preserve">-0.001972</w:t>
            </w:r>
          </w:p>
        </w:tc>
        <w:tc>
          <w:tcPr/>
          <w:p>
            <w:pPr>
              <w:pStyle w:val="Compact"/>
              <w:jc w:val="left"/>
            </w:pPr>
            <w:r>
              <w:t xml:space="preserve">[-0.005237, 0.002701]</w:t>
            </w:r>
          </w:p>
        </w:tc>
      </w:tr>
      <w:tr>
        <w:tc>
          <w:tcPr/>
          <w:p>
            <w:pPr>
              <w:pStyle w:val="Compact"/>
              <w:jc w:val="left"/>
            </w:pPr>
            <w:r>
              <w:t xml:space="preserve">每类仅一词形</w:t>
            </w:r>
          </w:p>
        </w:tc>
        <w:tc>
          <w:tcPr/>
          <w:p>
            <w:pPr>
              <w:pStyle w:val="Compact"/>
              <w:jc w:val="right"/>
            </w:pPr>
            <w:r>
              <w:t xml:space="preserve">625</w:t>
            </w:r>
          </w:p>
        </w:tc>
        <w:tc>
          <w:tcPr/>
          <w:p>
            <w:pPr>
              <w:pStyle w:val="Compact"/>
              <w:jc w:val="right"/>
            </w:pPr>
            <w:r>
              <w:t xml:space="preserve">0.003352</w:t>
            </w:r>
          </w:p>
        </w:tc>
        <w:tc>
          <w:tcPr/>
          <w:p>
            <w:pPr>
              <w:pStyle w:val="Compact"/>
              <w:jc w:val="left"/>
            </w:pPr>
            <w:r>
              <w:t xml:space="preserve">[-0.002486, 0.007488]</w:t>
            </w:r>
          </w:p>
        </w:tc>
        <w:tc>
          <w:tcPr/>
          <w:p>
            <w:pPr>
              <w:pStyle w:val="Compact"/>
              <w:jc w:val="right"/>
            </w:pPr>
            <w:r>
              <w:t xml:space="preserve">-0.003427</w:t>
            </w:r>
          </w:p>
        </w:tc>
        <w:tc>
          <w:tcPr/>
          <w:p>
            <w:pPr>
              <w:pStyle w:val="Compact"/>
              <w:jc w:val="left"/>
            </w:pPr>
            <w:r>
              <w:t xml:space="preserve">[-0.006601, 0.001299]</w:t>
            </w:r>
          </w:p>
        </w:tc>
      </w:tr>
      <w:tr>
        <w:tc>
          <w:tcPr/>
          <w:p>
            <w:pPr>
              <w:pStyle w:val="Compact"/>
              <w:jc w:val="left"/>
            </w:pPr>
            <w:r>
              <w:t xml:space="preserve">单一文献来源</w:t>
            </w:r>
          </w:p>
        </w:tc>
        <w:tc>
          <w:tcPr/>
          <w:p>
            <w:pPr>
              <w:pStyle w:val="Compact"/>
              <w:jc w:val="right"/>
            </w:pPr>
            <w:r>
              <w:t xml:space="preserve">911</w:t>
            </w:r>
          </w:p>
        </w:tc>
        <w:tc>
          <w:tcPr/>
          <w:p>
            <w:pPr>
              <w:pStyle w:val="Compact"/>
              <w:jc w:val="right"/>
            </w:pPr>
            <w:r>
              <w:t xml:space="preserve">0.004302</w:t>
            </w:r>
          </w:p>
        </w:tc>
        <w:tc>
          <w:tcPr/>
          <w:p>
            <w:pPr>
              <w:pStyle w:val="Compact"/>
              <w:jc w:val="left"/>
            </w:pPr>
            <w:r>
              <w:t xml:space="preserve">[-0.001273, 0.008328]</w:t>
            </w:r>
          </w:p>
        </w:tc>
        <w:tc>
          <w:tcPr/>
          <w:p>
            <w:pPr>
              <w:pStyle w:val="Compact"/>
              <w:jc w:val="right"/>
            </w:pPr>
            <w:r>
              <w:t xml:space="preserve">0.001294</w:t>
            </w:r>
          </w:p>
        </w:tc>
        <w:tc>
          <w:tcPr/>
          <w:p>
            <w:pPr>
              <w:pStyle w:val="Compact"/>
              <w:jc w:val="left"/>
            </w:pPr>
            <w:r>
              <w:t xml:space="preserve">[-0.001075, 0.005593]</w:t>
            </w:r>
          </w:p>
        </w:tc>
      </w:tr>
      <w:tr>
        <w:tc>
          <w:tcPr/>
          <w:p>
            <w:pPr>
              <w:pStyle w:val="Compact"/>
              <w:jc w:val="left"/>
            </w:pPr>
            <w:r>
              <w:t xml:space="preserve">C=0.1</w:t>
            </w:r>
          </w:p>
        </w:tc>
        <w:tc>
          <w:tcPr/>
          <w:p>
            <w:pPr>
              <w:pStyle w:val="Compact"/>
              <w:jc w:val="right"/>
            </w:pPr>
            <w:r>
              <w:t xml:space="preserve">939</w:t>
            </w:r>
          </w:p>
        </w:tc>
        <w:tc>
          <w:tcPr/>
          <w:p>
            <w:pPr>
              <w:pStyle w:val="Compact"/>
              <w:jc w:val="right"/>
            </w:pPr>
            <w:r>
              <w:t xml:space="preserve">-0.000601</w:t>
            </w:r>
          </w:p>
        </w:tc>
        <w:tc>
          <w:tcPr/>
          <w:p>
            <w:pPr>
              <w:pStyle w:val="Compact"/>
              <w:jc w:val="left"/>
            </w:pPr>
            <w:r>
              <w:t xml:space="preserve">[-0.004087, 0.004499]</w:t>
            </w:r>
          </w:p>
        </w:tc>
        <w:tc>
          <w:tcPr/>
          <w:p>
            <w:pPr>
              <w:pStyle w:val="Compact"/>
              <w:jc w:val="right"/>
            </w:pPr>
            <w:r>
              <w:t xml:space="preserve">0.000982</w:t>
            </w:r>
          </w:p>
        </w:tc>
        <w:tc>
          <w:tcPr/>
          <w:p>
            <w:pPr>
              <w:pStyle w:val="Compact"/>
              <w:jc w:val="left"/>
            </w:pPr>
            <w:r>
              <w:t xml:space="preserve">[-0.002372, 0.005483]</w:t>
            </w:r>
          </w:p>
        </w:tc>
      </w:tr>
      <w:tr>
        <w:tc>
          <w:tcPr/>
          <w:p>
            <w:pPr>
              <w:pStyle w:val="Compact"/>
              <w:jc w:val="left"/>
            </w:pPr>
            <w:r>
              <w:t xml:space="preserve">C=10</w:t>
            </w:r>
          </w:p>
        </w:tc>
        <w:tc>
          <w:tcPr/>
          <w:p>
            <w:pPr>
              <w:pStyle w:val="Compact"/>
              <w:jc w:val="right"/>
            </w:pPr>
            <w:r>
              <w:t xml:space="preserve">939</w:t>
            </w:r>
          </w:p>
        </w:tc>
        <w:tc>
          <w:tcPr/>
          <w:p>
            <w:pPr>
              <w:pStyle w:val="Compact"/>
              <w:jc w:val="right"/>
            </w:pPr>
            <w:r>
              <w:t xml:space="preserve">0.010027</w:t>
            </w:r>
          </w:p>
        </w:tc>
        <w:tc>
          <w:tcPr/>
          <w:p>
            <w:pPr>
              <w:pStyle w:val="Compact"/>
              <w:jc w:val="left"/>
            </w:pPr>
            <w:r>
              <w:t xml:space="preserve">[0.000359, 0.017341]</w:t>
            </w:r>
          </w:p>
        </w:tc>
        <w:tc>
          <w:tcPr/>
          <w:p>
            <w:pPr>
              <w:pStyle w:val="Compact"/>
              <w:jc w:val="right"/>
            </w:pPr>
            <w:r>
              <w:t xml:space="preserve">0.007135</w:t>
            </w:r>
          </w:p>
        </w:tc>
        <w:tc>
          <w:tcPr/>
          <w:p>
            <w:pPr>
              <w:pStyle w:val="Compact"/>
              <w:jc w:val="left"/>
            </w:pPr>
            <w:r>
              <w:t xml:space="preserve">[0.002893, 0.010126]</w:t>
            </w:r>
          </w:p>
        </w:tc>
      </w:tr>
      <w:tr>
        <w:tc>
          <w:tcPr/>
          <w:p>
            <w:pPr>
              <w:pStyle w:val="Compact"/>
              <w:jc w:val="left"/>
            </w:pPr>
            <w:r>
              <w:t xml:space="preserve">无惩罚</w:t>
            </w:r>
          </w:p>
        </w:tc>
        <w:tc>
          <w:tcPr/>
          <w:p>
            <w:pPr>
              <w:pStyle w:val="Compact"/>
              <w:jc w:val="right"/>
            </w:pPr>
            <w:r>
              <w:t xml:space="preserve">939</w:t>
            </w:r>
          </w:p>
        </w:tc>
        <w:tc>
          <w:tcPr/>
          <w:p>
            <w:pPr>
              <w:pStyle w:val="Compact"/>
              <w:jc w:val="right"/>
            </w:pPr>
            <w:r>
              <w:t xml:space="preserve">0.010437</w:t>
            </w:r>
          </w:p>
        </w:tc>
        <w:tc>
          <w:tcPr/>
          <w:p>
            <w:pPr>
              <w:pStyle w:val="Compact"/>
              <w:jc w:val="left"/>
            </w:pPr>
            <w:r>
              <w:t xml:space="preserve">[0.000063, 0.018156]</w:t>
            </w:r>
          </w:p>
        </w:tc>
        <w:tc>
          <w:tcPr/>
          <w:p>
            <w:pPr>
              <w:pStyle w:val="Compact"/>
              <w:jc w:val="right"/>
            </w:pPr>
            <w:r>
              <w:t xml:space="preserve">0.007534</w:t>
            </w:r>
          </w:p>
        </w:tc>
        <w:tc>
          <w:tcPr/>
          <w:p>
            <w:pPr>
              <w:pStyle w:val="Compact"/>
              <w:jc w:val="left"/>
            </w:pPr>
            <w:r>
              <w:t xml:space="preserve">[0.002713, 0.010829]</w:t>
            </w:r>
          </w:p>
        </w:tc>
      </w:tr>
    </w:tbl>
    <w:p>
      <w:pPr>
        <w:pStyle w:val="BodyText"/>
      </w:pPr>
      <w:r>
        <w:t xml:space="preserve">至少75%覆盖时，主样本扩大为997个记录系统，原始增益与剩余增益分别为0.004765、0.002291；相应区间仍包含零。单来源样本有911个系统，两项增益为0.004302、0.001294，量级与主分析接近。</w:t>
      </w:r>
    </w:p>
    <w:p>
      <w:pPr>
        <w:pStyle w:val="BodyText"/>
      </w:pPr>
      <w:r>
        <w:t xml:space="preserve">改变词形关系的定义产生实质性变化。要求两个词形集合完全相同后，完整交互相对经典模型的差值变为-0.001972；每类仅一词形的625个系统中，该差值为-0.003427，经典加性模型的平均损失更低。集合相同改变了测量结果，单词形子样本同时改变了样本组成，因此两项变化分别包含测量和选择影响。</w:t>
      </w:r>
    </w:p>
    <w:p>
      <w:pPr>
        <w:pStyle w:val="BodyText"/>
      </w:pPr>
      <w:r>
        <w:t xml:space="preserve">惩罚强度的影响同样明显。</w:t>
      </w:r>
      <m:oMath>
        <m:r>
          <m:t>C</m:t>
        </m:r>
        <m:r>
          <m:rPr>
            <m:sty m:val="p"/>
          </m:rPr>
          <m:t>=</m:t>
        </m:r>
        <m:r>
          <m:t>0.1</m:t>
        </m:r>
      </m:oMath>
      <w:r>
        <w:t xml:space="preserve"> </w:t>
      </w:r>
      <w:r>
        <w:t xml:space="preserve">时，完整交互相对原始模型的增益为-0.000601；</w:t>
      </w:r>
      <m:oMath>
        <m:r>
          <m:t>C</m:t>
        </m:r>
        <m:r>
          <m:rPr>
            <m:sty m:val="p"/>
          </m:rPr>
          <m:t>=</m:t>
        </m:r>
        <m:r>
          <m:t>10</m:t>
        </m:r>
      </m:oMath>
      <w:r>
        <w:t xml:space="preserve"> </w:t>
      </w:r>
      <w:r>
        <w:t xml:space="preserve">和无惩罚设定下，原始增益分别升至0.010027和0.010437，经典之后的剩余增益为0.007135和0.007534，后两项剩余增益的谱系区间均为正。各模型的列数与参数编码不同，惩罚改变模型函数的估计形状；这些结果提供估计设定依赖性的直接证据。所有设定均为事前固定的分析，论文以固定</w:t>
      </w:r>
      <w:r>
        <w:t xml:space="preserve"> </w:t>
      </w:r>
      <m:oMath>
        <m:r>
          <m:t>C</m:t>
        </m:r>
        <m:r>
          <m:rPr>
            <m:sty m:val="p"/>
          </m:rPr>
          <m:t>=</m:t>
        </m:r>
        <m:r>
          <m:t>1</m:t>
        </m:r>
      </m:oMath>
      <w:r>
        <w:t xml:space="preserve"> </w:t>
      </w:r>
      <w:r>
        <w:t xml:space="preserve">的主比较组织论证，同时完整展示其他结果。</w:t>
      </w:r>
    </w:p>
    <w:p>
      <w:pPr>
        <w:pStyle w:val="CaptionedFigure"/>
      </w:pPr>
      <w:r>
        <w:drawing>
          <wp:inline>
            <wp:extent cx="5334000" cy="2963333"/>
            <wp:effectExtent b="0" l="0" r="0" t="0"/>
            <wp:docPr descr="预设条件下完整交互相对两个基准的样本外增益" title="" id="38" name="Picture"/>
            <a:graphic>
              <a:graphicData uri="http://schemas.openxmlformats.org/drawingml/2006/picture">
                <pic:pic>
                  <pic:nvPicPr>
                    <pic:cNvPr descr="../analysis/robustness_gain.png" id="39" name="Picture"/>
                    <pic:cNvPicPr>
                      <a:picLocks noChangeArrowheads="1" noChangeAspect="1"/>
                    </pic:cNvPicPr>
                  </pic:nvPicPr>
                  <pic:blipFill>
                    <a:blip r:embed="rId37"/>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预设条件下完整交互相对两个基准的样本外增益</w:t>
      </w:r>
    </w:p>
    <w:bookmarkEnd w:id="40"/>
    <w:bookmarkStart w:id="41" w:name="验证层级与谱系组成"/>
    <w:p>
      <w:pPr>
        <w:pStyle w:val="Heading3"/>
      </w:pPr>
      <w:r>
        <w:t xml:space="preserve">4.4 验证层级与谱系组成</w:t>
      </w:r>
    </w:p>
    <w:p>
      <w:pPr>
        <w:pStyle w:val="FirstParagraph"/>
      </w:pPr>
      <w:r>
        <w:t xml:space="preserve">按语言而非语系留出时，三模型损失为0.544086、0.536602、0.535055，原始增益为0.009032，剩余增益为0.001548。原始增益区间为[0.001339, 0.015256]，剩余区间仍包含零。语言留出的任务允许来自同一语系的其他语言提供训练信息，其绝对损失较低，表明验证层级与此次分组共同影响表现。</w:t>
      </w:r>
    </w:p>
    <w:p>
      <w:pPr>
        <w:pStyle w:val="BodyText"/>
      </w:pPr>
      <w:r>
        <w:t xml:space="preserve">若评分改为125个谱系组等权，主比较的原始与剩余增益为0.009393和0.002315。最大组南岛语系包含296个主样本系统；在原有折外预测中移除该组后，两项差值变为0.002326和0.003862。这是评分样本组成检查，模型没有重新训练。原始增益和经典之后的增益具有不同的语系贡献结构。</w:t>
      </w:r>
    </w:p>
    <w:bookmarkEnd w:id="41"/>
    <w:bookmarkStart w:id="42" w:name="二维扩展与计算核验"/>
    <w:p>
      <w:pPr>
        <w:pStyle w:val="Heading3"/>
      </w:pPr>
      <w:r>
        <w:t xml:space="preserve">4.5 二维扩展与计算核验</w:t>
      </w:r>
    </w:p>
    <w:p>
      <w:pPr>
        <w:pStyle w:val="FirstParagraph"/>
      </w:pPr>
      <w:r>
        <w:t xml:space="preserve">祖辈描述涉及983个完整四类系统，父母兄弟姐妹描述涉及329个系统，均固定男性参照者。祖辈中仅连接亲属性别不同的共享率为85.1984%，仅所指性别不同为27.1109%，两者均不同为27.2635%。父母兄弟姐妹相应比例为34.0426%、3.0395%和1.2158%。这些结果说明两个领域的词形共享形状有所区别。</w:t>
      </w:r>
    </w:p>
    <w:p>
      <w:pPr>
        <w:pStyle w:val="BodyText"/>
      </w:pPr>
      <w:r>
        <w:t xml:space="preserve">由于二维不同类别配对只有三个差异组合，截距加两个主效应已具有三个独立参数；加入交互不会增加秩。因此这里报告描述性比例，不把这些二维数据视为可独立估计的交互检验。</w:t>
      </w:r>
    </w:p>
    <w:p>
      <w:pPr>
        <w:pStyle w:val="BodyText"/>
      </w:pPr>
      <w:r>
        <w:t xml:space="preserve">全部135次折内拟合收敛，各模型训练矩阵最低秩保持4、5、7。独立核验脚本从原始Form重建主样本词形集合，结果与26,292个配对结果完全一致；独立复算损失、Brier分数和增益的最大误差为</w:t>
      </w:r>
      <w:r>
        <w:t xml:space="preserve"> </w:t>
      </w:r>
      <m:oMath>
        <m:r>
          <m:t>2.22</m:t>
        </m:r>
        <m:r>
          <m:rPr>
            <m:sty m:val="p"/>
          </m:rPr>
          <m:t>×</m:t>
        </m:r>
        <m:sSup>
          <m:e>
            <m:r>
              <m:t>10</m:t>
            </m:r>
          </m:e>
          <m:sup>
            <m:r>
              <m:rPr>
                <m:sty m:val="p"/>
              </m:rPr>
              <m:t>−</m:t>
            </m:r>
            <m:r>
              <m:t>16</m:t>
            </m:r>
          </m:sup>
        </m:sSup>
      </m:oMath>
      <w:r>
        <w:t xml:space="preserve">，同种子谱系区间最大误差为</w:t>
      </w:r>
      <w:r>
        <w:t xml:space="preserve"> </w:t>
      </w:r>
      <m:oMath>
        <m:r>
          <m:t>3.90</m:t>
        </m:r>
        <m:r>
          <m:rPr>
            <m:sty m:val="p"/>
          </m:rPr>
          <m:t>×</m:t>
        </m:r>
        <m:sSup>
          <m:e>
            <m:r>
              <m:t>10</m:t>
            </m:r>
          </m:e>
          <m:sup>
            <m:r>
              <m:rPr>
                <m:sty m:val="p"/>
              </m:rPr>
              <m:t>−</m:t>
            </m:r>
            <m:r>
              <m:t>17</m:t>
            </m:r>
          </m:sup>
        </m:sSup>
      </m:oMath>
      <w:r>
        <w:t xml:space="preserve">。谱系／语言分组均没有跨折重叠；无惩罚七单元模型与训练折实测比例的预测误差也符合饱和性质。核验材料随代码交付。</w:t>
      </w:r>
    </w:p>
    <w:bookmarkEnd w:id="42"/>
    <w:bookmarkEnd w:id="43"/>
    <w:bookmarkStart w:id="49" w:name="五讨论"/>
    <w:p>
      <w:pPr>
        <w:pStyle w:val="Heading2"/>
      </w:pPr>
      <w:r>
        <w:t xml:space="preserve">五、讨论</w:t>
      </w:r>
    </w:p>
    <w:bookmarkStart w:id="44" w:name="传统特征如何改变非加性的含义"/>
    <w:p>
      <w:pPr>
        <w:pStyle w:val="Heading3"/>
      </w:pPr>
      <w:r>
        <w:t xml:space="preserve">5.1 传统特征如何改变“非加性”的含义</w:t>
      </w:r>
    </w:p>
    <w:p>
      <w:pPr>
        <w:pStyle w:val="FirstParagraph"/>
      </w:pPr>
      <w:r>
        <w:t xml:space="preserve">相对性别的代数表达是本研究最明确的设计发现。它表明，</w:t>
      </w:r>
      <w:r>
        <w:t xml:space="preserve">“</w:t>
      </w:r>
      <w:r>
        <w:t xml:space="preserve">交互</w:t>
      </w:r>
      <w:r>
        <w:t xml:space="preserve">”</w:t>
      </w:r>
      <w:r>
        <w:t xml:space="preserve">依赖于所选基本属性：把所指者与参照者性别分别视为原始属性，会得到一个乘积项；把同性／异性关系视为属性，则可用一个主效应表达同样的函数空间。这与经典兄弟姐妹研究和近期对称性理论衔接[A02、A06、B04]。</w:t>
      </w:r>
    </w:p>
    <w:p>
      <w:pPr>
        <w:pStyle w:val="BodyText"/>
      </w:pPr>
      <w:r>
        <w:t xml:space="preserve">这一辨析对语义研究的意义在于，统计函数与语义本体之间需要明确对应。观察到乘积项并不自动回答哪一种属性表述最接近词义组织。合理的实证工作应先纳入传统的关系性特征，再测量剩余非加性。本次三个基准使这一步骤具体化，主设定下经典相对性别模型相对原始模型的差值，占原始至完整交互点估计差值约58.3%，同时这一增益在不同谱系组成下也具有差异。</w:t>
      </w:r>
    </w:p>
    <w:bookmarkEnd w:id="44"/>
    <w:bookmarkStart w:id="45" w:name="剩余增益的实际量级与可重复范围"/>
    <w:p>
      <w:pPr>
        <w:pStyle w:val="Heading3"/>
      </w:pPr>
      <w:r>
        <w:t xml:space="preserve">5.2 剩余增益的实际量级与可重复范围</w:t>
      </w:r>
    </w:p>
    <w:p>
      <w:pPr>
        <w:pStyle w:val="FirstParagraph"/>
      </w:pPr>
      <w:r>
        <w:t xml:space="preserve">主设定的剩余增益为0.001843，量级较小，区间包含零；严格集合与单词形样本中，经典加性表现较好；弱惩罚和无惩罚下，完整交互得到较大正增益。综合这些结果，当前证据的回答是：七组合的自由表达在部分设定中提高预测，而传统特征之后的优势受到词形定义、样本和估计方式影响。</w:t>
      </w:r>
    </w:p>
    <w:p>
      <w:pPr>
        <w:pStyle w:val="BodyText"/>
      </w:pPr>
      <w:r>
        <w:t xml:space="preserve">这并不把所有设定压成一个二元结论。无惩罚分析的正剩余增益是真实计算结果，体现总体七组合对加性函数的偏离；主设定及测量变体体现相应偏离的实际泛化稳定程度。通过并列展示它们，本研究提供了可供后续研究改进估计和测量的具体范围。</w:t>
      </w:r>
    </w:p>
    <w:bookmarkEnd w:id="45"/>
    <w:bookmarkStart w:id="46" w:name="与效率推广和结构理论的对话"/>
    <w:p>
      <w:pPr>
        <w:pStyle w:val="Heading3"/>
      </w:pPr>
      <w:r>
        <w:t xml:space="preserve">5.3 与效率、推广和结构理论的对话</w:t>
      </w:r>
    </w:p>
    <w:p>
      <w:pPr>
        <w:pStyle w:val="FirstParagraph"/>
      </w:pPr>
      <w:r>
        <w:t xml:space="preserve">效率研究解释简洁性和信息性之间的系统权衡[B01、B05]，近期工作讨论特征权重、跨代推广和对称性[B02–B04]。本次观察到的预测形状可以与这些理论联系，但研究没有测量使用频率、交际需求或学习过程，所以实际结果首先贡献一个受控的数据库比较。</w:t>
      </w:r>
    </w:p>
    <w:p>
      <w:pPr>
        <w:pStyle w:val="BodyText"/>
      </w:pPr>
      <w:r>
        <w:t xml:space="preserve">与内部共选研究相比，本研究聚焦兄弟姐妹域中的差异函数，而不是全系统类别相似和跨代联系[A18]。与逻辑学习模型相比，本次结果是在样本总体概率层面，逻辑学习的表示则以生成、组合和推断规则为对象[B14]。这些研究之间的差异可以支持后续整合：将预测残差映射到已知语义规则，随后设计直接测量学习或历史变化的研究。</w:t>
      </w:r>
    </w:p>
    <w:bookmarkEnd w:id="46"/>
    <w:bookmarkStart w:id="47" w:name="测量资料结构与估计对象"/>
    <w:p>
      <w:pPr>
        <w:pStyle w:val="Heading3"/>
      </w:pPr>
      <w:r>
        <w:t xml:space="preserve">5.4 测量、资料结构与估计对象</w:t>
      </w:r>
    </w:p>
    <w:p>
      <w:pPr>
        <w:pStyle w:val="FirstParagraph"/>
      </w:pPr>
      <w:r>
        <w:t xml:space="preserve">精确同形是一种透明且可复现的测量，但共同词干与性别后缀可能承载相关语义而未成为相同Form[A17、A18]。本研究用保守标准化保留这些区别，测得的是共享形式，而不是所有形态或意义联系。多同义词的集合重叠又可能产生非传递关系，严格集合与单词形变体据此成为重要比较。</w:t>
      </w:r>
    </w:p>
    <w:p>
      <w:pPr>
        <w:pStyle w:val="BodyText"/>
      </w:pPr>
      <w:r>
        <w:t xml:space="preserve">覆盖、来源及历史结构也参与结果形成。八类记录可能是较粗原资料的展开；不同语系的资料密度不同，样本包含历史语言和变体。谱系整组验证体现新谱系泛化的要求，仍不等于拟合完整的谱系距离或接触网络。总体logit中的非加性也可能包含语言异质性混合效应。本文把这些特征作为估计对象的组成部分，解释范围始终与实际计算保持一致。</w:t>
      </w:r>
    </w:p>
    <w:bookmarkEnd w:id="47"/>
    <w:bookmarkStart w:id="48" w:name="后续可检验工作"/>
    <w:p>
      <w:pPr>
        <w:pStyle w:val="Heading3"/>
      </w:pPr>
      <w:r>
        <w:t xml:space="preserve">5.5 后续可检验工作</w:t>
      </w:r>
    </w:p>
    <w:p>
      <w:pPr>
        <w:pStyle w:val="FirstParagraph"/>
      </w:pPr>
      <w:r>
        <w:t xml:space="preserve">后续工作可沿三个方向推进。第一，在训练语系内采用嵌套验证选择惩罚，并检验编码等价的模型在相应变换惩罚下的比较，形成更加统一的估计目标。第二，以保持词汇划分传递性的生成模型及更丰富的类别对状态表示，分析七差异单元之外的结构。第三，结合原始来源的细化区分、语言内层级模型、谱系变化或人工亲属词任务，检验总体预测残差对应哪些语义组织过程。上述方向分别连接估计改进、结构建模与机制研究。</w:t>
      </w:r>
    </w:p>
    <w:bookmarkEnd w:id="48"/>
    <w:bookmarkEnd w:id="49"/>
    <w:bookmarkStart w:id="50" w:name="六结论"/>
    <w:p>
      <w:pPr>
        <w:pStyle w:val="Heading2"/>
      </w:pPr>
      <w:r>
        <w:t xml:space="preserve">六、结论</w:t>
      </w:r>
    </w:p>
    <w:p>
      <w:pPr>
        <w:pStyle w:val="FirstParagraph"/>
      </w:pPr>
      <w:r>
        <w:t xml:space="preserve">本研究完成了跨语言兄弟姐妹类别共享词形的可复现检验。理论上，传统相对性别主效应与原始性别交互具有明确的代数联系；方法上，八类别差异空间允许识别4、5、7参数的三个基准，但完整两两交互对七单元已经饱和，三阶作用不能再独立分开。实测上，主设定中交互具有小幅点估计改善，两项谱系区间均含零；传统特征之后的剩余增益随词形判定和惩罚改变。</w:t>
      </w:r>
    </w:p>
    <w:p>
      <w:pPr>
        <w:pStyle w:val="BodyText"/>
      </w:pPr>
      <w:r>
        <w:t xml:space="preserve">研究据此将亲属语义组合问题推进为一个明确的比较框架：确定特征表述、纳入传统关系特征、报告样本外增益，并检验其跨谱系和测量条件的适用范围。中文计划、统一文献台账、冻结协议、数据、代码和实际结果一并保存，以支持复算和进一步研究。</w:t>
      </w:r>
    </w:p>
    <w:bookmarkEnd w:id="50"/>
    <w:bookmarkStart w:id="53" w:name="数据与材料"/>
    <w:p>
      <w:pPr>
        <w:pStyle w:val="Heading2"/>
      </w:pPr>
      <w:r>
        <w:t xml:space="preserve">数据与材料</w:t>
      </w:r>
    </w:p>
    <w:p>
      <w:pPr>
        <w:pStyle w:val="FirstParagraph"/>
      </w:pPr>
      <w:r>
        <w:t xml:space="preserve">原始数据来自</w:t>
      </w:r>
      <w:hyperlink r:id="rId51">
        <w:r>
          <w:rPr>
            <w:rStyle w:val="Hyperlink"/>
          </w:rPr>
          <w:t xml:space="preserve">Kinbank</w:t>
        </w:r>
      </w:hyperlink>
      <w:r>
        <w:t xml:space="preserve">和</w:t>
      </w:r>
      <w:hyperlink r:id="rId52">
        <w:r>
          <w:rPr>
            <w:rStyle w:val="Hyperlink"/>
          </w:rPr>
          <w:t xml:space="preserve">Glottolog CLDF</w:t>
        </w:r>
      </w:hyperlink>
      <w:r>
        <w:t xml:space="preserve">。具体版本、许可、清洗、来源和执行环境见复现包中的provenance.json；核心脚本为audit.py和analyze.py。所有表格数字来自results.json或对应CSV，图表为本次数据计算所得。</w:t>
      </w:r>
    </w:p>
    <w:bookmarkEnd w:id="53"/>
    <w:bookmarkStart w:id="102" w:name="参考文献"/>
    <w:p>
      <w:pPr>
        <w:pStyle w:val="Heading2"/>
      </w:pPr>
      <w:r>
        <w:t xml:space="preserve">参考文献</w:t>
      </w:r>
    </w:p>
    <w:p>
      <w:pPr>
        <w:pStyle w:val="FirstParagraph"/>
      </w:pPr>
      <w:r>
        <w:t xml:space="preserve">文献编号与统一台账一致。正式可计入全文／真实摘要阅读的书目及补充历史资料分别标示；题名保持原文。</w:t>
      </w:r>
    </w:p>
    <w:p>
      <w:pPr>
        <w:pStyle w:val="BodyText"/>
      </w:pPr>
      <w:r>
        <w:t xml:space="preserve">[A01] Alfred Louis Kroeber（1909）.</w:t>
      </w:r>
      <w:r>
        <w:t xml:space="preserve"> </w:t>
      </w:r>
      <w:r>
        <w:rPr>
          <w:i/>
          <w:iCs/>
        </w:rPr>
        <w:t xml:space="preserve">Classificatory Systems of Relationship</w:t>
      </w:r>
      <w:r>
        <w:t xml:space="preserve">. The Journal of the Royal Anthropological Institute of Great Britain and Ireland, 39, 77–84.</w:t>
      </w:r>
      <w:r>
        <w:t xml:space="preserve"> </w:t>
      </w:r>
      <w:hyperlink r:id="rId54">
        <w:r>
          <w:rPr>
            <w:rStyle w:val="Hyperlink"/>
          </w:rPr>
          <w:t xml:space="preserve">原始来源</w:t>
        </w:r>
      </w:hyperlink>
      <w:r>
        <w:t xml:space="preserve">。</w:t>
      </w:r>
    </w:p>
    <w:p>
      <w:pPr>
        <w:pStyle w:val="BodyText"/>
      </w:pPr>
      <w:r>
        <w:t xml:space="preserve">[A02] Sara Nerlove, A. Kimball Romney（1967）.</w:t>
      </w:r>
      <w:r>
        <w:t xml:space="preserve"> </w:t>
      </w:r>
      <w:r>
        <w:rPr>
          <w:i/>
          <w:iCs/>
        </w:rPr>
        <w:t xml:space="preserve">Sibling Terminology and Cross-Sex Behavior</w:t>
      </w:r>
      <w:r>
        <w:t xml:space="preserve">. American Anthropologist, 69(2), 179-187.</w:t>
      </w:r>
      <w:r>
        <w:t xml:space="preserve"> </w:t>
      </w:r>
      <w:hyperlink r:id="rId55">
        <w:r>
          <w:rPr>
            <w:rStyle w:val="Hyperlink"/>
          </w:rPr>
          <w:t xml:space="preserve">原始来源</w:t>
        </w:r>
      </w:hyperlink>
      <w:r>
        <w:t xml:space="preserve">。</w:t>
      </w:r>
    </w:p>
    <w:p>
      <w:pPr>
        <w:pStyle w:val="BodyText"/>
      </w:pPr>
      <w:r>
        <w:t xml:space="preserve">[A06] David B. Kronenfeld（1974）.</w:t>
      </w:r>
      <w:r>
        <w:t xml:space="preserve"> </w:t>
      </w:r>
      <w:r>
        <w:rPr>
          <w:i/>
          <w:iCs/>
        </w:rPr>
        <w:t xml:space="preserve">Sibling Typology: Beyond Nerlove and Romney</w:t>
      </w:r>
      <w:r>
        <w:t xml:space="preserve">. American Ethnologist, 1(3), 489-506.</w:t>
      </w:r>
      <w:r>
        <w:t xml:space="preserve"> </w:t>
      </w:r>
      <w:hyperlink r:id="rId56">
        <w:r>
          <w:rPr>
            <w:rStyle w:val="Hyperlink"/>
          </w:rPr>
          <w:t xml:space="preserve">原始来源</w:t>
        </w:r>
      </w:hyperlink>
      <w:r>
        <w:t xml:space="preserve">。</w:t>
      </w:r>
    </w:p>
    <w:p>
      <w:pPr>
        <w:pStyle w:val="BodyText"/>
      </w:pPr>
      <w:r>
        <w:t xml:space="preserve">[A07] Per Hage（2001）.</w:t>
      </w:r>
      <w:r>
        <w:t xml:space="preserve"> </w:t>
      </w:r>
      <w:r>
        <w:rPr>
          <w:i/>
          <w:iCs/>
        </w:rPr>
        <w:t xml:space="preserve">Marking Theory and Kinship Analysis: Cross-cultural and Historical Applications</w:t>
      </w:r>
      <w:r>
        <w:t xml:space="preserve">. Anthropological Theory, 1(2), 197-211.</w:t>
      </w:r>
      <w:r>
        <w:t xml:space="preserve"> </w:t>
      </w:r>
      <w:hyperlink r:id="rId57">
        <w:r>
          <w:rPr>
            <w:rStyle w:val="Hyperlink"/>
          </w:rPr>
          <w:t xml:space="preserve">原始来源</w:t>
        </w:r>
      </w:hyperlink>
      <w:r>
        <w:t xml:space="preserve">。</w:t>
      </w:r>
    </w:p>
    <w:p>
      <w:pPr>
        <w:pStyle w:val="BodyText"/>
      </w:pPr>
      <w:r>
        <w:t xml:space="preserve">[A08] Lewis Henry Morgan（1871）.</w:t>
      </w:r>
      <w:r>
        <w:t xml:space="preserve"> </w:t>
      </w:r>
      <w:r>
        <w:rPr>
          <w:i/>
          <w:iCs/>
        </w:rPr>
        <w:t xml:space="preserve">Systems of Consanguinity and Affinity of the Human Family</w:t>
      </w:r>
      <w:r>
        <w:t xml:space="preserve">. Smithsonian Contributions to Knowledge, Vol. 17, Smithsonian Institution.</w:t>
      </w:r>
      <w:r>
        <w:t xml:space="preserve"> </w:t>
      </w:r>
      <w:hyperlink r:id="rId58">
        <w:r>
          <w:rPr>
            <w:rStyle w:val="Hyperlink"/>
          </w:rPr>
          <w:t xml:space="preserve">原始来源</w:t>
        </w:r>
      </w:hyperlink>
      <w:r>
        <w:t xml:space="preserve">。</w:t>
      </w:r>
    </w:p>
    <w:p>
      <w:pPr>
        <w:pStyle w:val="BodyText"/>
      </w:pPr>
      <w:r>
        <w:t xml:space="preserve">[A09] Sam Passmore, Wolfgang Barth, Simon J. Greenhill, Kyla Quinn, Catherine Sheard, Paraskevi Argyriou, Joshua Birchall, Claire Bowern, Jasmine Calladine, Angarika Deb, Anouk Diederen, Niklas P. Metsäranta, Luis Henrique Araujo, Rhiannon Schembri, Jo Hickey-Hall, Terhi Honkola, Alice Mitchell, Lucy Poole, Péter M. Rácz, Sean G. Roberts, Robert M. Ross, Ewan Thomas-Colquhoun, Nicholas Evans, Fiona M. Jordan（2023）.</w:t>
      </w:r>
      <w:r>
        <w:t xml:space="preserve"> </w:t>
      </w:r>
      <w:r>
        <w:rPr>
          <w:i/>
          <w:iCs/>
        </w:rPr>
        <w:t xml:space="preserve">Kinbank: A Global Database of Kinship Terminology</w:t>
      </w:r>
      <w:r>
        <w:t xml:space="preserve">. PLOS ONE, 18(5), e0283218.</w:t>
      </w:r>
      <w:r>
        <w:t xml:space="preserve"> </w:t>
      </w:r>
      <w:hyperlink r:id="rId59">
        <w:r>
          <w:rPr>
            <w:rStyle w:val="Hyperlink"/>
          </w:rPr>
          <w:t xml:space="preserve">原始来源</w:t>
        </w:r>
      </w:hyperlink>
      <w:r>
        <w:t xml:space="preserve">。</w:t>
      </w:r>
    </w:p>
    <w:p>
      <w:pPr>
        <w:pStyle w:val="BodyText"/>
      </w:pPr>
      <w:r>
        <w:t xml:space="preserve">[A10] Fiona M. Jordan（2011）.</w:t>
      </w:r>
      <w:r>
        <w:t xml:space="preserve"> </w:t>
      </w:r>
      <w:r>
        <w:rPr>
          <w:i/>
          <w:iCs/>
        </w:rPr>
        <w:t xml:space="preserve">A Phylogenetic Analysis of the Evolution of Austronesian Sibling Terminologies</w:t>
      </w:r>
      <w:r>
        <w:t xml:space="preserve">. Human Biology, 83(2), 297-321.</w:t>
      </w:r>
      <w:r>
        <w:t xml:space="preserve"> </w:t>
      </w:r>
      <w:hyperlink r:id="rId60">
        <w:r>
          <w:rPr>
            <w:rStyle w:val="Hyperlink"/>
          </w:rPr>
          <w:t xml:space="preserve">原始来源</w:t>
        </w:r>
      </w:hyperlink>
      <w:r>
        <w:t xml:space="preserve">。</w:t>
      </w:r>
    </w:p>
    <w:p>
      <w:pPr>
        <w:pStyle w:val="BodyText"/>
      </w:pPr>
      <w:r>
        <w:t xml:space="preserve">[A11] Sam Passmore, Fiona M. Jordan（2020）.</w:t>
      </w:r>
      <w:r>
        <w:t xml:space="preserve"> </w:t>
      </w:r>
      <w:r>
        <w:rPr>
          <w:i/>
          <w:iCs/>
        </w:rPr>
        <w:t xml:space="preserve">No Universals in the Cultural Evolution of Kinship Terminology</w:t>
      </w:r>
      <w:r>
        <w:t xml:space="preserve">. Evolutionary Human Sciences, 2.</w:t>
      </w:r>
      <w:r>
        <w:t xml:space="preserve"> </w:t>
      </w:r>
      <w:hyperlink r:id="rId61">
        <w:r>
          <w:rPr>
            <w:rStyle w:val="Hyperlink"/>
          </w:rPr>
          <w:t xml:space="preserve">原始来源</w:t>
        </w:r>
      </w:hyperlink>
      <w:r>
        <w:t xml:space="preserve">。</w:t>
      </w:r>
    </w:p>
    <w:p>
      <w:pPr>
        <w:pStyle w:val="BodyText"/>
      </w:pPr>
      <w:r>
        <w:t xml:space="preserve">[A12] Péter Rácz, Sam Passmore, Fiona M. Jordan（2020）.</w:t>
      </w:r>
      <w:r>
        <w:t xml:space="preserve"> </w:t>
      </w:r>
      <w:r>
        <w:rPr>
          <w:i/>
          <w:iCs/>
        </w:rPr>
        <w:t xml:space="preserve">Social Practice and Shared History, Not Social Scale, Structure Cross-Cultural Complexity in Kinship Systems</w:t>
      </w:r>
      <w:r>
        <w:t xml:space="preserve">. Topics in Cognitive Science, 12(2), 744–765.</w:t>
      </w:r>
      <w:r>
        <w:t xml:space="preserve"> </w:t>
      </w:r>
      <w:hyperlink r:id="rId62">
        <w:r>
          <w:rPr>
            <w:rStyle w:val="Hyperlink"/>
          </w:rPr>
          <w:t xml:space="preserve">原始来源</w:t>
        </w:r>
      </w:hyperlink>
      <w:r>
        <w:t xml:space="preserve">。</w:t>
      </w:r>
    </w:p>
    <w:p>
      <w:pPr>
        <w:pStyle w:val="BodyText"/>
      </w:pPr>
      <w:r>
        <w:t xml:space="preserve">[A13] Myrtille Guillon, Ruth Mace（2016）.</w:t>
      </w:r>
      <w:r>
        <w:t xml:space="preserve"> </w:t>
      </w:r>
      <w:r>
        <w:rPr>
          <w:i/>
          <w:iCs/>
        </w:rPr>
        <w:t xml:space="preserve">A Phylogenetic Comparative Study of Bantu Kinship Terminology Finds Limited Support for Its Co-Evolution with Social Organisation</w:t>
      </w:r>
      <w:r>
        <w:t xml:space="preserve">. PLOS ONE, 11(3), e0147920.</w:t>
      </w:r>
      <w:r>
        <w:t xml:space="preserve"> </w:t>
      </w:r>
      <w:hyperlink r:id="rId63">
        <w:r>
          <w:rPr>
            <w:rStyle w:val="Hyperlink"/>
          </w:rPr>
          <w:t xml:space="preserve">原始来源</w:t>
        </w:r>
      </w:hyperlink>
      <w:r>
        <w:t xml:space="preserve">。</w:t>
      </w:r>
    </w:p>
    <w:p>
      <w:pPr>
        <w:pStyle w:val="BodyText"/>
      </w:pPr>
      <w:r>
        <w:t xml:space="preserve">[A14] Doug Jones（2010）.</w:t>
      </w:r>
      <w:r>
        <w:t xml:space="preserve"> </w:t>
      </w:r>
      <w:r>
        <w:rPr>
          <w:i/>
          <w:iCs/>
        </w:rPr>
        <w:t xml:space="preserve">Human Kinship, from Conceptual Structure to Grammar</w:t>
      </w:r>
      <w:r>
        <w:t xml:space="preserve">. Behavioral and Brain Sciences, 33(5), 367-381.</w:t>
      </w:r>
      <w:r>
        <w:t xml:space="preserve"> </w:t>
      </w:r>
      <w:hyperlink r:id="rId64">
        <w:r>
          <w:rPr>
            <w:rStyle w:val="Hyperlink"/>
          </w:rPr>
          <w:t xml:space="preserve">原始来源</w:t>
        </w:r>
      </w:hyperlink>
      <w:r>
        <w:t xml:space="preserve">。</w:t>
      </w:r>
    </w:p>
    <w:p>
      <w:pPr>
        <w:pStyle w:val="BodyText"/>
      </w:pPr>
      <w:r>
        <w:t xml:space="preserve">[A15] Dwight W. Read（2007）.</w:t>
      </w:r>
      <w:r>
        <w:t xml:space="preserve"> </w:t>
      </w:r>
      <w:r>
        <w:rPr>
          <w:i/>
          <w:iCs/>
        </w:rPr>
        <w:t xml:space="preserve">Kinship Theory: A Paradigm Shift</w:t>
      </w:r>
      <w:r>
        <w:t xml:space="preserve">. Ethnology, 46(4), 329–364.</w:t>
      </w:r>
      <w:r>
        <w:t xml:space="preserve"> </w:t>
      </w:r>
      <w:hyperlink r:id="rId65">
        <w:r>
          <w:rPr>
            <w:rStyle w:val="Hyperlink"/>
          </w:rPr>
          <w:t xml:space="preserve">原始来源</w:t>
        </w:r>
      </w:hyperlink>
      <w:r>
        <w:t xml:space="preserve">。</w:t>
      </w:r>
    </w:p>
    <w:p>
      <w:pPr>
        <w:pStyle w:val="BodyText"/>
      </w:pPr>
      <w:r>
        <w:t xml:space="preserve">[A16] Vladimir Pericliev（2017）.</w:t>
      </w:r>
      <w:r>
        <w:t xml:space="preserve"> </w:t>
      </w:r>
      <w:r>
        <w:rPr>
          <w:i/>
          <w:iCs/>
        </w:rPr>
        <w:t xml:space="preserve">Kin Term Patterns and Language Families</w:t>
      </w:r>
      <w:r>
        <w:t xml:space="preserve">. Cognitive Studies | Études cognitives(17).</w:t>
      </w:r>
      <w:r>
        <w:t xml:space="preserve"> </w:t>
      </w:r>
      <w:hyperlink r:id="rId66">
        <w:r>
          <w:rPr>
            <w:rStyle w:val="Hyperlink"/>
          </w:rPr>
          <w:t xml:space="preserve">原始来源</w:t>
        </w:r>
      </w:hyperlink>
      <w:r>
        <w:t xml:space="preserve">。</w:t>
      </w:r>
    </w:p>
    <w:p>
      <w:pPr>
        <w:pStyle w:val="BodyText"/>
      </w:pPr>
      <w:r>
        <w:t xml:space="preserve">[A17] David B. Kronenfeld（2006）.</w:t>
      </w:r>
      <w:r>
        <w:t xml:space="preserve"> </w:t>
      </w:r>
      <w:r>
        <w:rPr>
          <w:i/>
          <w:iCs/>
        </w:rPr>
        <w:t xml:space="preserve">Issues in the Classification of Kinship Terminologies: Toward a New Typology</w:t>
      </w:r>
      <w:r>
        <w:t xml:space="preserve">. Anthropos, 101(1), 203–219.</w:t>
      </w:r>
      <w:r>
        <w:t xml:space="preserve"> </w:t>
      </w:r>
      <w:hyperlink r:id="rId67">
        <w:r>
          <w:rPr>
            <w:rStyle w:val="Hyperlink"/>
          </w:rPr>
          <w:t xml:space="preserve">原始来源</w:t>
        </w:r>
      </w:hyperlink>
      <w:r>
        <w:t xml:space="preserve">。</w:t>
      </w:r>
    </w:p>
    <w:p>
      <w:pPr>
        <w:pStyle w:val="BodyText"/>
      </w:pPr>
      <w:r>
        <w:t xml:space="preserve">[A18] Sam Passmore, Wolfgang Barth, Kyla Quinn, Simon J. Greenhill, Nicholas Evans, Fiona M. Jordan（2021）.</w:t>
      </w:r>
      <w:r>
        <w:t xml:space="preserve"> </w:t>
      </w:r>
      <w:r>
        <w:rPr>
          <w:i/>
          <w:iCs/>
        </w:rPr>
        <w:t xml:space="preserve">Kin Against Kin: Internal Co-selection and the Coherence of Kinship Typologies</w:t>
      </w:r>
      <w:r>
        <w:t xml:space="preserve">. Biological Theory, 16(3), 176-193.</w:t>
      </w:r>
      <w:r>
        <w:t xml:space="preserve"> </w:t>
      </w:r>
      <w:hyperlink r:id="rId68">
        <w:r>
          <w:rPr>
            <w:rStyle w:val="Hyperlink"/>
          </w:rPr>
          <w:t xml:space="preserve">原始来源</w:t>
        </w:r>
      </w:hyperlink>
      <w:r>
        <w:t xml:space="preserve">。</w:t>
      </w:r>
    </w:p>
    <w:p>
      <w:pPr>
        <w:pStyle w:val="BodyText"/>
      </w:pPr>
      <w:r>
        <w:t xml:space="preserve">[A19] Per Hage（1997）.</w:t>
      </w:r>
      <w:r>
        <w:t xml:space="preserve"> </w:t>
      </w:r>
      <w:r>
        <w:rPr>
          <w:i/>
          <w:iCs/>
        </w:rPr>
        <w:t xml:space="preserve">Unthinkable Categories and the Fundamental Laws of Kinship</w:t>
      </w:r>
      <w:r>
        <w:t xml:space="preserve">. American Ethnologist, 24(3), 652-667.</w:t>
      </w:r>
      <w:r>
        <w:t xml:space="preserve"> </w:t>
      </w:r>
      <w:hyperlink r:id="rId69">
        <w:r>
          <w:rPr>
            <w:rStyle w:val="Hyperlink"/>
          </w:rPr>
          <w:t xml:space="preserve">原始来源</w:t>
        </w:r>
      </w:hyperlink>
      <w:r>
        <w:t xml:space="preserve">。</w:t>
      </w:r>
    </w:p>
    <w:p>
      <w:pPr>
        <w:pStyle w:val="BodyText"/>
      </w:pPr>
      <w:r>
        <w:t xml:space="preserve">[A20] James C. Faris（1969）.</w:t>
      </w:r>
      <w:r>
        <w:t xml:space="preserve"> </w:t>
      </w:r>
      <w:r>
        <w:rPr>
          <w:i/>
          <w:iCs/>
        </w:rPr>
        <w:t xml:space="preserve">Sibling Terminology and Cross-Sex Behavior: Data from the Southeastern Nuba Mountains</w:t>
      </w:r>
      <w:r>
        <w:t xml:space="preserve">. American Anthropologist, 71(3), 482-488.</w:t>
      </w:r>
      <w:r>
        <w:t xml:space="preserve"> </w:t>
      </w:r>
      <w:hyperlink r:id="rId70">
        <w:r>
          <w:rPr>
            <w:rStyle w:val="Hyperlink"/>
          </w:rPr>
          <w:t xml:space="preserve">原始来源</w:t>
        </w:r>
      </w:hyperlink>
      <w:r>
        <w:t xml:space="preserve">。</w:t>
      </w:r>
    </w:p>
    <w:p>
      <w:pPr>
        <w:pStyle w:val="BodyText"/>
      </w:pPr>
      <w:r>
        <w:t xml:space="preserve">[B01] Charles Kemp, Terry Regier（2012）.</w:t>
      </w:r>
      <w:r>
        <w:t xml:space="preserve"> </w:t>
      </w:r>
      <w:r>
        <w:rPr>
          <w:i/>
          <w:iCs/>
        </w:rPr>
        <w:t xml:space="preserve">Kinship Categories Across Languages Reflect General Communicative Principles</w:t>
      </w:r>
      <w:r>
        <w:t xml:space="preserve">. Science, 336(6084), 1049-1054.</w:t>
      </w:r>
      <w:r>
        <w:t xml:space="preserve"> </w:t>
      </w:r>
      <w:hyperlink r:id="rId71">
        <w:r>
          <w:rPr>
            <w:rStyle w:val="Hyperlink"/>
          </w:rPr>
          <w:t xml:space="preserve">原始来源</w:t>
        </w:r>
      </w:hyperlink>
      <w:r>
        <w:t xml:space="preserve">。</w:t>
      </w:r>
    </w:p>
    <w:p>
      <w:pPr>
        <w:pStyle w:val="BodyText"/>
      </w:pPr>
      <w:r>
        <w:t xml:space="preserve">[B02] Maisy Hallam, Simon Kirby, Fiona Jordan, Kenny Smith（2025）.</w:t>
      </w:r>
      <w:r>
        <w:t xml:space="preserve"> </w:t>
      </w:r>
      <w:r>
        <w:rPr>
          <w:i/>
          <w:iCs/>
        </w:rPr>
        <w:t xml:space="preserve">Efficient communication drives the semantic structure of kinship terminology</w:t>
      </w:r>
      <w:r>
        <w:t xml:space="preserve">. Proceedings of the Annual Meeting of the Cognitive Science Society, 47(0), 5831-5837.</w:t>
      </w:r>
      <w:r>
        <w:t xml:space="preserve"> </w:t>
      </w:r>
      <w:hyperlink r:id="rId72">
        <w:r>
          <w:rPr>
            <w:rStyle w:val="Hyperlink"/>
          </w:rPr>
          <w:t xml:space="preserve">原始来源</w:t>
        </w:r>
      </w:hyperlink>
      <w:r>
        <w:t xml:space="preserve">。</w:t>
      </w:r>
    </w:p>
    <w:p>
      <w:pPr>
        <w:pStyle w:val="BodyText"/>
      </w:pPr>
      <w:r>
        <w:t xml:space="preserve">[B03] Maisy Hallam, Fiona M. Jordan, Simon Kirby, Kenny Smith（2025）.</w:t>
      </w:r>
      <w:r>
        <w:t xml:space="preserve"> </w:t>
      </w:r>
      <w:r>
        <w:rPr>
          <w:i/>
          <w:iCs/>
        </w:rPr>
        <w:t xml:space="preserve">Predictive Structure Emerges During the Generalisation of Kin Terms to New Referents</w:t>
      </w:r>
      <w:r>
        <w:t xml:space="preserve">. Open Mind, 9, 1431-1466.</w:t>
      </w:r>
      <w:r>
        <w:t xml:space="preserve"> </w:t>
      </w:r>
      <w:hyperlink r:id="rId73">
        <w:r>
          <w:rPr>
            <w:rStyle w:val="Hyperlink"/>
          </w:rPr>
          <w:t xml:space="preserve">原始来源</w:t>
        </w:r>
      </w:hyperlink>
      <w:r>
        <w:t xml:space="preserve">。</w:t>
      </w:r>
    </w:p>
    <w:p>
      <w:pPr>
        <w:pStyle w:val="BodyText"/>
      </w:pPr>
      <w:r>
        <w:t xml:space="preserve">[B04] Charles Kemp（2026）.</w:t>
      </w:r>
      <w:r>
        <w:t xml:space="preserve"> </w:t>
      </w:r>
      <w:r>
        <w:rPr>
          <w:i/>
          <w:iCs/>
        </w:rPr>
        <w:t xml:space="preserve">Symmetry in category systems across languages</w:t>
      </w:r>
      <w:r>
        <w:t xml:space="preserve">. Nature Communications, 17(1), 358.</w:t>
      </w:r>
      <w:r>
        <w:t xml:space="preserve"> </w:t>
      </w:r>
      <w:hyperlink r:id="rId74">
        <w:r>
          <w:rPr>
            <w:rStyle w:val="Hyperlink"/>
          </w:rPr>
          <w:t xml:space="preserve">原始来源</w:t>
        </w:r>
      </w:hyperlink>
      <w:r>
        <w:t xml:space="preserve">。</w:t>
      </w:r>
    </w:p>
    <w:p>
      <w:pPr>
        <w:pStyle w:val="BodyText"/>
      </w:pPr>
      <w:r>
        <w:t xml:space="preserve">[B05] Charles Kemp, Yang Xu, Terry Regier（2018）.</w:t>
      </w:r>
      <w:r>
        <w:t xml:space="preserve"> </w:t>
      </w:r>
      <w:r>
        <w:rPr>
          <w:i/>
          <w:iCs/>
        </w:rPr>
        <w:t xml:space="preserve">Semantic Typology and Efficient Communication</w:t>
      </w:r>
      <w:r>
        <w:t xml:space="preserve">. Annual Review of Linguistics, 4(1), 109-128.</w:t>
      </w:r>
      <w:r>
        <w:t xml:space="preserve"> </w:t>
      </w:r>
      <w:hyperlink r:id="rId75">
        <w:r>
          <w:rPr>
            <w:rStyle w:val="Hyperlink"/>
          </w:rPr>
          <w:t xml:space="preserve">原始来源</w:t>
        </w:r>
      </w:hyperlink>
      <w:r>
        <w:t xml:space="preserve">。</w:t>
      </w:r>
    </w:p>
    <w:p>
      <w:pPr>
        <w:pStyle w:val="BodyText"/>
      </w:pPr>
      <w:r>
        <w:t xml:space="preserve">[B06] Noga Zaslavsky, Charles Kemp, Terry Regier, Naftali Tishby（2018）.</w:t>
      </w:r>
      <w:r>
        <w:t xml:space="preserve"> </w:t>
      </w:r>
      <w:r>
        <w:rPr>
          <w:i/>
          <w:iCs/>
        </w:rPr>
        <w:t xml:space="preserve">Efficient compression in color naming and its evolution</w:t>
      </w:r>
      <w:r>
        <w:t xml:space="preserve">. Proceedings of the National Academy of Sciences, 115(31), 7937-7942.</w:t>
      </w:r>
      <w:r>
        <w:t xml:space="preserve"> </w:t>
      </w:r>
      <w:hyperlink r:id="rId76">
        <w:r>
          <w:rPr>
            <w:rStyle w:val="Hyperlink"/>
          </w:rPr>
          <w:t xml:space="preserve">原始来源</w:t>
        </w:r>
      </w:hyperlink>
      <w:r>
        <w:t xml:space="preserve">。</w:t>
      </w:r>
    </w:p>
    <w:p>
      <w:pPr>
        <w:pStyle w:val="BodyText"/>
      </w:pPr>
      <w:r>
        <w:t xml:space="preserve">[B07] Terry Regier, Charles Kemp, Paul Kay（2015）.</w:t>
      </w:r>
      <w:r>
        <w:t xml:space="preserve"> </w:t>
      </w:r>
      <w:r>
        <w:rPr>
          <w:i/>
          <w:iCs/>
        </w:rPr>
        <w:t xml:space="preserve">Word Meanings across Languages Support Efficient Communication</w:t>
      </w:r>
      <w:r>
        <w:t xml:space="preserve">. The Handbook of Language Emergence, 237-263.</w:t>
      </w:r>
      <w:r>
        <w:t xml:space="preserve"> </w:t>
      </w:r>
      <w:hyperlink r:id="rId77">
        <w:r>
          <w:rPr>
            <w:rStyle w:val="Hyperlink"/>
          </w:rPr>
          <w:t xml:space="preserve">原始来源</w:t>
        </w:r>
      </w:hyperlink>
      <w:r>
        <w:t xml:space="preserve">。</w:t>
      </w:r>
    </w:p>
    <w:p>
      <w:pPr>
        <w:pStyle w:val="BodyText"/>
      </w:pPr>
      <w:r>
        <w:t xml:space="preserve">[B08] Terry Regier, Paul Kay, Naveen Khetarpal（2007）.</w:t>
      </w:r>
      <w:r>
        <w:t xml:space="preserve"> </w:t>
      </w:r>
      <w:r>
        <w:rPr>
          <w:i/>
          <w:iCs/>
        </w:rPr>
        <w:t xml:space="preserve">Color naming reflects optimal partitions of color space</w:t>
      </w:r>
      <w:r>
        <w:t xml:space="preserve">. Proceedings of the National Academy of Sciences, 104(4), 1436-1441.</w:t>
      </w:r>
      <w:r>
        <w:t xml:space="preserve"> </w:t>
      </w:r>
      <w:hyperlink r:id="rId78">
        <w:r>
          <w:rPr>
            <w:rStyle w:val="Hyperlink"/>
          </w:rPr>
          <w:t xml:space="preserve">原始来源</w:t>
        </w:r>
      </w:hyperlink>
      <w:r>
        <w:t xml:space="preserve">。</w:t>
      </w:r>
    </w:p>
    <w:p>
      <w:pPr>
        <w:pStyle w:val="BodyText"/>
      </w:pPr>
      <w:r>
        <w:t xml:space="preserve">[B09] Yang Xu, Emmy Liu, Terry Regier（2020）.</w:t>
      </w:r>
      <w:r>
        <w:t xml:space="preserve"> </w:t>
      </w:r>
      <w:r>
        <w:rPr>
          <w:i/>
          <w:iCs/>
        </w:rPr>
        <w:t xml:space="preserve">Numeral Systems Across Languages Support Efficient Communication: From Approximate Numerosity to Recursion</w:t>
      </w:r>
      <w:r>
        <w:t xml:space="preserve">. Open Mind, 4, 57-70.</w:t>
      </w:r>
      <w:r>
        <w:t xml:space="preserve"> </w:t>
      </w:r>
      <w:hyperlink r:id="rId79">
        <w:r>
          <w:rPr>
            <w:rStyle w:val="Hyperlink"/>
          </w:rPr>
          <w:t xml:space="preserve">原始来源</w:t>
        </w:r>
      </w:hyperlink>
      <w:r>
        <w:t xml:space="preserve">。</w:t>
      </w:r>
    </w:p>
    <w:p>
      <w:pPr>
        <w:pStyle w:val="BodyText"/>
      </w:pPr>
      <w:r>
        <w:t xml:space="preserve">[B10] Charles Kemp（2012）.</w:t>
      </w:r>
      <w:r>
        <w:t xml:space="preserve"> </w:t>
      </w:r>
      <w:r>
        <w:rPr>
          <w:i/>
          <w:iCs/>
        </w:rPr>
        <w:t xml:space="preserve">Exploring the conceptual universe</w:t>
      </w:r>
      <w:r>
        <w:t xml:space="preserve">. Psychological Review, 119(4), 685-722.</w:t>
      </w:r>
      <w:r>
        <w:t xml:space="preserve"> </w:t>
      </w:r>
      <w:hyperlink r:id="rId80">
        <w:r>
          <w:rPr>
            <w:rStyle w:val="Hyperlink"/>
          </w:rPr>
          <w:t xml:space="preserve">原始来源</w:t>
        </w:r>
      </w:hyperlink>
      <w:r>
        <w:t xml:space="preserve">。</w:t>
      </w:r>
    </w:p>
    <w:p>
      <w:pPr>
        <w:pStyle w:val="BodyText"/>
      </w:pPr>
      <w:r>
        <w:t xml:space="preserve">[B11] Edward Gibson, Richard Futrell, Julian Jara-Ettinger, Kyle Mahowald, Leon Bergen, Sivalogeswaran Ratnasingam, Mitchell Gibson, Steven T. Piantadosi, Bevil R. Conway（2017）.</w:t>
      </w:r>
      <w:r>
        <w:t xml:space="preserve"> </w:t>
      </w:r>
      <w:r>
        <w:rPr>
          <w:i/>
          <w:iCs/>
        </w:rPr>
        <w:t xml:space="preserve">Color naming across languages reflects color use</w:t>
      </w:r>
      <w:r>
        <w:t xml:space="preserve">. Proceedings of the National Academy of Sciences, 114(40), 10785-10790.</w:t>
      </w:r>
      <w:r>
        <w:t xml:space="preserve"> </w:t>
      </w:r>
      <w:hyperlink r:id="rId81">
        <w:r>
          <w:rPr>
            <w:rStyle w:val="Hyperlink"/>
          </w:rPr>
          <w:t xml:space="preserve">原始来源</w:t>
        </w:r>
      </w:hyperlink>
      <w:r>
        <w:t xml:space="preserve">。</w:t>
      </w:r>
    </w:p>
    <w:p>
      <w:pPr>
        <w:pStyle w:val="BodyText"/>
      </w:pPr>
      <w:r>
        <w:t xml:space="preserve">[B12] Jon W. Carr, Kenny Smith, Jennifer Culbertson, Simon Kirby（2020）.</w:t>
      </w:r>
      <w:r>
        <w:t xml:space="preserve"> </w:t>
      </w:r>
      <w:r>
        <w:rPr>
          <w:i/>
          <w:iCs/>
        </w:rPr>
        <w:t xml:space="preserve">Simplicity and informativeness in semantic category systems</w:t>
      </w:r>
      <w:r>
        <w:t xml:space="preserve">. Cognition, 202, 104289.</w:t>
      </w:r>
      <w:r>
        <w:t xml:space="preserve"> </w:t>
      </w:r>
      <w:hyperlink r:id="rId82">
        <w:r>
          <w:rPr>
            <w:rStyle w:val="Hyperlink"/>
          </w:rPr>
          <w:t xml:space="preserve">原始来源</w:t>
        </w:r>
      </w:hyperlink>
      <w:r>
        <w:t xml:space="preserve">。</w:t>
      </w:r>
    </w:p>
    <w:p>
      <w:pPr>
        <w:pStyle w:val="BodyText"/>
      </w:pPr>
      <w:r>
        <w:t xml:space="preserve">[B13] Jennifer Culbertson, Simon Kirby（2016）.</w:t>
      </w:r>
      <w:r>
        <w:t xml:space="preserve"> </w:t>
      </w:r>
      <w:r>
        <w:rPr>
          <w:i/>
          <w:iCs/>
        </w:rPr>
        <w:t xml:space="preserve">Simplicity and Specificity in Language: Domain-General Biases Have Domain-Specific Effects</w:t>
      </w:r>
      <w:r>
        <w:t xml:space="preserve">. Frontiers in Psychology, 6, 1964.</w:t>
      </w:r>
      <w:r>
        <w:t xml:space="preserve"> </w:t>
      </w:r>
      <w:hyperlink r:id="rId83">
        <w:r>
          <w:rPr>
            <w:rStyle w:val="Hyperlink"/>
          </w:rPr>
          <w:t xml:space="preserve">原始来源</w:t>
        </w:r>
      </w:hyperlink>
      <w:r>
        <w:t xml:space="preserve">。</w:t>
      </w:r>
    </w:p>
    <w:p>
      <w:pPr>
        <w:pStyle w:val="BodyText"/>
      </w:pPr>
      <w:r>
        <w:t xml:space="preserve">[B14] Francis Mollica, Steven T. Piantadosi（2022）.</w:t>
      </w:r>
      <w:r>
        <w:t xml:space="preserve"> </w:t>
      </w:r>
      <w:r>
        <w:rPr>
          <w:i/>
          <w:iCs/>
        </w:rPr>
        <w:t xml:space="preserve">Logical word learning: The case of kinship</w:t>
      </w:r>
      <w:r>
        <w:t xml:space="preserve">. Psychonomic Bulletin &amp; Review, 29(3), 766-799.</w:t>
      </w:r>
      <w:r>
        <w:t xml:space="preserve"> </w:t>
      </w:r>
      <w:hyperlink r:id="rId84">
        <w:r>
          <w:rPr>
            <w:rStyle w:val="Hyperlink"/>
          </w:rPr>
          <w:t xml:space="preserve">原始来源</w:t>
        </w:r>
      </w:hyperlink>
      <w:r>
        <w:t xml:space="preserve">。</w:t>
      </w:r>
    </w:p>
    <w:p>
      <w:pPr>
        <w:pStyle w:val="BodyText"/>
      </w:pPr>
      <w:r>
        <w:t xml:space="preserve">[B15] Francis Mollica, Geoff Bacon, Noga Zaslavsky, Yang Xu, Terry Regier, Charles Kemp（2021）.</w:t>
      </w:r>
      <w:r>
        <w:t xml:space="preserve"> </w:t>
      </w:r>
      <w:r>
        <w:rPr>
          <w:i/>
          <w:iCs/>
        </w:rPr>
        <w:t xml:space="preserve">The forms and meanings of grammatical markers support efficient communication</w:t>
      </w:r>
      <w:r>
        <w:t xml:space="preserve">. Proceedings of the National Academy of Sciences, 118(49), e2025993118.</w:t>
      </w:r>
      <w:r>
        <w:t xml:space="preserve"> </w:t>
      </w:r>
      <w:hyperlink r:id="rId85">
        <w:r>
          <w:rPr>
            <w:rStyle w:val="Hyperlink"/>
          </w:rPr>
          <w:t xml:space="preserve">原始来源</w:t>
        </w:r>
      </w:hyperlink>
      <w:r>
        <w:t xml:space="preserve">。</w:t>
      </w:r>
    </w:p>
    <w:p>
      <w:pPr>
        <w:pStyle w:val="BodyText"/>
      </w:pPr>
      <w:r>
        <w:t xml:space="preserve">[B16] Noga Zaslavsky, Charles Kemp, Naftali Tishby, Terry Regier（2019）.</w:t>
      </w:r>
      <w:r>
        <w:t xml:space="preserve"> </w:t>
      </w:r>
      <w:r>
        <w:rPr>
          <w:i/>
          <w:iCs/>
        </w:rPr>
        <w:t xml:space="preserve">Color Naming Reflects Both Perceptual Structure and Communicative Need</w:t>
      </w:r>
      <w:r>
        <w:t xml:space="preserve">. Topics in Cognitive Science, 11(1), 207-219.</w:t>
      </w:r>
      <w:r>
        <w:t xml:space="preserve"> </w:t>
      </w:r>
      <w:hyperlink r:id="rId86">
        <w:r>
          <w:rPr>
            <w:rStyle w:val="Hyperlink"/>
          </w:rPr>
          <w:t xml:space="preserve">原始来源</w:t>
        </w:r>
      </w:hyperlink>
      <w:r>
        <w:t xml:space="preserve">。</w:t>
      </w:r>
    </w:p>
    <w:p>
      <w:pPr>
        <w:pStyle w:val="BodyText"/>
      </w:pPr>
      <w:r>
        <w:t xml:space="preserve">[C01] T. Florian Jaeger（2008）.</w:t>
      </w:r>
      <w:r>
        <w:t xml:space="preserve"> </w:t>
      </w:r>
      <w:r>
        <w:rPr>
          <w:i/>
          <w:iCs/>
        </w:rPr>
        <w:t xml:space="preserve">Categorical data analysis: Away from ANOVAs (transformation or not) and towards logit mixed models</w:t>
      </w:r>
      <w:r>
        <w:t xml:space="preserve">. Journal of Memory and Language, 59(4), 434-446.</w:t>
      </w:r>
      <w:r>
        <w:t xml:space="preserve"> </w:t>
      </w:r>
      <w:hyperlink r:id="rId87">
        <w:r>
          <w:rPr>
            <w:rStyle w:val="Hyperlink"/>
          </w:rPr>
          <w:t xml:space="preserve">原始来源</w:t>
        </w:r>
      </w:hyperlink>
      <w:r>
        <w:t xml:space="preserve">。</w:t>
      </w:r>
    </w:p>
    <w:p>
      <w:pPr>
        <w:pStyle w:val="BodyText"/>
      </w:pPr>
      <w:r>
        <w:t xml:space="preserve">[C02] Dale J. Barr, Roger Levy, Christoph Scheepers, Harry J. Tily（2013）.</w:t>
      </w:r>
      <w:r>
        <w:t xml:space="preserve"> </w:t>
      </w:r>
      <w:r>
        <w:rPr>
          <w:i/>
          <w:iCs/>
        </w:rPr>
        <w:t xml:space="preserve">Random effects structure for confirmatory hypothesis testing: Keep it maximal</w:t>
      </w:r>
      <w:r>
        <w:t xml:space="preserve">. Journal of Memory and Language, 68(3), 255-278.</w:t>
      </w:r>
      <w:r>
        <w:t xml:space="preserve"> </w:t>
      </w:r>
      <w:hyperlink r:id="rId88">
        <w:r>
          <w:rPr>
            <w:rStyle w:val="Hyperlink"/>
          </w:rPr>
          <w:t xml:space="preserve">原始来源</w:t>
        </w:r>
      </w:hyperlink>
      <w:r>
        <w:t xml:space="preserve">。</w:t>
      </w:r>
    </w:p>
    <w:p>
      <w:pPr>
        <w:pStyle w:val="BodyText"/>
      </w:pPr>
      <w:r>
        <w:t xml:space="preserve">[C03] Douglas Bates, Martin Mächler, Benjamin M. Bolker, Steven C. Walker（2015）.</w:t>
      </w:r>
      <w:r>
        <w:t xml:space="preserve"> </w:t>
      </w:r>
      <w:r>
        <w:rPr>
          <w:i/>
          <w:iCs/>
        </w:rPr>
        <w:t xml:space="preserve">Fitting Linear Mixed-Effects Models Using lme4</w:t>
      </w:r>
      <w:r>
        <w:t xml:space="preserve">. Journal of Statistical Software, 67(1).</w:t>
      </w:r>
      <w:r>
        <w:t xml:space="preserve"> </w:t>
      </w:r>
      <w:hyperlink r:id="rId89">
        <w:r>
          <w:rPr>
            <w:rStyle w:val="Hyperlink"/>
          </w:rPr>
          <w:t xml:space="preserve">原始来源</w:t>
        </w:r>
      </w:hyperlink>
      <w:r>
        <w:t xml:space="preserve">。</w:t>
      </w:r>
    </w:p>
    <w:p>
      <w:pPr>
        <w:pStyle w:val="BodyText"/>
      </w:pPr>
      <w:r>
        <w:t xml:space="preserve">[C04] David R. Roberts, Volker Bahn, Simone Ciuti, Mark S. Boyce, Jane Elith, Gurutzeta Guillera‐Arroita, Severin Hauenstein, José J. Lahoz‐Monfort, Boris Schröder, Wilfried Thuiller, David I. Warton, Brendan A. Wintle, Florian Hartig, Carsten F. Dormann（2017）.</w:t>
      </w:r>
      <w:r>
        <w:t xml:space="preserve"> </w:t>
      </w:r>
      <w:r>
        <w:rPr>
          <w:i/>
          <w:iCs/>
        </w:rPr>
        <w:t xml:space="preserve">Cross‐validation strategies for data with temporal, spatial, hierarchical, or phylogenetic structure</w:t>
      </w:r>
      <w:r>
        <w:t xml:space="preserve">. Ecography, 40(8), 913-929.</w:t>
      </w:r>
      <w:r>
        <w:t xml:space="preserve"> </w:t>
      </w:r>
      <w:hyperlink r:id="rId90">
        <w:r>
          <w:rPr>
            <w:rStyle w:val="Hyperlink"/>
          </w:rPr>
          <w:t xml:space="preserve">原始来源</w:t>
        </w:r>
      </w:hyperlink>
      <w:r>
        <w:t xml:space="preserve">。</w:t>
      </w:r>
    </w:p>
    <w:p>
      <w:pPr>
        <w:pStyle w:val="BodyText"/>
      </w:pPr>
      <w:r>
        <w:t xml:space="preserve">[C05] Andrew Gelman, Aleks Jakulin, Maria Grazia Pittau, Yu-Sung Su（2008）.</w:t>
      </w:r>
      <w:r>
        <w:t xml:space="preserve"> </w:t>
      </w:r>
      <w:r>
        <w:rPr>
          <w:i/>
          <w:iCs/>
        </w:rPr>
        <w:t xml:space="preserve">A weakly informative default prior distribution for logistic and other regression models</w:t>
      </w:r>
      <w:r>
        <w:t xml:space="preserve">. The Annals of Applied Statistics, 2(4), 1360-1383.</w:t>
      </w:r>
      <w:r>
        <w:t xml:space="preserve"> </w:t>
      </w:r>
      <w:hyperlink r:id="rId91">
        <w:r>
          <w:rPr>
            <w:rStyle w:val="Hyperlink"/>
          </w:rPr>
          <w:t xml:space="preserve">原始来源</w:t>
        </w:r>
      </w:hyperlink>
      <w:r>
        <w:t xml:space="preserve">。</w:t>
      </w:r>
    </w:p>
    <w:p>
      <w:pPr>
        <w:pStyle w:val="BodyText"/>
      </w:pPr>
      <w:r>
        <w:t xml:space="preserve">[C06] David Firth（1993）.</w:t>
      </w:r>
      <w:r>
        <w:t xml:space="preserve"> </w:t>
      </w:r>
      <w:r>
        <w:rPr>
          <w:i/>
          <w:iCs/>
        </w:rPr>
        <w:t xml:space="preserve">Bias reduction of maximum likelihood estimates</w:t>
      </w:r>
      <w:r>
        <w:t xml:space="preserve">. Biometrika, 80(1), 27-38.</w:t>
      </w:r>
      <w:r>
        <w:t xml:space="preserve"> </w:t>
      </w:r>
      <w:hyperlink r:id="rId92">
        <w:r>
          <w:rPr>
            <w:rStyle w:val="Hyperlink"/>
          </w:rPr>
          <w:t xml:space="preserve">原始来源</w:t>
        </w:r>
      </w:hyperlink>
      <w:r>
        <w:t xml:space="preserve">。</w:t>
      </w:r>
    </w:p>
    <w:p>
      <w:pPr>
        <w:pStyle w:val="BodyText"/>
      </w:pPr>
      <w:r>
        <w:t xml:space="preserve">[C07] Yoav Benjamini, Yosef Hochberg（1995）.</w:t>
      </w:r>
      <w:r>
        <w:t xml:space="preserve"> </w:t>
      </w:r>
      <w:r>
        <w:rPr>
          <w:i/>
          <w:iCs/>
        </w:rPr>
        <w:t xml:space="preserve">Controlling the False Discovery Rate: A Practical and Powerful Approach to Multiple Testing</w:t>
      </w:r>
      <w:r>
        <w:t xml:space="preserve">. Journal of the Royal Statistical Society Series B: Statistical Methodology, 57(1), 289-300.</w:t>
      </w:r>
      <w:r>
        <w:t xml:space="preserve"> </w:t>
      </w:r>
      <w:hyperlink r:id="rId93">
        <w:r>
          <w:rPr>
            <w:rStyle w:val="Hyperlink"/>
          </w:rPr>
          <w:t xml:space="preserve">原始来源</w:t>
        </w:r>
      </w:hyperlink>
      <w:r>
        <w:t xml:space="preserve">。</w:t>
      </w:r>
    </w:p>
    <w:p>
      <w:pPr>
        <w:pStyle w:val="BodyText"/>
      </w:pPr>
      <w:r>
        <w:t xml:space="preserve">[C08] T. Florian Jaeger, Peter Graff, William Croft, Daniel Pontillo（2011）.</w:t>
      </w:r>
      <w:r>
        <w:t xml:space="preserve"> </w:t>
      </w:r>
      <w:r>
        <w:rPr>
          <w:i/>
          <w:iCs/>
        </w:rPr>
        <w:t xml:space="preserve">Mixed effect models for genetic and areal dependencies in linguistic typology</w:t>
      </w:r>
      <w:r>
        <w:t xml:space="preserve">. Linguistic Typology, 15(2), 281–320.</w:t>
      </w:r>
      <w:r>
        <w:t xml:space="preserve"> </w:t>
      </w:r>
      <w:hyperlink r:id="rId94">
        <w:r>
          <w:rPr>
            <w:rStyle w:val="Hyperlink"/>
          </w:rPr>
          <w:t xml:space="preserve">原始来源</w:t>
        </w:r>
      </w:hyperlink>
      <w:r>
        <w:t xml:space="preserve">。</w:t>
      </w:r>
    </w:p>
    <w:p>
      <w:pPr>
        <w:pStyle w:val="BodyText"/>
      </w:pPr>
      <w:r>
        <w:t xml:space="preserve">[C09] Michael Dunn, Simon J. Greenhill, Stephen C. Levinson, Russell D. Gray（2011）.</w:t>
      </w:r>
      <w:r>
        <w:t xml:space="preserve"> </w:t>
      </w:r>
      <w:r>
        <w:rPr>
          <w:i/>
          <w:iCs/>
        </w:rPr>
        <w:t xml:space="preserve">Evolved structure of language shows lineage-specific trends in word-order universals</w:t>
      </w:r>
      <w:r>
        <w:t xml:space="preserve">. Nature, 473(7345), 79-82.</w:t>
      </w:r>
      <w:r>
        <w:t xml:space="preserve"> </w:t>
      </w:r>
      <w:hyperlink r:id="rId95">
        <w:r>
          <w:rPr>
            <w:rStyle w:val="Hyperlink"/>
          </w:rPr>
          <w:t xml:space="preserve">原始来源</w:t>
        </w:r>
      </w:hyperlink>
      <w:r>
        <w:t xml:space="preserve">。</w:t>
      </w:r>
    </w:p>
    <w:p>
      <w:pPr>
        <w:pStyle w:val="BodyText"/>
      </w:pPr>
      <w:r>
        <w:t xml:space="preserve">[C10] Kathryn R. Kirby, Russell D. Gray, Simon J. Greenhill, Fiona M. Jordan, Stephanie Gomes-Ng, Hans-Jörg Bibiko, Damián E. Blasi, Carlos A. Botero, Claire Bowern, Carol R. Ember, Dan Leehr, Bobbi S. Low, Joe McCarter, William Divale, Michael C. Gavin（2016）.</w:t>
      </w:r>
      <w:r>
        <w:t xml:space="preserve"> </w:t>
      </w:r>
      <w:r>
        <w:rPr>
          <w:i/>
          <w:iCs/>
        </w:rPr>
        <w:t xml:space="preserve">D-PLACE: A Global Database of Cultural, Linguistic and Environmental Diversity</w:t>
      </w:r>
      <w:r>
        <w:t xml:space="preserve">. PLOS ONE, 11(7), e0158391.</w:t>
      </w:r>
      <w:r>
        <w:t xml:space="preserve"> </w:t>
      </w:r>
      <w:hyperlink r:id="rId96">
        <w:r>
          <w:rPr>
            <w:rStyle w:val="Hyperlink"/>
          </w:rPr>
          <w:t xml:space="preserve">原始来源</w:t>
        </w:r>
      </w:hyperlink>
      <w:r>
        <w:t xml:space="preserve">。</w:t>
      </w:r>
    </w:p>
    <w:p>
      <w:pPr>
        <w:pStyle w:val="BodyText"/>
      </w:pPr>
      <w:r>
        <w:t xml:space="preserve">[C11] Robert Forkel, Johann-Mattis List, Simon J. Greenhill, Christoph Rzymski, Sebastian Bank, Michael Cysouw, Harald Hammarström, Martin Haspelmath, Gereon A. Kaiping, Russell D. Gray（2018）.</w:t>
      </w:r>
      <w:r>
        <w:t xml:space="preserve"> </w:t>
      </w:r>
      <w:r>
        <w:rPr>
          <w:i/>
          <w:iCs/>
        </w:rPr>
        <w:t xml:space="preserve">Cross-Linguistic Data Formats, advancing data sharing and re-use in comparative linguistics</w:t>
      </w:r>
      <w:r>
        <w:t xml:space="preserve">. Scientific Data, 5(1), 180205.</w:t>
      </w:r>
      <w:r>
        <w:t xml:space="preserve"> </w:t>
      </w:r>
      <w:hyperlink r:id="rId97">
        <w:r>
          <w:rPr>
            <w:rStyle w:val="Hyperlink"/>
          </w:rPr>
          <w:t xml:space="preserve">原始来源</w:t>
        </w:r>
      </w:hyperlink>
      <w:r>
        <w:t xml:space="preserve">。</w:t>
      </w:r>
    </w:p>
    <w:p>
      <w:pPr>
        <w:pStyle w:val="BodyText"/>
      </w:pPr>
      <w:r>
        <w:t xml:space="preserve">[C12] A. Colin Cameron, Jonah B. Gelbach, Douglas L. Miller（2008）.</w:t>
      </w:r>
      <w:r>
        <w:t xml:space="preserve"> </w:t>
      </w:r>
      <w:r>
        <w:rPr>
          <w:i/>
          <w:iCs/>
        </w:rPr>
        <w:t xml:space="preserve">Bootstrap-Based Improvements for Inference with Clustered Errors</w:t>
      </w:r>
      <w:r>
        <w:t xml:space="preserve">. Review of Economics and Statistics, 90(3), 414-427.</w:t>
      </w:r>
      <w:r>
        <w:t xml:space="preserve"> </w:t>
      </w:r>
      <w:hyperlink r:id="rId98">
        <w:r>
          <w:rPr>
            <w:rStyle w:val="Hyperlink"/>
          </w:rPr>
          <w:t xml:space="preserve">原始来源</w:t>
        </w:r>
      </w:hyperlink>
      <w:r>
        <w:t xml:space="preserve">。</w:t>
      </w:r>
    </w:p>
    <w:bookmarkStart w:id="101" w:name="补充历史资料首段预览"/>
    <w:p>
      <w:pPr>
        <w:pStyle w:val="Heading3"/>
      </w:pPr>
      <w:r>
        <w:t xml:space="preserve">补充历史资料：首段预览</w:t>
      </w:r>
    </w:p>
    <w:p>
      <w:pPr>
        <w:pStyle w:val="FirstParagraph"/>
      </w:pPr>
      <w:r>
        <w:t xml:space="preserve">以下两项保留为历史脉络资料，未计入45份全文／真实摘要文献。</w:t>
      </w:r>
    </w:p>
    <w:p>
      <w:pPr>
        <w:pStyle w:val="BodyText"/>
      </w:pPr>
      <w:r>
        <w:t xml:space="preserve">[A03] Ward H. Goodenough（1956）.</w:t>
      </w:r>
      <w:r>
        <w:t xml:space="preserve"> </w:t>
      </w:r>
      <w:r>
        <w:rPr>
          <w:i/>
          <w:iCs/>
        </w:rPr>
        <w:t xml:space="preserve">Componential Analysis and the Study of Meaning</w:t>
      </w:r>
      <w:r>
        <w:t xml:space="preserve">. Language, 32(1), 195-216.</w:t>
      </w:r>
      <w:r>
        <w:t xml:space="preserve"> </w:t>
      </w:r>
      <w:hyperlink r:id="rId99">
        <w:r>
          <w:rPr>
            <w:rStyle w:val="Hyperlink"/>
          </w:rPr>
          <w:t xml:space="preserve">原始来源</w:t>
        </w:r>
      </w:hyperlink>
      <w:r>
        <w:t xml:space="preserve">。 出版商首段预览；不计正式全文／摘要阅读。</w:t>
      </w:r>
    </w:p>
    <w:p>
      <w:pPr>
        <w:pStyle w:val="BodyText"/>
      </w:pPr>
      <w:r>
        <w:t xml:space="preserve">[A04] Floyd G. Lounsbury（1956）.</w:t>
      </w:r>
      <w:r>
        <w:t xml:space="preserve"> </w:t>
      </w:r>
      <w:r>
        <w:rPr>
          <w:i/>
          <w:iCs/>
        </w:rPr>
        <w:t xml:space="preserve">A Semantic Analysis of the Pawnee Kinship Usage</w:t>
      </w:r>
      <w:r>
        <w:t xml:space="preserve">. Language, 32(1), 158-194.</w:t>
      </w:r>
      <w:r>
        <w:t xml:space="preserve"> </w:t>
      </w:r>
      <w:hyperlink r:id="rId100">
        <w:r>
          <w:rPr>
            <w:rStyle w:val="Hyperlink"/>
          </w:rPr>
          <w:t xml:space="preserve">原始来源</w:t>
        </w:r>
      </w:hyperlink>
      <w:r>
        <w:t xml:space="preserve">。 出版商首段预览；不计正式全文／摘要阅读。</w:t>
      </w:r>
    </w:p>
    <w:bookmarkEnd w:id="101"/>
    <w:bookmarkEnd w:id="102"/>
    <w:bookmarkEnd w:id="103"/>
    <w:sectPr>
      <w:pgSz w:h="16838" w:w="11906"/>
      <w:pgMar w:top="1134" w:bottom="1134"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sz w:val="22"/>
    </w:rPr>
  </w:style>
  <w:style w:styleId="BodyText" w:type="paragraph">
    <w:name w:val="Body Text"/>
    <w:basedOn w:val="Normal"/>
    <w:link w:val="BodyTextChar"/>
    <w:qFormat/>
    <w:pPr>
      <w:spacing w:after="180" w:before="180"/>
    </w:pPr>
    <w:rPr>
      <w:rFonts w:ascii="Times New Roman" w:hAnsi="Times New Roman" w:eastAsia="宋体"/>
    </w:rPr>
  </w:style>
  <w:style w:customStyle="1" w:styleId="FirstParagraph" w:type="paragraph">
    <w:name w:val="First Paragraph"/>
    <w:basedOn w:val="BodyText"/>
    <w:next w:val="BodyText"/>
    <w:qFormat/>
    <w:rPr>
      <w:rFonts w:ascii="Times New Roman" w:hAnsi="Times New Roman" w:eastAsia="宋体"/>
    </w:rPr>
  </w:style>
  <w:style w:customStyle="1" w:styleId="Compact" w:type="paragraph">
    <w:name w:val="Compact"/>
    <w:basedOn w:val="BodyText"/>
    <w:qFormat/>
    <w:pPr>
      <w:spacing w:after="36" w:before="36"/>
    </w:pPr>
    <w:rPr>
      <w:rFonts w:ascii="Times New Roman" w:hAnsi="Times New Roman" w:eastAsia="宋体"/>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黑体"/>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eastAsia="宋体"/>
      <w:sz w:val="30"/>
      <w:szCs w:val="30"/>
    </w:rPr>
  </w:style>
  <w:style w:customStyle="1" w:styleId="Author" w:type="paragraph">
    <w:name w:val="Author"/>
    <w:next w:val="BodyText"/>
    <w:qFormat/>
    <w:pPr>
      <w:keepNext/>
      <w:keepLines/>
      <w:jc w:val="center"/>
    </w:pPr>
    <w:rPr>
      <w:rFonts w:ascii="Times New Roman" w:hAnsi="Times New Roman" w:eastAsia="宋体"/>
    </w:rPr>
  </w:style>
  <w:style w:styleId="Date" w:type="paragraph">
    <w:name w:val="Date"/>
    <w:next w:val="BodyText"/>
    <w:qFormat/>
    <w:pPr>
      <w:keepNext/>
      <w:keepLines/>
      <w:jc w:val="center"/>
    </w:pPr>
    <w:rPr>
      <w:rFonts w:ascii="Times New Roman" w:hAnsi="Times New Roman" w:eastAsia="宋体"/>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宋体"/>
      <w:b/>
      <w:color w:val="345A8A"/>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宋体"/>
      <w:sz w:val="20"/>
      <w:szCs w:val="20"/>
    </w:rPr>
  </w:style>
  <w:style w:styleId="Bibliography" w:type="paragraph">
    <w:name w:val="Bibliography"/>
    <w:basedOn w:val="Normal"/>
    <w:next w:val="Bibliography"/>
    <w:qFormat/>
    <w:pPr/>
    <w:rPr>
      <w:rFonts w:ascii="Times New Roman" w:hAnsi="Times New Roman" w:eastAsia="宋体"/>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黑体"/>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黑体"/>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黑体"/>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eastAsia="黑体"/>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eastAsia="黑体"/>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eastAsia="黑体"/>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eastAsia="黑体"/>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eastAsia="黑体"/>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eastAsia="黑体"/>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宋体"/>
    </w:rPr>
  </w:style>
  <w:style w:styleId="FootnoteText" w:type="paragraph">
    <w:name w:val="Footnote Text"/>
    <w:basedOn w:val="Normal"/>
    <w:next w:val="FootnoteText"/>
    <w:uiPriority w:val="9"/>
    <w:unhideWhenUsed/>
    <w:qFormat/>
    <w:rPr>
      <w:rFonts w:ascii="Times New Roman" w:hAnsi="Times New Roman" w:eastAsia="宋体"/>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eastAsia="宋体"/>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宋体"/>
      <w:b/>
    </w:rPr>
  </w:style>
  <w:style w:customStyle="1" w:styleId="Definition" w:type="paragraph">
    <w:name w:val="Definition"/>
    <w:basedOn w:val="Normal"/>
    <w:rPr>
      <w:rFonts w:ascii="Times New Roman" w:hAnsi="Times New Roman" w:eastAsia="宋体"/>
    </w:rPr>
  </w:style>
  <w:style w:styleId="Caption" w:type="paragraph">
    <w:name w:val="Caption"/>
    <w:basedOn w:val="Normal"/>
    <w:link w:val="BodyTextChar"/>
    <w:pPr>
      <w:spacing w:after="120" w:before="0"/>
    </w:pPr>
    <w:rPr>
      <w:rFonts w:ascii="Times New Roman" w:hAnsi="Times New Roman" w:eastAsia="宋体"/>
      <w:i/>
    </w:rPr>
  </w:style>
  <w:style w:customStyle="1" w:styleId="TableCaption" w:type="paragraph">
    <w:name w:val="Table Caption"/>
    <w:basedOn w:val="Caption"/>
    <w:pPr>
      <w:keepNext/>
    </w:pPr>
    <w:rPr>
      <w:rFonts w:ascii="Times New Roman" w:hAnsi="Times New Roman" w:eastAsia="宋体"/>
    </w:rPr>
  </w:style>
  <w:style w:customStyle="1" w:styleId="ImageCaption" w:type="paragraph">
    <w:name w:val="Image Caption"/>
    <w:basedOn w:val="Caption"/>
    <w:rPr>
      <w:rFonts w:ascii="Times New Roman" w:hAnsi="Times New Roman" w:eastAsia="宋体"/>
    </w:rPr>
  </w:style>
  <w:style w:customStyle="1" w:styleId="Figure" w:type="paragraph">
    <w:name w:val="Figure"/>
    <w:basedOn w:val="Normal"/>
    <w:rPr>
      <w:rFonts w:ascii="Times New Roman" w:hAnsi="Times New Roman" w:eastAsia="宋体"/>
    </w:rPr>
  </w:style>
  <w:style w:customStyle="1" w:styleId="CaptionedFigure" w:type="paragraph">
    <w:name w:val="Captioned Figure"/>
    <w:basedOn w:val="Figure"/>
    <w:pPr>
      <w:keepNext/>
    </w:pPr>
    <w:rPr>
      <w:rFonts w:ascii="Times New Roman" w:hAnsi="Times New Roman" w:eastAsia="宋体"/>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宋体"/>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宋体"/>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7" Type="http://schemas.openxmlformats.org/officeDocument/2006/relationships/image" Target="media/rId37.png"/><Relationship Id="rId32" Type="http://schemas.openxmlformats.org/officeDocument/2006/relationships/image" Target="media/rId32.png"/><Relationship Id="rId58" Type="http://schemas.openxmlformats.org/officeDocument/2006/relationships/hyperlink" Target="https://darwin-online.org.uk/converted/pdf/1871_Morgan_consanguinity_DlibD_A3203.pdf" TargetMode="External"/><Relationship Id="rId77" Type="http://schemas.openxmlformats.org/officeDocument/2006/relationships/hyperlink" Target="https://doi.org/10.1002/9781118346136.ch11" TargetMode="External"/><Relationship Id="rId68" Type="http://schemas.openxmlformats.org/officeDocument/2006/relationships/hyperlink" Target="https://doi.org/10.1007/s13752-021-00379-6" TargetMode="External"/><Relationship Id="rId82" Type="http://schemas.openxmlformats.org/officeDocument/2006/relationships/hyperlink" Target="https://doi.org/10.1016/j.cognition.2020.104289" TargetMode="External"/><Relationship Id="rId87" Type="http://schemas.openxmlformats.org/officeDocument/2006/relationships/hyperlink" Target="https://doi.org/10.1016/j.jml.2007.11.007" TargetMode="External"/><Relationship Id="rId88" Type="http://schemas.openxmlformats.org/officeDocument/2006/relationships/hyperlink" Target="https://doi.org/10.1016/j.jml.2012.11.001" TargetMode="External"/><Relationship Id="rId64" Type="http://schemas.openxmlformats.org/officeDocument/2006/relationships/hyperlink" Target="https://doi.org/10.1017/S0140525X10000890" TargetMode="External"/><Relationship Id="rId61" Type="http://schemas.openxmlformats.org/officeDocument/2006/relationships/hyperlink" Target="https://doi.org/10.1017/ehs.2020.41" TargetMode="External"/><Relationship Id="rId80" Type="http://schemas.openxmlformats.org/officeDocument/2006/relationships/hyperlink" Target="https://doi.org/10.1037/a0029347" TargetMode="External"/><Relationship Id="rId95" Type="http://schemas.openxmlformats.org/officeDocument/2006/relationships/hyperlink" Target="https://doi.org/10.1038/nature09923" TargetMode="External"/><Relationship Id="rId74" Type="http://schemas.openxmlformats.org/officeDocument/2006/relationships/hyperlink" Target="https://doi.org/10.1038/s41467-025-67463-4" TargetMode="External"/><Relationship Id="rId97" Type="http://schemas.openxmlformats.org/officeDocument/2006/relationships/hyperlink" Target="https://doi.org/10.1038/sdata.2018.205" TargetMode="External"/><Relationship Id="rId78" Type="http://schemas.openxmlformats.org/officeDocument/2006/relationships/hyperlink" Target="https://doi.org/10.1073/pnas.0610341104" TargetMode="External"/><Relationship Id="rId81" Type="http://schemas.openxmlformats.org/officeDocument/2006/relationships/hyperlink" Target="https://doi.org/10.1073/pnas.1619666114" TargetMode="External"/><Relationship Id="rId76" Type="http://schemas.openxmlformats.org/officeDocument/2006/relationships/hyperlink" Target="https://doi.org/10.1073/pnas.1800521115" TargetMode="External"/><Relationship Id="rId85" Type="http://schemas.openxmlformats.org/officeDocument/2006/relationships/hyperlink" Target="https://doi.org/10.1073/pnas.2025993118" TargetMode="External"/><Relationship Id="rId92" Type="http://schemas.openxmlformats.org/officeDocument/2006/relationships/hyperlink" Target="https://doi.org/10.1093/biomet/80.1.27" TargetMode="External"/><Relationship Id="rId90" Type="http://schemas.openxmlformats.org/officeDocument/2006/relationships/hyperlink" Target="https://doi.org/10.1111/ecog.02881" TargetMode="External"/><Relationship Id="rId93" Type="http://schemas.openxmlformats.org/officeDocument/2006/relationships/hyperlink" Target="https://doi.org/10.1111/j.2517-6161.1995.tb02031.x" TargetMode="External"/><Relationship Id="rId86" Type="http://schemas.openxmlformats.org/officeDocument/2006/relationships/hyperlink" Target="https://doi.org/10.1111/tops.12395" TargetMode="External"/><Relationship Id="rId62" Type="http://schemas.openxmlformats.org/officeDocument/2006/relationships/hyperlink" Target="https://doi.org/10.1111/tops.12430" TargetMode="External"/><Relationship Id="rId71" Type="http://schemas.openxmlformats.org/officeDocument/2006/relationships/hyperlink" Target="https://doi.org/10.1126/science.1218811" TargetMode="External"/><Relationship Id="rId75" Type="http://schemas.openxmlformats.org/officeDocument/2006/relationships/hyperlink" Target="https://doi.org/10.1146/annurev-linguistics-011817-045406" TargetMode="External"/><Relationship Id="rId73" Type="http://schemas.openxmlformats.org/officeDocument/2006/relationships/hyperlink" Target="https://doi.org/10.1162/opmi.a.27" TargetMode="External"/><Relationship Id="rId79" Type="http://schemas.openxmlformats.org/officeDocument/2006/relationships/hyperlink" Target="https://doi.org/10.1162/opmi_a_00034" TargetMode="External"/><Relationship Id="rId98" Type="http://schemas.openxmlformats.org/officeDocument/2006/relationships/hyperlink" Target="https://doi.org/10.1162/rest.90.3.414" TargetMode="External"/><Relationship Id="rId66" Type="http://schemas.openxmlformats.org/officeDocument/2006/relationships/hyperlink" Target="https://doi.org/10.11649/cs.1374" TargetMode="External"/><Relationship Id="rId57" Type="http://schemas.openxmlformats.org/officeDocument/2006/relationships/hyperlink" Target="https://doi.org/10.1177/146349960100100203" TargetMode="External"/><Relationship Id="rId91" Type="http://schemas.openxmlformats.org/officeDocument/2006/relationships/hyperlink" Target="https://doi.org/10.1214/08-AOAS191" TargetMode="External"/><Relationship Id="rId63" Type="http://schemas.openxmlformats.org/officeDocument/2006/relationships/hyperlink" Target="https://doi.org/10.1371/journal.pone.0147920" TargetMode="External"/><Relationship Id="rId96" Type="http://schemas.openxmlformats.org/officeDocument/2006/relationships/hyperlink" Target="https://doi.org/10.1371/journal.pone.0158391" TargetMode="External"/><Relationship Id="rId59" Type="http://schemas.openxmlformats.org/officeDocument/2006/relationships/hyperlink" Target="https://doi.org/10.1371/journal.pone.0283218" TargetMode="External"/><Relationship Id="rId94" Type="http://schemas.openxmlformats.org/officeDocument/2006/relationships/hyperlink" Target="https://doi.org/10.1515/lity.2011.021" TargetMode="External"/><Relationship Id="rId55" Type="http://schemas.openxmlformats.org/officeDocument/2006/relationships/hyperlink" Target="https://doi.org/10.1525/aa.1967.69.2.02a00050" TargetMode="External"/><Relationship Id="rId70" Type="http://schemas.openxmlformats.org/officeDocument/2006/relationships/hyperlink" Target="https://doi.org/10.1525/aa.1969.71.3.02a00080" TargetMode="External"/><Relationship Id="rId56" Type="http://schemas.openxmlformats.org/officeDocument/2006/relationships/hyperlink" Target="https://doi.org/10.1525/ae.1974.1.3.02a00060" TargetMode="External"/><Relationship Id="rId69" Type="http://schemas.openxmlformats.org/officeDocument/2006/relationships/hyperlink" Target="https://doi.org/10.1525/ae.1997.24.3.652" TargetMode="External"/><Relationship Id="rId89" Type="http://schemas.openxmlformats.org/officeDocument/2006/relationships/hyperlink" Target="https://doi.org/10.18637/jss.v067.i01" TargetMode="External"/><Relationship Id="rId54" Type="http://schemas.openxmlformats.org/officeDocument/2006/relationships/hyperlink" Target="https://doi.org/10.2307/2843284" TargetMode="External"/><Relationship Id="rId100" Type="http://schemas.openxmlformats.org/officeDocument/2006/relationships/hyperlink" Target="https://doi.org/10.2307/410664" TargetMode="External"/><Relationship Id="rId99" Type="http://schemas.openxmlformats.org/officeDocument/2006/relationships/hyperlink" Target="https://doi.org/10.2307/410665" TargetMode="External"/><Relationship Id="rId60" Type="http://schemas.openxmlformats.org/officeDocument/2006/relationships/hyperlink" Target="https://doi.org/10.3378/027.083.0209" TargetMode="External"/><Relationship Id="rId83" Type="http://schemas.openxmlformats.org/officeDocument/2006/relationships/hyperlink" Target="https://doi.org/10.3389/fpsyg.2015.01964" TargetMode="External"/><Relationship Id="rId84" Type="http://schemas.openxmlformats.org/officeDocument/2006/relationships/hyperlink" Target="https://doi.org/10.3758/s13423-021-02017-5" TargetMode="External"/><Relationship Id="rId72" Type="http://schemas.openxmlformats.org/officeDocument/2006/relationships/hyperlink" Target="https://escholarship.org/uc/item/1fg7b7hn" TargetMode="External"/><Relationship Id="rId65" Type="http://schemas.openxmlformats.org/officeDocument/2006/relationships/hyperlink" Target="https://escholarship.org/uc/item/93c7072g" TargetMode="External"/><Relationship Id="rId67" Type="http://schemas.openxmlformats.org/officeDocument/2006/relationships/hyperlink" Target="https://escholarship.org/uc/item/99s7r1fz" TargetMode="External"/><Relationship Id="rId52" Type="http://schemas.openxmlformats.org/officeDocument/2006/relationships/hyperlink" Target="https://github.com/glottolog/glottolog-cldf" TargetMode="External"/><Relationship Id="rId51" Type="http://schemas.openxmlformats.org/officeDocument/2006/relationships/hyperlink" Target="https://github.com/kinbank/kinbank" TargetMode="External"/></Relationships>
</file>

<file path=word/_rels/footnotes.xml.rels><?xml version='1.0' encoding='UTF-8' standalone='yes'?>
<Relationships xmlns="http://schemas.openxmlformats.org/package/2006/relationships"><Relationship Id="rId58" Type="http://schemas.openxmlformats.org/officeDocument/2006/relationships/hyperlink" Target="https://darwin-online.org.uk/converted/pdf/1871_Morgan_consanguinity_DlibD_A3203.pdf" TargetMode="External"/><Relationship Id="rId77" Type="http://schemas.openxmlformats.org/officeDocument/2006/relationships/hyperlink" Target="https://doi.org/10.1002/9781118346136.ch11" TargetMode="External"/><Relationship Id="rId68" Type="http://schemas.openxmlformats.org/officeDocument/2006/relationships/hyperlink" Target="https://doi.org/10.1007/s13752-021-00379-6" TargetMode="External"/><Relationship Id="rId82" Type="http://schemas.openxmlformats.org/officeDocument/2006/relationships/hyperlink" Target="https://doi.org/10.1016/j.cognition.2020.104289" TargetMode="External"/><Relationship Id="rId87" Type="http://schemas.openxmlformats.org/officeDocument/2006/relationships/hyperlink" Target="https://doi.org/10.1016/j.jml.2007.11.007" TargetMode="External"/><Relationship Id="rId88" Type="http://schemas.openxmlformats.org/officeDocument/2006/relationships/hyperlink" Target="https://doi.org/10.1016/j.jml.2012.11.001" TargetMode="External"/><Relationship Id="rId64" Type="http://schemas.openxmlformats.org/officeDocument/2006/relationships/hyperlink" Target="https://doi.org/10.1017/S0140525X10000890" TargetMode="External"/><Relationship Id="rId61" Type="http://schemas.openxmlformats.org/officeDocument/2006/relationships/hyperlink" Target="https://doi.org/10.1017/ehs.2020.41" TargetMode="External"/><Relationship Id="rId80" Type="http://schemas.openxmlformats.org/officeDocument/2006/relationships/hyperlink" Target="https://doi.org/10.1037/a0029347" TargetMode="External"/><Relationship Id="rId95" Type="http://schemas.openxmlformats.org/officeDocument/2006/relationships/hyperlink" Target="https://doi.org/10.1038/nature09923" TargetMode="External"/><Relationship Id="rId74" Type="http://schemas.openxmlformats.org/officeDocument/2006/relationships/hyperlink" Target="https://doi.org/10.1038/s41467-025-67463-4" TargetMode="External"/><Relationship Id="rId97" Type="http://schemas.openxmlformats.org/officeDocument/2006/relationships/hyperlink" Target="https://doi.org/10.1038/sdata.2018.205" TargetMode="External"/><Relationship Id="rId78" Type="http://schemas.openxmlformats.org/officeDocument/2006/relationships/hyperlink" Target="https://doi.org/10.1073/pnas.0610341104" TargetMode="External"/><Relationship Id="rId81" Type="http://schemas.openxmlformats.org/officeDocument/2006/relationships/hyperlink" Target="https://doi.org/10.1073/pnas.1619666114" TargetMode="External"/><Relationship Id="rId76" Type="http://schemas.openxmlformats.org/officeDocument/2006/relationships/hyperlink" Target="https://doi.org/10.1073/pnas.1800521115" TargetMode="External"/><Relationship Id="rId85" Type="http://schemas.openxmlformats.org/officeDocument/2006/relationships/hyperlink" Target="https://doi.org/10.1073/pnas.2025993118" TargetMode="External"/><Relationship Id="rId92" Type="http://schemas.openxmlformats.org/officeDocument/2006/relationships/hyperlink" Target="https://doi.org/10.1093/biomet/80.1.27" TargetMode="External"/><Relationship Id="rId90" Type="http://schemas.openxmlformats.org/officeDocument/2006/relationships/hyperlink" Target="https://doi.org/10.1111/ecog.02881" TargetMode="External"/><Relationship Id="rId93" Type="http://schemas.openxmlformats.org/officeDocument/2006/relationships/hyperlink" Target="https://doi.org/10.1111/j.2517-6161.1995.tb02031.x" TargetMode="External"/><Relationship Id="rId86" Type="http://schemas.openxmlformats.org/officeDocument/2006/relationships/hyperlink" Target="https://doi.org/10.1111/tops.12395" TargetMode="External"/><Relationship Id="rId62" Type="http://schemas.openxmlformats.org/officeDocument/2006/relationships/hyperlink" Target="https://doi.org/10.1111/tops.12430" TargetMode="External"/><Relationship Id="rId71" Type="http://schemas.openxmlformats.org/officeDocument/2006/relationships/hyperlink" Target="https://doi.org/10.1126/science.1218811" TargetMode="External"/><Relationship Id="rId75" Type="http://schemas.openxmlformats.org/officeDocument/2006/relationships/hyperlink" Target="https://doi.org/10.1146/annurev-linguistics-011817-045406" TargetMode="External"/><Relationship Id="rId73" Type="http://schemas.openxmlformats.org/officeDocument/2006/relationships/hyperlink" Target="https://doi.org/10.1162/opmi.a.27" TargetMode="External"/><Relationship Id="rId79" Type="http://schemas.openxmlformats.org/officeDocument/2006/relationships/hyperlink" Target="https://doi.org/10.1162/opmi_a_00034" TargetMode="External"/><Relationship Id="rId98" Type="http://schemas.openxmlformats.org/officeDocument/2006/relationships/hyperlink" Target="https://doi.org/10.1162/rest.90.3.414" TargetMode="External"/><Relationship Id="rId66" Type="http://schemas.openxmlformats.org/officeDocument/2006/relationships/hyperlink" Target="https://doi.org/10.11649/cs.1374" TargetMode="External"/><Relationship Id="rId57" Type="http://schemas.openxmlformats.org/officeDocument/2006/relationships/hyperlink" Target="https://doi.org/10.1177/146349960100100203" TargetMode="External"/><Relationship Id="rId91" Type="http://schemas.openxmlformats.org/officeDocument/2006/relationships/hyperlink" Target="https://doi.org/10.1214/08-AOAS191" TargetMode="External"/><Relationship Id="rId63" Type="http://schemas.openxmlformats.org/officeDocument/2006/relationships/hyperlink" Target="https://doi.org/10.1371/journal.pone.0147920" TargetMode="External"/><Relationship Id="rId96" Type="http://schemas.openxmlformats.org/officeDocument/2006/relationships/hyperlink" Target="https://doi.org/10.1371/journal.pone.0158391" TargetMode="External"/><Relationship Id="rId59" Type="http://schemas.openxmlformats.org/officeDocument/2006/relationships/hyperlink" Target="https://doi.org/10.1371/journal.pone.0283218" TargetMode="External"/><Relationship Id="rId94" Type="http://schemas.openxmlformats.org/officeDocument/2006/relationships/hyperlink" Target="https://doi.org/10.1515/lity.2011.021" TargetMode="External"/><Relationship Id="rId55" Type="http://schemas.openxmlformats.org/officeDocument/2006/relationships/hyperlink" Target="https://doi.org/10.1525/aa.1967.69.2.02a00050" TargetMode="External"/><Relationship Id="rId70" Type="http://schemas.openxmlformats.org/officeDocument/2006/relationships/hyperlink" Target="https://doi.org/10.1525/aa.1969.71.3.02a00080" TargetMode="External"/><Relationship Id="rId56" Type="http://schemas.openxmlformats.org/officeDocument/2006/relationships/hyperlink" Target="https://doi.org/10.1525/ae.1974.1.3.02a00060" TargetMode="External"/><Relationship Id="rId69" Type="http://schemas.openxmlformats.org/officeDocument/2006/relationships/hyperlink" Target="https://doi.org/10.1525/ae.1997.24.3.652" TargetMode="External"/><Relationship Id="rId89" Type="http://schemas.openxmlformats.org/officeDocument/2006/relationships/hyperlink" Target="https://doi.org/10.18637/jss.v067.i01" TargetMode="External"/><Relationship Id="rId54" Type="http://schemas.openxmlformats.org/officeDocument/2006/relationships/hyperlink" Target="https://doi.org/10.2307/2843284" TargetMode="External"/><Relationship Id="rId100" Type="http://schemas.openxmlformats.org/officeDocument/2006/relationships/hyperlink" Target="https://doi.org/10.2307/410664" TargetMode="External"/><Relationship Id="rId99" Type="http://schemas.openxmlformats.org/officeDocument/2006/relationships/hyperlink" Target="https://doi.org/10.2307/410665" TargetMode="External"/><Relationship Id="rId60" Type="http://schemas.openxmlformats.org/officeDocument/2006/relationships/hyperlink" Target="https://doi.org/10.3378/027.083.0209" TargetMode="External"/><Relationship Id="rId83" Type="http://schemas.openxmlformats.org/officeDocument/2006/relationships/hyperlink" Target="https://doi.org/10.3389/fpsyg.2015.01964" TargetMode="External"/><Relationship Id="rId84" Type="http://schemas.openxmlformats.org/officeDocument/2006/relationships/hyperlink" Target="https://doi.org/10.3758/s13423-021-02017-5" TargetMode="External"/><Relationship Id="rId72" Type="http://schemas.openxmlformats.org/officeDocument/2006/relationships/hyperlink" Target="https://escholarship.org/uc/item/1fg7b7hn" TargetMode="External"/><Relationship Id="rId65" Type="http://schemas.openxmlformats.org/officeDocument/2006/relationships/hyperlink" Target="https://escholarship.org/uc/item/93c7072g" TargetMode="External"/><Relationship Id="rId67" Type="http://schemas.openxmlformats.org/officeDocument/2006/relationships/hyperlink" Target="https://escholarship.org/uc/item/99s7r1fz" TargetMode="External"/><Relationship Id="rId52" Type="http://schemas.openxmlformats.org/officeDocument/2006/relationships/hyperlink" Target="https://github.com/glottolog/glottolog-cldf" TargetMode="External"/><Relationship Id="rId51" Type="http://schemas.openxmlformats.org/officeDocument/2006/relationships/hyperlink" Target="https://github.com/kinbank/kinb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2026-10-14T18:09:11Z</dcterms:created>
  <dcterms:modified xsi:type="dcterms:W3CDTF">2026-10-14T18:09:11Z</dcterms:modified>
</cp:coreProperties>
</file>

<file path=docProps/custom.xml><?xml version="1.0" encoding="utf-8"?>
<Properties xmlns="http://schemas.openxmlformats.org/officeDocument/2006/custom-properties" xmlns:vt="http://schemas.openxmlformats.org/officeDocument/2006/docPropsVTypes"/>
</file>