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FA462">
      <w:pPr>
        <w:jc w:val="center"/>
        <w:rPr>
          <w:rFonts w:ascii="Times New Roman" w:hAnsi="Times New Roman" w:eastAsia="黑体" w:cs="Times New Roman"/>
          <w:sz w:val="28"/>
          <w:szCs w:val="28"/>
        </w:rPr>
      </w:pPr>
      <w:r>
        <w:rPr>
          <w:rFonts w:ascii="Times New Roman" w:hAnsi="Times New Roman" w:eastAsia="黑体" w:cs="Times New Roman"/>
          <w:sz w:val="28"/>
          <w:szCs w:val="28"/>
        </w:rPr>
        <w:t>实验报告</w:t>
      </w:r>
    </w:p>
    <w:p w14:paraId="5DE0ECEE">
      <w:pPr>
        <w:jc w:val="center"/>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注：隐藏部分信息，分析</w:t>
      </w:r>
      <w:bookmarkStart w:id="3" w:name="_GoBack"/>
      <w:bookmarkEnd w:id="3"/>
      <w:r>
        <w:rPr>
          <w:rFonts w:hint="eastAsia" w:ascii="Times New Roman" w:hAnsi="Times New Roman" w:eastAsia="黑体" w:cs="Times New Roman"/>
          <w:sz w:val="28"/>
          <w:szCs w:val="28"/>
          <w:lang w:val="en-US" w:eastAsia="zh-CN"/>
        </w:rPr>
        <w:t>供参考</w:t>
      </w:r>
    </w:p>
    <w:p w14:paraId="354E51F3">
      <w:pPr>
        <w:spacing w:before="156" w:beforeLines="50"/>
        <w:rPr>
          <w:rFonts w:ascii="Times New Roman" w:hAnsi="Times New Roman" w:eastAsia="黑体" w:cs="Times New Roman"/>
          <w:sz w:val="28"/>
          <w:szCs w:val="28"/>
          <w:u w:val="single"/>
        </w:rPr>
      </w:pPr>
      <w:r>
        <w:rPr>
          <w:rFonts w:ascii="Times New Roman" w:hAnsi="Times New Roman" w:eastAsia="黑体" w:cs="Times New Roman"/>
          <w:sz w:val="28"/>
          <w:szCs w:val="28"/>
        </w:rPr>
        <w:t>实验名称：</w:t>
      </w:r>
      <w:r>
        <w:rPr>
          <w:rFonts w:hint="eastAsia" w:ascii="Times New Roman" w:hAnsi="Times New Roman" w:eastAsia="黑体" w:cs="Times New Roman"/>
          <w:sz w:val="28"/>
          <w:szCs w:val="28"/>
          <w:u w:val="single"/>
          <w:lang w:val="en-US" w:eastAsia="zh-CN"/>
        </w:rPr>
        <w:t>微塑料对模式生物斑马鱼的影响</w:t>
      </w:r>
    </w:p>
    <w:p w14:paraId="18AA9F5C">
      <w:pPr>
        <w:rPr>
          <w:rFonts w:ascii="Times New Roman" w:hAnsi="Times New Roman" w:eastAsia="黑体" w:cs="Times New Roman"/>
          <w:sz w:val="28"/>
          <w:szCs w:val="28"/>
        </w:rPr>
      </w:pPr>
      <w:bookmarkStart w:id="0" w:name="OLE_LINK24"/>
      <w:r>
        <w:rPr>
          <w:rFonts w:hint="eastAsia" w:ascii="Times New Roman" w:hAnsi="Times New Roman" w:eastAsia="黑体" w:cs="Times New Roman"/>
          <w:sz w:val="28"/>
          <w:szCs w:val="28"/>
          <w:lang w:val="en-US" w:eastAsia="zh-CN"/>
        </w:rPr>
        <w:t>一、</w:t>
      </w:r>
      <w:r>
        <w:rPr>
          <w:rFonts w:ascii="Times New Roman" w:hAnsi="Times New Roman" w:eastAsia="黑体" w:cs="Times New Roman"/>
          <w:sz w:val="28"/>
          <w:szCs w:val="28"/>
        </w:rPr>
        <w:t>实验内容</w:t>
      </w:r>
    </w:p>
    <w:p w14:paraId="322F48FC">
      <w:pPr>
        <w:numPr>
          <w:ilvl w:val="0"/>
          <w:numId w:val="0"/>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1"/>
          <w:szCs w:val="21"/>
          <w:lang w:val="en-US" w:eastAsia="zh-CN"/>
        </w:rPr>
        <w:t>在这段时间里，我们参观并学习了斑马鱼养殖的相关基本知识。基于实验室此前发现的微塑料会引发模式生物斑马鱼心脏异常增大现象，为了探查微塑料对生物的影响，即心脏增大在基因转录层面具体变化，我们亲手操作了斑马鱼繁殖、斑马鱼卵孵化、斑马鱼心脏解剖、心脏RNA测序及分析和后期生信处理。</w:t>
      </w:r>
    </w:p>
    <w:bookmarkEnd w:id="0"/>
    <w:p w14:paraId="1F377EA4">
      <w:pPr>
        <w:rPr>
          <w:rFonts w:hint="eastAsia"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二、</w:t>
      </w:r>
      <w:r>
        <w:rPr>
          <w:rFonts w:ascii="Times New Roman" w:hAnsi="Times New Roman" w:eastAsia="黑体" w:cs="Times New Roman"/>
          <w:sz w:val="28"/>
          <w:szCs w:val="28"/>
        </w:rPr>
        <w:t>实验原理</w:t>
      </w:r>
    </w:p>
    <w:p w14:paraId="11151937">
      <w:pPr>
        <w:numPr>
          <w:ilvl w:val="0"/>
          <w:numId w:val="1"/>
        </w:numPr>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斑马鱼</w:t>
      </w:r>
    </w:p>
    <w:p w14:paraId="48AD51CE">
      <w:pPr>
        <w:numPr>
          <w:ilvl w:val="0"/>
          <w:numId w:val="0"/>
        </w:numPr>
        <w:ind w:firstLine="420" w:firstLineChars="2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斑马鱼是生命科学领域公认的核心脊椎模式生物，被美国国立卫生研究院列为第三大脊椎模式生物，全球已有超1500个专业斑马鱼实验室。它与人类基因同源性高达87%，84%的人类已知致病基因都能在其基因组中找到对应同源片段</w:t>
      </w:r>
      <w:r>
        <w:rPr>
          <w:rStyle w:val="10"/>
          <w:rFonts w:hint="default" w:ascii="Times New Roman" w:hAnsi="Times New Roman" w:eastAsia="宋体" w:cs="Times New Roman"/>
          <w:sz w:val="21"/>
          <w:szCs w:val="21"/>
          <w:lang w:val="en-US" w:eastAsia="zh-CN"/>
        </w:rPr>
        <w:t>[</w:t>
      </w:r>
      <w:r>
        <w:rPr>
          <w:rStyle w:val="10"/>
          <w:rFonts w:hint="default" w:ascii="Times New Roman" w:hAnsi="Times New Roman" w:eastAsia="宋体" w:cs="Times New Roman"/>
          <w:sz w:val="21"/>
          <w:szCs w:val="21"/>
          <w:lang w:val="en-US" w:eastAsia="zh-CN"/>
        </w:rPr>
        <w:endnoteReference w:id="0"/>
      </w:r>
      <w:r>
        <w:rPr>
          <w:rStyle w:val="10"/>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可精准构建肿瘤、神经退行性疾病、心血管发育异常等超2000种人类疾病模型。斑马鱼成鱼体长仅3-5厘米，3个月即可达到性成熟，雌鱼每周可产卵数百枚，胚胎全程体外透明发育，受精24小时内主要器官就已开始分化，是目前唯一适配高通量药物筛选的脊椎动物，实验成本仅为小鼠的1%到10%，大幅降低了发育生物学、新药筛选等领域的研究门槛</w:t>
      </w:r>
      <w:r>
        <w:rPr>
          <w:rStyle w:val="10"/>
          <w:rFonts w:hint="default" w:ascii="Times New Roman" w:hAnsi="Times New Roman" w:eastAsia="宋体" w:cs="Times New Roman"/>
          <w:sz w:val="21"/>
          <w:szCs w:val="21"/>
          <w:lang w:val="en-US" w:eastAsia="zh-CN"/>
        </w:rPr>
        <w:t>[</w:t>
      </w:r>
      <w:r>
        <w:rPr>
          <w:rStyle w:val="10"/>
          <w:rFonts w:hint="default" w:ascii="Times New Roman" w:hAnsi="Times New Roman" w:eastAsia="宋体" w:cs="Times New Roman"/>
          <w:sz w:val="21"/>
          <w:szCs w:val="21"/>
          <w:lang w:val="en-US" w:eastAsia="zh-CN"/>
        </w:rPr>
        <w:endnoteReference w:id="1"/>
      </w:r>
      <w:r>
        <w:rPr>
          <w:rStyle w:val="10"/>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w:t>
      </w:r>
    </w:p>
    <w:p w14:paraId="5F5176A0">
      <w:pPr>
        <w:numPr>
          <w:ilvl w:val="0"/>
          <w:numId w:val="0"/>
        </w:numPr>
        <w:ind w:firstLine="420" w:firstLineChars="200"/>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1"/>
          <w:szCs w:val="21"/>
          <w:lang w:val="en-US" w:eastAsia="zh-CN"/>
        </w:rPr>
        <w:t>斑马鱼标准化养殖采用闭环水循环系统，核心配置包含物理过滤棉、生化培菌舱、紫外杀菌单元，搭配静音氧泵24小时持续增氧，全程维持水体溶氧不低于6mg/L，同时通过恒温模块将水温精准锁定在28.5℃±0.5℃的最适区间</w:t>
      </w:r>
      <w:r>
        <w:rPr>
          <w:rStyle w:val="10"/>
          <w:rFonts w:hint="default" w:ascii="Times New Roman" w:hAnsi="Times New Roman" w:eastAsia="宋体" w:cs="Times New Roman"/>
          <w:sz w:val="21"/>
          <w:szCs w:val="21"/>
          <w:lang w:val="en-US" w:eastAsia="zh-CN"/>
        </w:rPr>
        <w:t>[</w:t>
      </w:r>
      <w:r>
        <w:rPr>
          <w:rStyle w:val="10"/>
          <w:rFonts w:hint="default" w:ascii="Times New Roman" w:hAnsi="Times New Roman" w:eastAsia="宋体" w:cs="Times New Roman"/>
          <w:sz w:val="21"/>
          <w:szCs w:val="21"/>
          <w:lang w:val="en-US" w:eastAsia="zh-CN"/>
        </w:rPr>
        <w:endnoteReference w:id="2"/>
      </w:r>
      <w:r>
        <w:rPr>
          <w:rStyle w:val="10"/>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。系统配备自动光照控制器，严格执行12小时光照、12小时黑暗的昼夜节律循环，既避免长光照诱发幼鱼焦虑样行为，又能保障斑马鱼正常摄食与繁殖，水质参数全程自动监测，确保实验环境高度稳定可重复。</w:t>
      </w:r>
      <w:r>
        <w:rPr>
          <w:rFonts w:hint="default" w:ascii="Times New Roman" w:hAnsi="Times New Roman" w:eastAsia="宋体" w:cs="Times New Roman"/>
          <w:sz w:val="28"/>
          <w:szCs w:val="28"/>
          <w:lang w:val="en-US" w:eastAsia="zh-CN"/>
        </w:rPr>
        <w:t xml:space="preserve"> </w:t>
      </w:r>
    </w:p>
    <w:p w14:paraId="43767EA4">
      <w:pPr>
        <w:numPr>
          <w:ilvl w:val="0"/>
          <w:numId w:val="1"/>
        </w:numPr>
        <w:ind w:left="0" w:leftChars="0" w:firstLine="0" w:firstLineChars="0"/>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微塑料对生物影响</w:t>
      </w:r>
    </w:p>
    <w:p w14:paraId="0CB09C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280" w:lineRule="atLeast"/>
        <w:ind w:left="0" w:right="0" w:firstLine="420" w:firstLineChars="200"/>
        <w:jc w:val="left"/>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微塑料概念本身于</w:t>
      </w:r>
      <w:r>
        <w:rPr>
          <w:rFonts w:hint="default" w:ascii="Times New Roman" w:hAnsi="Times New Roman" w:eastAsia="宋体" w:cs="Times New Roman"/>
          <w:kern w:val="2"/>
          <w:sz w:val="21"/>
          <w:szCs w:val="21"/>
          <w:lang w:val="en-US" w:eastAsia="zh-CN" w:bidi="ar-SA"/>
        </w:rPr>
        <w:t>2004年</w:t>
      </w:r>
      <w:r>
        <w:rPr>
          <w:rFonts w:hint="eastAsia" w:ascii="Times New Roman" w:hAnsi="Times New Roman" w:eastAsia="宋体" w:cs="Times New Roman"/>
          <w:kern w:val="2"/>
          <w:sz w:val="21"/>
          <w:szCs w:val="21"/>
          <w:lang w:val="en-US" w:eastAsia="zh-CN" w:bidi="ar-SA"/>
        </w:rPr>
        <w:t>被</w:t>
      </w:r>
      <w:r>
        <w:rPr>
          <w:rFonts w:hint="default" w:ascii="Times New Roman" w:hAnsi="Times New Roman" w:eastAsia="宋体" w:cs="Times New Roman"/>
          <w:kern w:val="2"/>
          <w:sz w:val="21"/>
          <w:szCs w:val="21"/>
          <w:lang w:val="en-US" w:eastAsia="zh-CN" w:bidi="ar-SA"/>
        </w:rPr>
        <w:t>英国普利茅斯大学Thompson团队首次在Science</w:t>
      </w:r>
      <w:r>
        <w:rPr>
          <w:rFonts w:hint="eastAsia" w:ascii="Times New Roman" w:hAnsi="Times New Roman" w:eastAsia="宋体" w:cs="Times New Roman"/>
          <w:kern w:val="2"/>
          <w:sz w:val="21"/>
          <w:szCs w:val="21"/>
          <w:lang w:val="en-US" w:eastAsia="zh-CN" w:bidi="ar-SA"/>
        </w:rPr>
        <w:t>上</w:t>
      </w:r>
      <w:r>
        <w:rPr>
          <w:rFonts w:hint="default" w:ascii="Times New Roman" w:hAnsi="Times New Roman" w:eastAsia="宋体" w:cs="Times New Roman"/>
          <w:kern w:val="2"/>
          <w:sz w:val="21"/>
          <w:szCs w:val="21"/>
          <w:lang w:val="en-US" w:eastAsia="zh-CN" w:bidi="ar-SA"/>
        </w:rPr>
        <w:t>正式提出</w:t>
      </w:r>
      <w:r>
        <w:rPr>
          <w:rStyle w:val="10"/>
          <w:rFonts w:hint="default" w:ascii="Times New Roman" w:hAnsi="Times New Roman" w:eastAsia="宋体" w:cs="Times New Roman"/>
          <w:kern w:val="2"/>
          <w:sz w:val="21"/>
          <w:szCs w:val="21"/>
          <w:lang w:val="en-US" w:eastAsia="zh-CN" w:bidi="ar-SA"/>
        </w:rPr>
        <w:t>[</w:t>
      </w:r>
      <w:r>
        <w:rPr>
          <w:rStyle w:val="10"/>
          <w:rFonts w:hint="default" w:ascii="Times New Roman" w:hAnsi="Times New Roman" w:eastAsia="宋体" w:cs="Times New Roman"/>
          <w:kern w:val="2"/>
          <w:sz w:val="21"/>
          <w:szCs w:val="21"/>
          <w:lang w:val="en-US" w:eastAsia="zh-CN" w:bidi="ar-SA"/>
        </w:rPr>
        <w:endnoteReference w:id="3"/>
      </w:r>
      <w:r>
        <w:rPr>
          <w:rStyle w:val="10"/>
          <w:rFonts w:hint="default"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文中</w:t>
      </w:r>
      <w:r>
        <w:rPr>
          <w:rFonts w:hint="default" w:ascii="Times New Roman" w:hAnsi="Times New Roman" w:eastAsia="宋体" w:cs="Times New Roman"/>
          <w:kern w:val="2"/>
          <w:sz w:val="21"/>
          <w:szCs w:val="21"/>
          <w:lang w:val="en-US" w:eastAsia="zh-CN" w:bidi="ar-SA"/>
        </w:rPr>
        <w:t>首次明确直径小于5mm的塑料碎片在近海环境广泛分布</w:t>
      </w:r>
      <w:r>
        <w:rPr>
          <w:rFonts w:hint="eastAsia" w:ascii="Times New Roman" w:hAnsi="Times New Roman" w:eastAsia="宋体" w:cs="Times New Roman"/>
          <w:kern w:val="2"/>
          <w:sz w:val="21"/>
          <w:szCs w:val="21"/>
          <w:lang w:val="en-US" w:eastAsia="zh-CN" w:bidi="ar-SA"/>
        </w:rPr>
        <w:t>，成为该领域研究的“开山之作”</w:t>
      </w:r>
      <w:r>
        <w:rPr>
          <w:rFonts w:hint="default" w:ascii="Times New Roman" w:hAnsi="Times New Roman" w:eastAsia="宋体" w:cs="Times New Roman"/>
          <w:kern w:val="2"/>
          <w:sz w:val="21"/>
          <w:szCs w:val="21"/>
          <w:lang w:val="en-US" w:eastAsia="zh-CN" w:bidi="ar-SA"/>
        </w:rPr>
        <w:t>。此后20年相关研究从海洋快速拓展至陆地、大气乃至偏远极地，全球相关研究量较2004年增长超300倍</w:t>
      </w:r>
      <w:r>
        <w:rPr>
          <w:rFonts w:hint="eastAsia" w:ascii="Times New Roman" w:hAnsi="Times New Roman" w:eastAsia="宋体" w:cs="Times New Roman"/>
          <w:kern w:val="2"/>
          <w:sz w:val="21"/>
          <w:szCs w:val="21"/>
          <w:lang w:val="en-US" w:eastAsia="zh-CN" w:bidi="ar-SA"/>
        </w:rPr>
        <w:t>（2024年数据）</w:t>
      </w:r>
      <w:r>
        <w:rPr>
          <w:rStyle w:val="10"/>
          <w:rFonts w:hint="eastAsia" w:ascii="Times New Roman" w:hAnsi="Times New Roman" w:eastAsia="宋体" w:cs="Times New Roman"/>
          <w:kern w:val="2"/>
          <w:sz w:val="21"/>
          <w:szCs w:val="21"/>
          <w:lang w:val="en-US" w:eastAsia="zh-CN" w:bidi="ar-SA"/>
        </w:rPr>
        <w:t>[</w:t>
      </w:r>
      <w:r>
        <w:rPr>
          <w:rStyle w:val="10"/>
          <w:rFonts w:hint="eastAsia" w:ascii="Times New Roman" w:hAnsi="Times New Roman" w:eastAsia="宋体" w:cs="Times New Roman"/>
          <w:kern w:val="2"/>
          <w:sz w:val="21"/>
          <w:szCs w:val="21"/>
          <w:lang w:val="en-US" w:eastAsia="zh-CN" w:bidi="ar-SA"/>
        </w:rPr>
        <w:endnoteReference w:id="4"/>
      </w:r>
      <w:r>
        <w:rPr>
          <w:rStyle w:val="10"/>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，近年仍保持年均15%以上的发文增速。</w:t>
      </w:r>
      <w:r>
        <w:rPr>
          <w:rFonts w:hint="eastAsia" w:ascii="Times New Roman" w:hAnsi="Times New Roman" w:eastAsia="宋体" w:cs="Times New Roman"/>
          <w:kern w:val="2"/>
          <w:sz w:val="21"/>
          <w:szCs w:val="21"/>
          <w:lang w:val="en-US" w:eastAsia="zh-CN" w:bidi="ar-SA"/>
        </w:rPr>
        <w:t>人们对微塑料逐渐重视起来：</w:t>
      </w:r>
      <w:r>
        <w:rPr>
          <w:rFonts w:hint="default" w:ascii="Times New Roman" w:hAnsi="Times New Roman" w:eastAsia="宋体" w:cs="Times New Roman"/>
          <w:kern w:val="2"/>
          <w:sz w:val="21"/>
          <w:szCs w:val="21"/>
          <w:lang w:val="en-US" w:eastAsia="zh-CN" w:bidi="ar-SA"/>
        </w:rPr>
        <w:t>联合国环境规划署2023年正式将微塑料列为全球十大新污染物之一，指出其已通过食物链进入超2000种生物体内，全球生态风险等级升至“高优先级”</w:t>
      </w:r>
      <w:r>
        <w:rPr>
          <w:rStyle w:val="10"/>
          <w:rFonts w:hint="default" w:ascii="Times New Roman" w:hAnsi="Times New Roman" w:eastAsia="宋体" w:cs="Times New Roman"/>
          <w:kern w:val="2"/>
          <w:sz w:val="21"/>
          <w:szCs w:val="21"/>
          <w:lang w:val="en-US" w:eastAsia="zh-CN" w:bidi="ar-SA"/>
        </w:rPr>
        <w:t>[</w:t>
      </w:r>
      <w:r>
        <w:rPr>
          <w:rStyle w:val="10"/>
          <w:rFonts w:hint="default" w:ascii="Times New Roman" w:hAnsi="Times New Roman" w:eastAsia="宋体" w:cs="Times New Roman"/>
          <w:kern w:val="2"/>
          <w:sz w:val="21"/>
          <w:szCs w:val="21"/>
          <w:lang w:val="en-US" w:eastAsia="zh-CN" w:bidi="ar-SA"/>
        </w:rPr>
        <w:endnoteReference w:id="5"/>
      </w:r>
      <w:r>
        <w:rPr>
          <w:rStyle w:val="10"/>
          <w:rFonts w:hint="default"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，多国环保组织已将微塑料管控纳入塑料污染全球条约核心谈判条款。</w:t>
      </w:r>
    </w:p>
    <w:p w14:paraId="2B559564">
      <w:pPr>
        <w:numPr>
          <w:ilvl w:val="0"/>
          <w:numId w:val="1"/>
        </w:numPr>
        <w:ind w:left="0" w:leftChars="0" w:firstLine="0" w:firstLineChars="0"/>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RNA测序</w:t>
      </w:r>
    </w:p>
    <w:p w14:paraId="582D802A">
      <w:pPr>
        <w:numPr>
          <w:ilvl w:val="0"/>
          <w:numId w:val="0"/>
        </w:numPr>
        <w:ind w:leftChars="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RNA测序技术于2008年首次在酵母、拟南芥模式生物中完成规模化应用，正式建立起转录组高通量分析的技术体系</w:t>
      </w:r>
      <w:r>
        <w:rPr>
          <w:rStyle w:val="10"/>
          <w:rFonts w:hint="default" w:ascii="Times New Roman" w:hAnsi="Times New Roman" w:eastAsia="宋体" w:cs="Times New Roman"/>
          <w:kern w:val="2"/>
          <w:sz w:val="21"/>
          <w:szCs w:val="21"/>
          <w:lang w:val="en-US" w:eastAsia="zh-CN" w:bidi="ar-SA"/>
        </w:rPr>
        <w:t>[</w:t>
      </w:r>
      <w:r>
        <w:rPr>
          <w:rStyle w:val="10"/>
          <w:rFonts w:hint="default" w:ascii="Times New Roman" w:hAnsi="Times New Roman" w:eastAsia="宋体" w:cs="Times New Roman"/>
          <w:kern w:val="2"/>
          <w:sz w:val="21"/>
          <w:szCs w:val="21"/>
          <w:lang w:val="en-US" w:eastAsia="zh-CN" w:bidi="ar-SA"/>
        </w:rPr>
        <w:endnoteReference w:id="6"/>
      </w:r>
      <w:r>
        <w:rPr>
          <w:rStyle w:val="10"/>
          <w:rFonts w:hint="default"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。目前主流商业化平台分为三类</w:t>
      </w:r>
      <w:r>
        <w:rPr>
          <w:rStyle w:val="10"/>
          <w:rFonts w:hint="default" w:ascii="Times New Roman" w:hAnsi="Times New Roman" w:eastAsia="宋体" w:cs="Times New Roman"/>
          <w:kern w:val="2"/>
          <w:sz w:val="21"/>
          <w:szCs w:val="21"/>
          <w:lang w:val="en-US" w:eastAsia="zh-CN" w:bidi="ar-SA"/>
        </w:rPr>
        <w:t>[</w:t>
      </w:r>
      <w:r>
        <w:rPr>
          <w:rStyle w:val="10"/>
          <w:rFonts w:hint="default" w:ascii="Times New Roman" w:hAnsi="Times New Roman" w:eastAsia="宋体" w:cs="Times New Roman"/>
          <w:kern w:val="2"/>
          <w:sz w:val="21"/>
          <w:szCs w:val="21"/>
          <w:lang w:val="en-US" w:eastAsia="zh-CN" w:bidi="ar-SA"/>
        </w:rPr>
        <w:endnoteReference w:id="7"/>
      </w:r>
      <w:r>
        <w:rPr>
          <w:rStyle w:val="10"/>
          <w:rFonts w:hint="default"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：Illumina边合成边测序短读长平台，凭借高性价比成为全球95%以上公开转录组数据的产出载体；PacBio单分子实时长读长平台，可直接获取全长转录本序列；Oxford Nanopore直接RNA测序平台，无需逆转录即可检测天然RNA的碱基修饰信息，三类技术共同推动转录组研究从基因定量深入到单碱基分辨率的转录本结构解析。</w:t>
      </w:r>
    </w:p>
    <w:p w14:paraId="5CCEBB57">
      <w:pPr>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三、</w:t>
      </w:r>
      <w:r>
        <w:rPr>
          <w:rFonts w:hint="default" w:ascii="Times New Roman" w:hAnsi="Times New Roman" w:eastAsia="黑体" w:cs="Times New Roman"/>
          <w:sz w:val="28"/>
          <w:szCs w:val="28"/>
          <w:lang w:val="en-US" w:eastAsia="zh-CN"/>
        </w:rPr>
        <w:t>实验材料</w:t>
      </w:r>
    </w:p>
    <w:p w14:paraId="004B8376">
      <w:pPr>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核心试剂、受试生物</w:t>
      </w:r>
      <w:r>
        <w:rPr>
          <w:rFonts w:ascii="Times New Roman" w:hAnsi="Times New Roman" w:eastAsia="宋体" w:cs="Times New Roman"/>
          <w:szCs w:val="21"/>
        </w:rPr>
        <w:t>：</w:t>
      </w:r>
    </w:p>
    <w:tbl>
      <w:tblPr>
        <w:tblStyle w:val="6"/>
        <w:tblW w:w="7089" w:type="dxa"/>
        <w:jc w:val="center"/>
        <w:tblLayout w:type="fixed"/>
        <w:tblCellMar>
          <w:top w:w="0" w:type="dxa"/>
          <w:left w:w="108" w:type="dxa"/>
          <w:bottom w:w="0" w:type="dxa"/>
          <w:right w:w="108" w:type="dxa"/>
        </w:tblCellMar>
      </w:tblPr>
      <w:tblGrid>
        <w:gridCol w:w="2553"/>
        <w:gridCol w:w="4536"/>
      </w:tblGrid>
      <w:tr w14:paraId="2DB40263">
        <w:tblPrEx>
          <w:tblCellMar>
            <w:top w:w="0" w:type="dxa"/>
            <w:left w:w="108" w:type="dxa"/>
            <w:bottom w:w="0" w:type="dxa"/>
            <w:right w:w="108" w:type="dxa"/>
          </w:tblCellMar>
        </w:tblPrEx>
        <w:trPr>
          <w:trHeight w:val="397" w:hRule="atLeast"/>
          <w:jc w:val="center"/>
        </w:trPr>
        <w:tc>
          <w:tcPr>
            <w:tcW w:w="2553" w:type="dxa"/>
            <w:tcBorders>
              <w:top w:val="single" w:color="auto" w:sz="8" w:space="0"/>
              <w:left w:val="nil"/>
              <w:bottom w:val="single" w:color="auto" w:sz="8" w:space="0"/>
              <w:right w:val="nil"/>
            </w:tcBorders>
            <w:noWrap/>
            <w:vAlign w:val="center"/>
          </w:tcPr>
          <w:p w14:paraId="0A4F7DED">
            <w:pPr>
              <w:rPr>
                <w:rFonts w:hint="eastAsia" w:ascii="Times New Roman" w:hAnsi="Times New Roman" w:eastAsia="宋体" w:cs="Times New Roman"/>
                <w:szCs w:val="21"/>
                <w:lang w:val="en-US" w:eastAsia="zh-CN"/>
              </w:rPr>
            </w:pPr>
            <w:bookmarkStart w:id="1" w:name="OLE_LINK20"/>
            <w:r>
              <w:rPr>
                <w:rFonts w:hint="eastAsia" w:ascii="Times New Roman" w:hAnsi="Times New Roman" w:eastAsia="宋体" w:cs="Times New Roman"/>
                <w:szCs w:val="21"/>
                <w:lang w:val="en-US" w:eastAsia="zh-CN"/>
              </w:rPr>
              <w:t>名称</w:t>
            </w:r>
          </w:p>
        </w:tc>
        <w:tc>
          <w:tcPr>
            <w:tcW w:w="4536" w:type="dxa"/>
            <w:tcBorders>
              <w:top w:val="single" w:color="auto" w:sz="8" w:space="0"/>
              <w:left w:val="nil"/>
              <w:bottom w:val="single" w:color="auto" w:sz="8" w:space="0"/>
              <w:right w:val="nil"/>
            </w:tcBorders>
            <w:noWrap/>
            <w:vAlign w:val="center"/>
          </w:tcPr>
          <w:p w14:paraId="269E9B2E">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来源</w:t>
            </w:r>
          </w:p>
        </w:tc>
      </w:tr>
      <w:tr w14:paraId="4113F924">
        <w:tblPrEx>
          <w:tblCellMar>
            <w:top w:w="0" w:type="dxa"/>
            <w:left w:w="108" w:type="dxa"/>
            <w:bottom w:w="0" w:type="dxa"/>
            <w:right w:w="108" w:type="dxa"/>
          </w:tblCellMar>
        </w:tblPrEx>
        <w:trPr>
          <w:trHeight w:val="567" w:hRule="atLeast"/>
          <w:jc w:val="center"/>
        </w:trPr>
        <w:tc>
          <w:tcPr>
            <w:tcW w:w="2553" w:type="dxa"/>
            <w:tcBorders>
              <w:top w:val="nil"/>
              <w:left w:val="nil"/>
              <w:bottom w:val="nil"/>
              <w:right w:val="nil"/>
            </w:tcBorders>
            <w:noWrap/>
            <w:vAlign w:val="center"/>
          </w:tcPr>
          <w:p w14:paraId="6DCC5F29">
            <w:pPr>
              <w:rPr>
                <w:rFonts w:ascii="Times New Roman" w:hAnsi="Times New Roman" w:eastAsia="宋体" w:cs="Times New Roman"/>
                <w:szCs w:val="21"/>
              </w:rPr>
            </w:pPr>
            <w:bookmarkStart w:id="2" w:name="_Hlk231903385"/>
            <w:r>
              <w:rPr>
                <w:rFonts w:hint="eastAsia" w:ascii="Times New Roman" w:hAnsi="Times New Roman" w:eastAsia="宋体" w:cs="Times New Roman"/>
                <w:szCs w:val="21"/>
                <w:lang w:val="en-US" w:eastAsia="zh-CN"/>
              </w:rPr>
              <w:t>微塑料</w:t>
            </w:r>
          </w:p>
        </w:tc>
        <w:tc>
          <w:tcPr>
            <w:tcW w:w="4536" w:type="dxa"/>
            <w:tcBorders>
              <w:top w:val="nil"/>
              <w:left w:val="nil"/>
              <w:bottom w:val="nil"/>
              <w:right w:val="nil"/>
            </w:tcBorders>
            <w:noWrap/>
            <w:vAlign w:val="center"/>
          </w:tcPr>
          <w:p w14:paraId="0B6E0AAC">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品牌</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CNW (上海安谱实验科技股份有限公司旗下品牌)</w:t>
            </w:r>
          </w:p>
          <w:p w14:paraId="16B456F0">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产品类型</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微塑料标准品 (用于环境、食品等领域的检测分析)</w:t>
            </w:r>
          </w:p>
          <w:p w14:paraId="546BA7DF">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完整货号</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CFEQ-4-550051-0100</w:t>
            </w:r>
          </w:p>
        </w:tc>
      </w:tr>
      <w:bookmarkEnd w:id="2"/>
      <w:tr w14:paraId="30981401">
        <w:tblPrEx>
          <w:tblCellMar>
            <w:top w:w="0" w:type="dxa"/>
            <w:left w:w="108" w:type="dxa"/>
            <w:bottom w:w="0" w:type="dxa"/>
            <w:right w:w="108" w:type="dxa"/>
          </w:tblCellMar>
        </w:tblPrEx>
        <w:trPr>
          <w:trHeight w:val="567" w:hRule="atLeast"/>
          <w:jc w:val="center"/>
        </w:trPr>
        <w:tc>
          <w:tcPr>
            <w:tcW w:w="2553" w:type="dxa"/>
            <w:tcBorders>
              <w:top w:val="nil"/>
              <w:left w:val="nil"/>
              <w:bottom w:val="nil"/>
              <w:right w:val="nil"/>
            </w:tcBorders>
            <w:noWrap/>
            <w:vAlign w:val="center"/>
          </w:tcPr>
          <w:p w14:paraId="3649BFD5">
            <w:pPr>
              <w:rPr>
                <w:rFonts w:ascii="Times New Roman" w:hAnsi="Times New Roman" w:eastAsia="宋体" w:cs="Times New Roman"/>
                <w:szCs w:val="21"/>
              </w:rPr>
            </w:pPr>
            <w:r>
              <w:rPr>
                <w:rFonts w:hint="eastAsia" w:ascii="Times New Roman" w:hAnsi="Times New Roman" w:eastAsia="宋体" w:cs="Times New Roman"/>
                <w:szCs w:val="21"/>
                <w:lang w:val="en-US" w:eastAsia="zh-CN"/>
              </w:rPr>
              <w:t>微塑料</w:t>
            </w:r>
          </w:p>
        </w:tc>
        <w:tc>
          <w:tcPr>
            <w:tcW w:w="4536" w:type="dxa"/>
            <w:tcBorders>
              <w:top w:val="nil"/>
              <w:left w:val="nil"/>
              <w:bottom w:val="nil"/>
              <w:right w:val="nil"/>
            </w:tcBorders>
            <w:noWrap/>
            <w:vAlign w:val="center"/>
          </w:tcPr>
          <w:p w14:paraId="46511B7B">
            <w:pP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实验室提供</w:t>
            </w:r>
          </w:p>
        </w:tc>
      </w:tr>
      <w:tr w14:paraId="2BF5A7B0">
        <w:tblPrEx>
          <w:tblCellMar>
            <w:top w:w="0" w:type="dxa"/>
            <w:left w:w="108" w:type="dxa"/>
            <w:bottom w:w="0" w:type="dxa"/>
            <w:right w:w="108" w:type="dxa"/>
          </w:tblCellMar>
        </w:tblPrEx>
        <w:trPr>
          <w:trHeight w:val="567" w:hRule="atLeast"/>
          <w:jc w:val="center"/>
        </w:trPr>
        <w:tc>
          <w:tcPr>
            <w:tcW w:w="2553" w:type="dxa"/>
            <w:tcBorders>
              <w:top w:val="nil"/>
              <w:left w:val="nil"/>
              <w:bottom w:val="single" w:color="auto" w:sz="4" w:space="0"/>
              <w:right w:val="nil"/>
            </w:tcBorders>
            <w:noWrap/>
            <w:vAlign w:val="center"/>
          </w:tcPr>
          <w:p w14:paraId="5544276E">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蒸馏水</w:t>
            </w:r>
          </w:p>
        </w:tc>
        <w:tc>
          <w:tcPr>
            <w:tcW w:w="4536" w:type="dxa"/>
            <w:tcBorders>
              <w:top w:val="nil"/>
              <w:left w:val="nil"/>
              <w:bottom w:val="single" w:color="auto" w:sz="4" w:space="0"/>
              <w:right w:val="nil"/>
            </w:tcBorders>
            <w:vAlign w:val="center"/>
          </w:tcPr>
          <w:p w14:paraId="32A9823A">
            <w:pP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实验室提供</w:t>
            </w:r>
          </w:p>
        </w:tc>
      </w:tr>
      <w:bookmarkEnd w:id="1"/>
    </w:tbl>
    <w:p w14:paraId="074A1C22">
      <w:pPr>
        <w:ind w:firstLine="420"/>
        <w:jc w:val="both"/>
        <w:rPr>
          <w:rFonts w:ascii="Times New Roman" w:hAnsi="Times New Roman" w:eastAsia="宋体" w:cs="Times New Roman"/>
          <w:szCs w:val="21"/>
        </w:rPr>
      </w:pPr>
      <w:r>
        <w:rPr>
          <w:rFonts w:ascii="Times New Roman" w:hAnsi="Times New Roman" w:eastAsia="宋体" w:cs="Times New Roman"/>
          <w:szCs w:val="21"/>
        </w:rPr>
        <w:t>实验仪器</w:t>
      </w:r>
      <w:r>
        <w:rPr>
          <w:rFonts w:hint="eastAsia" w:ascii="Times New Roman" w:hAnsi="Times New Roman" w:eastAsia="宋体" w:cs="Times New Roman"/>
          <w:szCs w:val="21"/>
          <w:lang w:eastAsia="zh-CN"/>
        </w:rPr>
        <w:t>、</w:t>
      </w:r>
      <w:r>
        <w:rPr>
          <w:rFonts w:ascii="Times New Roman" w:hAnsi="Times New Roman" w:eastAsia="宋体" w:cs="Times New Roman"/>
          <w:szCs w:val="21"/>
        </w:rPr>
        <w:t>耗材：</w:t>
      </w:r>
    </w:p>
    <w:p w14:paraId="68472FF7">
      <w:pPr>
        <w:ind w:firstLine="420"/>
        <w:rPr>
          <w:rFonts w:ascii="Times New Roman" w:hAnsi="Times New Roman" w:eastAsia="宋体" w:cs="Times New Roman"/>
          <w:szCs w:val="21"/>
        </w:rPr>
      </w:pPr>
      <w:r>
        <w:rPr>
          <w:rFonts w:ascii="Times New Roman" w:hAnsi="Times New Roman" w:eastAsia="宋体" w:cs="Times New Roman"/>
          <w:szCs w:val="21"/>
        </w:rPr>
        <w:t>1.5ml、5ml、50ml离心管，9cm培养皿、注射器、2μm滤膜，各式移液枪与枪头。</w:t>
      </w:r>
    </w:p>
    <w:p w14:paraId="260C6209">
      <w:pPr>
        <w:ind w:firstLine="420"/>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冰箱、斑马鱼养殖繁育相关设备</w:t>
      </w:r>
    </w:p>
    <w:p w14:paraId="01F5E122">
      <w:pPr>
        <w:numPr>
          <w:ilvl w:val="0"/>
          <w:numId w:val="2"/>
        </w:numPr>
        <w:ind w:leftChars="0"/>
        <w:rPr>
          <w:rFonts w:ascii="Times New Roman" w:hAnsi="Times New Roman" w:eastAsia="黑体" w:cs="Times New Roman"/>
          <w:sz w:val="28"/>
          <w:szCs w:val="28"/>
        </w:rPr>
      </w:pPr>
      <w:r>
        <w:rPr>
          <w:rFonts w:ascii="Times New Roman" w:hAnsi="Times New Roman" w:eastAsia="黑体" w:cs="Times New Roman"/>
          <w:sz w:val="28"/>
          <w:szCs w:val="28"/>
        </w:rPr>
        <w:t>实验步骤</w:t>
      </w:r>
    </w:p>
    <w:p w14:paraId="72004114">
      <w:pPr>
        <w:numPr>
          <w:ilvl w:val="0"/>
          <w:numId w:val="3"/>
        </w:numPr>
        <w:rPr>
          <w:rFonts w:hint="eastAsia"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微塑料暴露</w:t>
      </w:r>
    </w:p>
    <w:p w14:paraId="2B64F1A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受试生物：AB系斑马鱼（3-4月龄性成熟）</w:t>
      </w:r>
    </w:p>
    <w:p w14:paraId="4A18573A">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受试物：100 nm 聚苯乙烯微塑料（PS-NPs）</w:t>
      </w:r>
    </w:p>
    <w:p w14:paraId="482BDBA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暴露方式：水体暴露（静态置换法，每24小时更换一半新鲜暴露液以保证浓度稳定）</w:t>
      </w:r>
    </w:p>
    <w:p w14:paraId="16E959AC">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浓度设置：</w:t>
      </w:r>
    </w:p>
    <w:p w14:paraId="51957122">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对照组：曝气养鱼水（含0.01% 表面活性剂(Tween-20），与处理组一致，用于分散颗粒）。</w:t>
      </w:r>
    </w:p>
    <w:p w14:paraId="3B1C3F8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低浓度组：0.1 mg/L（模拟环境相关浓度或略高）。</w:t>
      </w:r>
    </w:p>
    <w:p w14:paraId="4E78AED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高浓度组：10 mg/L（用于观察明确毒性效应）。</w:t>
      </w:r>
    </w:p>
    <w:p w14:paraId="24B96BE7">
      <w:pPr>
        <w:numPr>
          <w:ilvl w:val="0"/>
          <w:numId w:val="3"/>
        </w:numPr>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RNA测序</w:t>
      </w:r>
    </w:p>
    <w:p w14:paraId="2F87D814">
      <w:pPr>
        <w:ind w:firstLine="420" w:firstLineChars="20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交由公司进行，耗时约2周，得全转录组数据</w:t>
      </w:r>
    </w:p>
    <w:p w14:paraId="27C1FB2F">
      <w:pPr>
        <w:numPr>
          <w:ilvl w:val="0"/>
          <w:numId w:val="3"/>
        </w:numPr>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数据分析</w:t>
      </w:r>
    </w:p>
    <w:p w14:paraId="1399D608">
      <w:pPr>
        <w:numPr>
          <w:ilvl w:val="1"/>
          <w:numId w:val="3"/>
        </w:numPr>
        <w:rPr>
          <w:rFonts w:hint="eastAsia"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RNA分析代码</w:t>
      </w:r>
    </w:p>
    <w:p w14:paraId="300C5EFE">
      <w:pPr>
        <w:ind w:firstLine="420" w:firstLineChars="20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具体代码如下，因为RNA转录组数据过大，存于课题组服务器上，故此代码在实验室电脑上运行；</w:t>
      </w:r>
    </w:p>
    <w:p w14:paraId="5BD8FF29">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#!/bin/bash</w:t>
      </w:r>
    </w:p>
    <w:p w14:paraId="41A4DB4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w:t>
      </w:r>
    </w:p>
    <w:p w14:paraId="2BDDC8C7">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补完脚本：对每个 BAM 单独运行 featureCounts + Salmon + MultiQC</w:t>
      </w:r>
    </w:p>
    <w:p w14:paraId="47C3BA6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适用于斑马鱼数据（无前缀）</w:t>
      </w:r>
    </w:p>
    <w:p w14:paraId="688A2E3A">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w:t>
      </w:r>
    </w:p>
    <w:p w14:paraId="07488D22">
      <w:pPr>
        <w:ind w:firstLine="420" w:firstLineChars="200"/>
        <w:rPr>
          <w:rFonts w:hint="default" w:ascii="Times New Roman" w:hAnsi="Times New Roman" w:eastAsia="宋体" w:cs="Times New Roman"/>
          <w:szCs w:val="21"/>
          <w:lang w:val="en-US" w:eastAsia="zh-CN"/>
        </w:rPr>
      </w:pPr>
    </w:p>
    <w:p w14:paraId="2062FE8D">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set -euo pipefail</w:t>
      </w:r>
    </w:p>
    <w:p w14:paraId="57BDA14F">
      <w:pPr>
        <w:ind w:firstLine="420" w:firstLineChars="200"/>
        <w:rPr>
          <w:rFonts w:hint="default" w:ascii="Times New Roman" w:hAnsi="Times New Roman" w:eastAsia="宋体" w:cs="Times New Roman"/>
          <w:szCs w:val="21"/>
          <w:lang w:val="en-US" w:eastAsia="zh-CN"/>
        </w:rPr>
      </w:pPr>
    </w:p>
    <w:p w14:paraId="0F8759CC">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 用户配置 ----------</w:t>
      </w:r>
    </w:p>
    <w:p w14:paraId="15B88AD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REF_GTF="/path/to/your/zebrafish/reference/zebrafish.gtf"</w:t>
      </w:r>
    </w:p>
    <w:p w14:paraId="5C726719">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SALMON_INDEX="/path/to/your/zebrafish/reference/salmon_index"</w:t>
      </w:r>
    </w:p>
    <w:p w14:paraId="18B2572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THREADS=8</w:t>
      </w:r>
    </w:p>
    <w:p w14:paraId="28CB0E06">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PARALLEL_JOBS=3</w:t>
      </w:r>
    </w:p>
    <w:p w14:paraId="35B274C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OUTPUT_ROOT="./zebrafish_results"   # 与主脚本一致</w:t>
      </w:r>
    </w:p>
    <w:p w14:paraId="1B02FD4B">
      <w:pPr>
        <w:ind w:firstLine="420" w:firstLineChars="200"/>
        <w:rPr>
          <w:rFonts w:hint="default" w:ascii="Times New Roman" w:hAnsi="Times New Roman" w:eastAsia="宋体" w:cs="Times New Roman"/>
          <w:szCs w:val="21"/>
          <w:lang w:val="en-US" w:eastAsia="zh-CN"/>
        </w:rPr>
      </w:pPr>
    </w:p>
    <w:p w14:paraId="4E8789F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 确保工具可用 ----------</w:t>
      </w:r>
    </w:p>
    <w:p w14:paraId="5586F5D2">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for cmd in featureCounts salmon multiqc; do</w:t>
      </w:r>
    </w:p>
    <w:p w14:paraId="57E7FDA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if ! command -v $cmd &amp;&gt; /dev/null; then</w:t>
      </w:r>
    </w:p>
    <w:p w14:paraId="081F1BE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"ERROR: $cmd not found."; exit 1</w:t>
      </w:r>
    </w:p>
    <w:p w14:paraId="32686C82">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fi</w:t>
      </w:r>
    </w:p>
    <w:p w14:paraId="1CAA4082">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done</w:t>
      </w:r>
    </w:p>
    <w:p w14:paraId="736D1E17">
      <w:pPr>
        <w:ind w:firstLine="420" w:firstLineChars="200"/>
        <w:rPr>
          <w:rFonts w:hint="default" w:ascii="Times New Roman" w:hAnsi="Times New Roman" w:eastAsia="宋体" w:cs="Times New Roman"/>
          <w:szCs w:val="21"/>
          <w:lang w:val="en-US" w:eastAsia="zh-CN"/>
        </w:rPr>
      </w:pPr>
    </w:p>
    <w:p w14:paraId="7D74FCC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 处理单个 BAM ----------</w:t>
      </w:r>
    </w:p>
    <w:p w14:paraId="0F8576B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process_one() {</w:t>
      </w:r>
    </w:p>
    <w:p w14:paraId="37DA76F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bam="$1"</w:t>
      </w:r>
    </w:p>
    <w:p w14:paraId="528F6CE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sample_dir=$(dirname "$(dirname "$bam")")   # 样本根目录</w:t>
      </w:r>
    </w:p>
    <w:p w14:paraId="2B7BA3C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base=$(basename "$bam" ".Aligned.sortedByCoord.out.bam")</w:t>
      </w:r>
    </w:p>
    <w:p w14:paraId="6688BBF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sample_name="$base"</w:t>
      </w:r>
    </w:p>
    <w:p w14:paraId="22A7BF81">
      <w:pPr>
        <w:ind w:firstLine="420" w:firstLineChars="200"/>
        <w:rPr>
          <w:rFonts w:hint="default" w:ascii="Times New Roman" w:hAnsi="Times New Roman" w:eastAsia="宋体" w:cs="Times New Roman"/>
          <w:szCs w:val="21"/>
          <w:lang w:val="en-US" w:eastAsia="zh-CN"/>
        </w:rPr>
      </w:pPr>
    </w:p>
    <w:p w14:paraId="2C1DF1E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w:t>
      </w:r>
    </w:p>
    <w:p w14:paraId="4E66280E">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"Processing sample: $sample_name"</w:t>
      </w:r>
    </w:p>
    <w:p w14:paraId="65249B3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"BAM: $bam"</w:t>
      </w:r>
    </w:p>
    <w:p w14:paraId="7DFA2BE5">
      <w:pPr>
        <w:ind w:firstLine="420" w:firstLineChars="200"/>
        <w:rPr>
          <w:rFonts w:hint="default" w:ascii="Times New Roman" w:hAnsi="Times New Roman" w:eastAsia="宋体" w:cs="Times New Roman"/>
          <w:szCs w:val="21"/>
          <w:lang w:val="en-US" w:eastAsia="zh-CN"/>
        </w:rPr>
      </w:pPr>
    </w:p>
    <w:p w14:paraId="3DF9F1EE">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trim_dir="${sample_dir}/trimmed"</w:t>
      </w:r>
    </w:p>
    <w:p w14:paraId="025E3CFE">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quant_dir="${sample_dir}/quantification"</w:t>
      </w:r>
    </w:p>
    <w:p w14:paraId="656851FD">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qc_dir="${sample_dir}/qc"</w:t>
      </w:r>
    </w:p>
    <w:p w14:paraId="359B50C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mkdir -p "${quant_dir}" "${qc_dir}"</w:t>
      </w:r>
    </w:p>
    <w:p w14:paraId="270EB922">
      <w:pPr>
        <w:ind w:firstLine="420" w:firstLineChars="200"/>
        <w:rPr>
          <w:rFonts w:hint="default" w:ascii="Times New Roman" w:hAnsi="Times New Roman" w:eastAsia="宋体" w:cs="Times New Roman"/>
          <w:szCs w:val="21"/>
          <w:lang w:val="en-US" w:eastAsia="zh-CN"/>
        </w:rPr>
      </w:pPr>
    </w:p>
    <w:p w14:paraId="38007F6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 featureCounts</w:t>
      </w:r>
    </w:p>
    <w:p w14:paraId="5F6D8B37">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out_count="${quant_dir}/${sample_name}_featureCounts.txt"</w:t>
      </w:r>
    </w:p>
    <w:p w14:paraId="504E8EB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if [[ -f "$out_count" ]]; then</w:t>
      </w:r>
    </w:p>
    <w:p w14:paraId="0E598ACA">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"FeatureCounts already exists: $out_count, skipping."</w:t>
      </w:r>
    </w:p>
    <w:p w14:paraId="076F32B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else</w:t>
      </w:r>
    </w:p>
    <w:p w14:paraId="635166BE">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"[1/3] Running featureCounts..."</w:t>
      </w:r>
    </w:p>
    <w:p w14:paraId="62C50CA9">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featureCounts -a "${REF_GTF}" \</w:t>
      </w:r>
    </w:p>
    <w:p w14:paraId="30F3943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-o "$out_count" \</w:t>
      </w:r>
    </w:p>
    <w:p w14:paraId="574BF0C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-t exon -g gene_id -s 0 -p -T ${THREADS} \</w:t>
      </w:r>
    </w:p>
    <w:p w14:paraId="1D8255FE">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"$bam" \</w:t>
      </w:r>
    </w:p>
    <w:p w14:paraId="71079956">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 { echo "ERROR: featureCounts failed for $sample_name"; exit 1; }</w:t>
      </w:r>
    </w:p>
    <w:p w14:paraId="1DC7475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fi</w:t>
      </w:r>
    </w:p>
    <w:p w14:paraId="4ECAB5B4">
      <w:pPr>
        <w:ind w:firstLine="420" w:firstLineChars="200"/>
        <w:rPr>
          <w:rFonts w:hint="default" w:ascii="Times New Roman" w:hAnsi="Times New Roman" w:eastAsia="宋体" w:cs="Times New Roman"/>
          <w:szCs w:val="21"/>
          <w:lang w:val="en-US" w:eastAsia="zh-CN"/>
        </w:rPr>
      </w:pPr>
    </w:p>
    <w:p w14:paraId="606DD87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 Salmon（需要 trimmed fastq，但可能在处理 BAM 时已存在）</w:t>
      </w:r>
    </w:p>
    <w:p w14:paraId="6208238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salmon_out="${quant_dir}/${sample_name}_salmon"</w:t>
      </w:r>
    </w:p>
    <w:p w14:paraId="5509461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if [[ -d "$salmon_out" ]]; then</w:t>
      </w:r>
    </w:p>
    <w:p w14:paraId="65C5069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"Salmon already exists: $salmon_out, skipping."</w:t>
      </w:r>
    </w:p>
    <w:p w14:paraId="19B93C59">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else</w:t>
      </w:r>
    </w:p>
    <w:p w14:paraId="6C1ABEE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"[2/3] Running Salmon..."</w:t>
      </w:r>
    </w:p>
    <w:p w14:paraId="023BAE6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if [[ -f "${trim_dir}/${sample_name}_R1_trimmed.fastq.gz" ]]; then</w:t>
      </w:r>
    </w:p>
    <w:p w14:paraId="3E139477">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salmon quant -i "${SALMON_INDEX}" \</w:t>
      </w:r>
    </w:p>
    <w:p w14:paraId="663076F7">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 A \</w:t>
      </w:r>
    </w:p>
    <w:p w14:paraId="481ABA7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-1 "${trim_dir}/${sample_name}_R1_trimmed.fastq.gz" \</w:t>
      </w:r>
    </w:p>
    <w:p w14:paraId="124B046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-2 "${trim_dir}/${sample_name}_R2_trimmed.fastq.gz" \</w:t>
      </w:r>
    </w:p>
    <w:p w14:paraId="74DA9C39">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-p ${THREADS} \</w:t>
      </w:r>
    </w:p>
    <w:p w14:paraId="52037BE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-o "$salmon_out" \</w:t>
      </w:r>
    </w:p>
    <w:p w14:paraId="204C0AC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--validateMappings --gcBias --seqBias \</w:t>
      </w:r>
    </w:p>
    <w:p w14:paraId="2D140DA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 { echo "ERROR: Salmon failed for $sample_name"; exit 1; }</w:t>
      </w:r>
    </w:p>
    <w:p w14:paraId="703845B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else</w:t>
      </w:r>
    </w:p>
    <w:p w14:paraId="11800BA6">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"WARNING: Trimmed fastq not found, skipping Salmon for $sample_name"</w:t>
      </w:r>
    </w:p>
    <w:p w14:paraId="3BA58F4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fi</w:t>
      </w:r>
    </w:p>
    <w:p w14:paraId="2AE6A18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fi</w:t>
      </w:r>
    </w:p>
    <w:p w14:paraId="7416E9CD">
      <w:pPr>
        <w:ind w:firstLine="420" w:firstLineChars="200"/>
        <w:rPr>
          <w:rFonts w:hint="default" w:ascii="Times New Roman" w:hAnsi="Times New Roman" w:eastAsia="宋体" w:cs="Times New Roman"/>
          <w:szCs w:val="21"/>
          <w:lang w:val="en-US" w:eastAsia="zh-CN"/>
        </w:rPr>
      </w:pPr>
    </w:p>
    <w:p w14:paraId="5B529DE7">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 MultiQC</w:t>
      </w:r>
    </w:p>
    <w:p w14:paraId="3C6959FC">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local out_multiqc="${qc_dir}/${sample_name}_multiqc_report.html"</w:t>
      </w:r>
    </w:p>
    <w:p w14:paraId="10266F8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if [[ -f "$out_multiqc" ]]; then</w:t>
      </w:r>
    </w:p>
    <w:p w14:paraId="375026C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"MultiQC already exists: $out_multiqc, skipping."</w:t>
      </w:r>
    </w:p>
    <w:p w14:paraId="46993FF6">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else</w:t>
      </w:r>
    </w:p>
    <w:p w14:paraId="1FC6AC1D">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"[3/3] Running MultiQC..."</w:t>
      </w:r>
    </w:p>
    <w:p w14:paraId="1D4D2AC4">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multiqc "${qc_dir}" "${sample_dir}/alignment" "${quant_dir}" \</w:t>
      </w:r>
    </w:p>
    <w:p w14:paraId="01B5B440">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-o "${qc_dir}" -n "${sample_name}_multiqc_report" \</w:t>
      </w:r>
    </w:p>
    <w:p w14:paraId="1E872AC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 { echo "ERROR: MultiQC failed for $sample_name"; exit 1; }</w:t>
      </w:r>
    </w:p>
    <w:p w14:paraId="6D3FC9A4">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fi</w:t>
      </w:r>
    </w:p>
    <w:p w14:paraId="4E77BE3B">
      <w:pPr>
        <w:ind w:firstLine="420" w:firstLineChars="200"/>
        <w:rPr>
          <w:rFonts w:hint="default" w:ascii="Times New Roman" w:hAnsi="Times New Roman" w:eastAsia="宋体" w:cs="Times New Roman"/>
          <w:szCs w:val="21"/>
          <w:lang w:val="en-US" w:eastAsia="zh-CN"/>
        </w:rPr>
      </w:pPr>
    </w:p>
    <w:p w14:paraId="6BCA956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"Finished: $sample_name"</w:t>
      </w:r>
    </w:p>
    <w:p w14:paraId="1BCE88E4">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p w14:paraId="3690AAEB">
      <w:pPr>
        <w:ind w:firstLine="420" w:firstLineChars="200"/>
        <w:rPr>
          <w:rFonts w:hint="default" w:ascii="Times New Roman" w:hAnsi="Times New Roman" w:eastAsia="宋体" w:cs="Times New Roman"/>
          <w:szCs w:val="21"/>
          <w:lang w:val="en-US" w:eastAsia="zh-CN"/>
        </w:rPr>
      </w:pPr>
    </w:p>
    <w:p w14:paraId="2C9E1D6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export -f process_one</w:t>
      </w:r>
    </w:p>
    <w:p w14:paraId="5FF19EB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export REF_GTF SALMON_INDEX THREADS</w:t>
      </w:r>
    </w:p>
    <w:p w14:paraId="2C698EEF">
      <w:pPr>
        <w:ind w:firstLine="420" w:firstLineChars="200"/>
        <w:rPr>
          <w:rFonts w:hint="default" w:ascii="Times New Roman" w:hAnsi="Times New Roman" w:eastAsia="宋体" w:cs="Times New Roman"/>
          <w:szCs w:val="21"/>
          <w:lang w:val="en-US" w:eastAsia="zh-CN"/>
        </w:rPr>
      </w:pPr>
    </w:p>
    <w:p w14:paraId="0258236B">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查找所有 BAM</w:t>
      </w:r>
    </w:p>
    <w:p w14:paraId="7BE66A0A">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if [[ -d "$OUTPUT_ROOT" ]]; then</w:t>
      </w:r>
    </w:p>
    <w:p w14:paraId="355EEF1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bam_files=()</w:t>
      </w:r>
    </w:p>
    <w:p w14:paraId="11B7471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while IFS= read -r -d '' bam; do</w:t>
      </w:r>
    </w:p>
    <w:p w14:paraId="0CD758B4">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bam_files+=("$bam")</w:t>
      </w:r>
    </w:p>
    <w:p w14:paraId="5A34E9FD">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done &lt; &lt;(find "$OUTPUT_ROOT" -type f -path "*/alignment/*.Aligned.sortedByCoord.out.bam" -print0)</w:t>
      </w:r>
    </w:p>
    <w:p w14:paraId="0ADD0BD8">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else</w:t>
      </w:r>
    </w:p>
    <w:p w14:paraId="2D1DFFC2">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"ERROR: OUTPUT_ROOT directory not found: $OUTPUT_ROOT"</w:t>
      </w:r>
    </w:p>
    <w:p w14:paraId="2206ED02">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exit 1</w:t>
      </w:r>
    </w:p>
    <w:p w14:paraId="77519FD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fi</w:t>
      </w:r>
    </w:p>
    <w:p w14:paraId="6C4E807C">
      <w:pPr>
        <w:ind w:firstLine="420" w:firstLineChars="200"/>
        <w:rPr>
          <w:rFonts w:hint="default" w:ascii="Times New Roman" w:hAnsi="Times New Roman" w:eastAsia="宋体" w:cs="Times New Roman"/>
          <w:szCs w:val="21"/>
          <w:lang w:val="en-US" w:eastAsia="zh-CN"/>
        </w:rPr>
      </w:pPr>
    </w:p>
    <w:p w14:paraId="4246FDBC">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if [[ ${#bam_files[@]} -eq 0 ]]; then</w:t>
      </w:r>
    </w:p>
    <w:p w14:paraId="1259DC7C">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echo "ERROR: No BAM files found in $OUTPUT_ROOT."</w:t>
      </w:r>
    </w:p>
    <w:p w14:paraId="7C4A41F5">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exit 1</w:t>
      </w:r>
    </w:p>
    <w:p w14:paraId="7C808F11">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fi</w:t>
      </w:r>
    </w:p>
    <w:p w14:paraId="4B61C3D5">
      <w:pPr>
        <w:ind w:firstLine="420" w:firstLineChars="200"/>
        <w:rPr>
          <w:rFonts w:hint="default" w:ascii="Times New Roman" w:hAnsi="Times New Roman" w:eastAsia="宋体" w:cs="Times New Roman"/>
          <w:szCs w:val="21"/>
          <w:lang w:val="en-US" w:eastAsia="zh-CN"/>
        </w:rPr>
      </w:pPr>
    </w:p>
    <w:p w14:paraId="40671FCE">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echo "Found ${#bam_files[@]} BAM files."</w:t>
      </w:r>
    </w:p>
    <w:p w14:paraId="39A859D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printf "%s\0" "${bam_files[@]}" | \</w:t>
      </w:r>
    </w:p>
    <w:p w14:paraId="0A313E1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xargs -0 -P ${PARALLEL_JOBS} -I {} bash -c 'process_one "$@"' _ {}</w:t>
      </w:r>
    </w:p>
    <w:p w14:paraId="42748083">
      <w:pPr>
        <w:ind w:firstLine="420" w:firstLineChars="200"/>
        <w:rPr>
          <w:rFonts w:hint="default" w:ascii="Times New Roman" w:hAnsi="Times New Roman" w:eastAsia="宋体" w:cs="Times New Roman"/>
          <w:szCs w:val="21"/>
          <w:lang w:val="en-US" w:eastAsia="zh-CN"/>
        </w:rPr>
      </w:pPr>
    </w:p>
    <w:p w14:paraId="14BB4006">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echo "========================================"</w:t>
      </w:r>
    </w:p>
    <w:p w14:paraId="283D8143">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echo "All quantifications completed."</w:t>
      </w:r>
    </w:p>
    <w:p w14:paraId="06AFE64F">
      <w:pPr>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echo "========================================"</w:t>
      </w:r>
    </w:p>
    <w:p w14:paraId="50CA97BD">
      <w:pPr>
        <w:numPr>
          <w:ilvl w:val="0"/>
          <w:numId w:val="2"/>
        </w:numPr>
        <w:ind w:left="0" w:leftChars="0" w:firstLine="0" w:firstLineChars="0"/>
        <w:rPr>
          <w:rFonts w:ascii="Times New Roman" w:hAnsi="Times New Roman" w:eastAsia="黑体" w:cs="Times New Roman"/>
          <w:sz w:val="28"/>
          <w:szCs w:val="28"/>
        </w:rPr>
      </w:pPr>
      <w:r>
        <w:rPr>
          <w:rFonts w:ascii="Times New Roman" w:hAnsi="Times New Roman" w:eastAsia="黑体" w:cs="Times New Roman"/>
          <w:sz w:val="28"/>
          <w:szCs w:val="28"/>
        </w:rPr>
        <w:t>实验现象、数据记录与实验结果</w:t>
      </w:r>
    </w:p>
    <w:p w14:paraId="6BCBD879">
      <w:pPr>
        <w:numPr>
          <w:ilvl w:val="0"/>
          <w:numId w:val="0"/>
        </w:numPr>
        <w:ind w:leftChars="0"/>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1.整体分析</w:t>
      </w:r>
    </w:p>
    <w:p w14:paraId="7E2F40D6">
      <w:pPr>
        <w:numPr>
          <w:ilvl w:val="0"/>
          <w:numId w:val="0"/>
        </w:numPr>
        <w:ind w:leftChars="0"/>
      </w:pPr>
      <w:r>
        <w:drawing>
          <wp:inline distT="0" distB="0" distL="114300" distR="114300">
            <wp:extent cx="5265420" cy="2260600"/>
            <wp:effectExtent l="0" t="0" r="508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65420" cy="2260600"/>
                    </a:xfrm>
                    <a:prstGeom prst="rect">
                      <a:avLst/>
                    </a:prstGeom>
                    <a:noFill/>
                    <a:ln>
                      <a:noFill/>
                    </a:ln>
                  </pic:spPr>
                </pic:pic>
              </a:graphicData>
            </a:graphic>
          </wp:inline>
        </w:drawing>
      </w:r>
    </w:p>
    <w:p w14:paraId="1A6FC0C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5" w:lineRule="atLeast"/>
        <w:ind w:left="0" w:right="0" w:firstLine="0"/>
        <w:jc w:val="left"/>
        <w:textAlignment w:val="baseline"/>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default"/>
          <w:lang w:val="en-US" w:eastAsia="zh-CN"/>
        </w:rPr>
        <w:t>差异基因整体分布火山图</w:t>
      </w:r>
      <w:r>
        <w:rPr>
          <w:rFonts w:hint="eastAsia"/>
          <w:lang w:val="en-US" w:eastAsia="zh-CN"/>
        </w:rPr>
        <w:t>：取基因表达矩阵中</w:t>
      </w:r>
      <w:r>
        <w:rPr>
          <w:rFonts w:hint="default"/>
          <w:lang w:val="en-US" w:eastAsia="zh-CN"/>
        </w:rPr>
        <w:t>全部</w:t>
      </w:r>
      <w:r>
        <w:rPr>
          <w:rFonts w:hint="eastAsia"/>
          <w:lang w:val="en-US" w:eastAsia="zh-CN"/>
        </w:rPr>
        <w:t>数据点</w:t>
      </w:r>
      <w:r>
        <w:rPr>
          <w:rFonts w:hint="default"/>
          <w:lang w:val="en-US" w:eastAsia="zh-CN"/>
        </w:rPr>
        <w:t>，灰色小点：非差异基因（背景噪音）</w:t>
      </w:r>
      <w:r>
        <w:rPr>
          <w:rFonts w:hint="eastAsia"/>
          <w:lang w:val="en-US" w:eastAsia="zh-CN"/>
        </w:rPr>
        <w:t>，</w:t>
      </w:r>
      <w:r>
        <w:rPr>
          <w:rFonts w:hint="default"/>
          <w:lang w:val="en-US" w:eastAsia="zh-CN"/>
        </w:rPr>
        <w:t>红色/蓝色点：差异基因（|log2FC|&gt;1）</w:t>
      </w:r>
    </w:p>
    <w:p w14:paraId="31152C3A">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5" w:lineRule="atLeast"/>
        <w:ind w:left="0" w:right="0" w:firstLine="0"/>
        <w:jc w:val="left"/>
        <w:textAlignment w:val="baseline"/>
        <w:rPr>
          <w:rFonts w:hint="eastAsia" w:ascii="Times New Roman" w:hAnsi="Times New Roman" w:cs="Times New Roman"/>
          <w:kern w:val="2"/>
          <w:sz w:val="21"/>
          <w:szCs w:val="21"/>
          <w:lang w:val="en-US" w:eastAsia="zh-CN" w:bidi="ar-SA"/>
        </w:rPr>
      </w:pPr>
      <w:r>
        <w:rPr>
          <w:rFonts w:hint="eastAsia"/>
          <w:lang w:val="en-US" w:eastAsia="zh-CN"/>
        </w:rPr>
        <w:t xml:space="preserve">    </w:t>
      </w:r>
      <w:r>
        <w:rPr>
          <w:rFonts w:hint="eastAsia" w:ascii="Times New Roman" w:hAnsi="Times New Roman" w:eastAsia="宋体" w:cs="Times New Roman"/>
          <w:kern w:val="2"/>
          <w:sz w:val="21"/>
          <w:szCs w:val="21"/>
          <w:lang w:val="en-US" w:eastAsia="zh-CN" w:bidi="ar-SA"/>
        </w:rPr>
        <w:t>具体而言，</w:t>
      </w:r>
      <w:r>
        <w:rPr>
          <w:rFonts w:hint="default" w:ascii="Times New Roman" w:hAnsi="Times New Roman" w:eastAsia="宋体" w:cs="Times New Roman"/>
          <w:kern w:val="2"/>
          <w:sz w:val="21"/>
          <w:szCs w:val="21"/>
          <w:lang w:val="en-US" w:eastAsia="zh-CN" w:bidi="ar-SA"/>
        </w:rPr>
        <w:t>加载</w:t>
      </w:r>
      <w:r>
        <w:rPr>
          <w:rFonts w:hint="eastAsia" w:ascii="Times New Roman" w:hAnsi="Times New Roman" w:eastAsia="宋体" w:cs="Times New Roman"/>
          <w:kern w:val="2"/>
          <w:sz w:val="21"/>
          <w:szCs w:val="21"/>
          <w:lang w:val="en-US" w:eastAsia="zh-CN" w:bidi="ar-SA"/>
        </w:rPr>
        <w:t>3类样本中</w:t>
      </w:r>
      <w:r>
        <w:rPr>
          <w:rFonts w:hint="default" w:ascii="Times New Roman" w:hAnsi="Times New Roman" w:eastAsia="宋体" w:cs="Times New Roman"/>
          <w:kern w:val="2"/>
          <w:sz w:val="21"/>
          <w:szCs w:val="21"/>
          <w:lang w:val="en-US" w:eastAsia="zh-CN" w:bidi="ar-SA"/>
        </w:rPr>
        <w:t>全部数据</w:t>
      </w:r>
      <w:r>
        <w:rPr>
          <w:rFonts w:hint="eastAsia" w:ascii="Times New Roman" w:hAnsi="Times New Roman" w:cs="Times New Roman"/>
          <w:kern w:val="2"/>
          <w:sz w:val="21"/>
          <w:szCs w:val="21"/>
          <w:lang w:val="en-US" w:eastAsia="zh-CN" w:bidi="ar-SA"/>
        </w:rPr>
        <w:t>；</w:t>
      </w:r>
    </w:p>
    <w:p w14:paraId="4B1CD6A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5" w:lineRule="atLeast"/>
        <w:ind w:left="0" w:right="0" w:firstLine="420" w:firstLineChars="200"/>
        <w:jc w:val="left"/>
        <w:textAlignment w:val="baseline"/>
        <w:rPr>
          <w:rFonts w:hint="eastAsia" w:ascii="Times New Roman" w:hAnsi="Times New Roman"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过滤低表达</w:t>
      </w:r>
      <w:r>
        <w:rPr>
          <w:rFonts w:hint="eastAsia" w:ascii="Times New Roman" w:hAnsi="Times New Roman"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保留至少2个样本&gt;10的基因</w:t>
      </w:r>
      <w:r>
        <w:rPr>
          <w:rFonts w:hint="eastAsia" w:ascii="Times New Roman" w:hAnsi="Times New Roman" w:cs="Times New Roman"/>
          <w:kern w:val="2"/>
          <w:sz w:val="21"/>
          <w:szCs w:val="21"/>
          <w:lang w:val="en-US" w:eastAsia="zh-CN" w:bidi="ar-SA"/>
        </w:rPr>
        <w:t>；</w:t>
      </w:r>
    </w:p>
    <w:p w14:paraId="7F37E0C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5" w:lineRule="atLeast"/>
        <w:ind w:left="0" w:right="0" w:firstLine="420" w:firstLineChars="200"/>
        <w:jc w:val="left"/>
        <w:textAlignment w:val="baseline"/>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全局计算log2FC</w:t>
      </w:r>
      <w:r>
        <w:rPr>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按差异大小重排</w:t>
      </w:r>
      <w:r>
        <w:rPr>
          <w:rFonts w:hint="eastAsia" w:ascii="Times New Roman" w:hAnsi="Times New Roman" w:eastAsia="宋体" w:cs="Times New Roman"/>
          <w:kern w:val="2"/>
          <w:sz w:val="21"/>
          <w:szCs w:val="21"/>
          <w:lang w:val="en-US" w:eastAsia="zh-CN" w:bidi="ar-SA"/>
        </w:rPr>
        <w:t>；</w:t>
      </w:r>
    </w:p>
    <w:p w14:paraId="5BAADB2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5" w:lineRule="atLeast"/>
        <w:ind w:left="0" w:right="0" w:firstLine="420" w:firstLineChars="200"/>
        <w:jc w:val="left"/>
        <w:textAlignment w:val="baseline"/>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以</w:t>
      </w:r>
      <w:r>
        <w:rPr>
          <w:rFonts w:hint="default" w:ascii="Times New Roman" w:hAnsi="Times New Roman" w:eastAsia="宋体" w:cs="Times New Roman"/>
          <w:kern w:val="2"/>
          <w:sz w:val="21"/>
          <w:szCs w:val="21"/>
          <w:lang w:val="en-US" w:eastAsia="zh-CN" w:bidi="ar-SA"/>
        </w:rPr>
        <w:t>abs(log2FC) &gt; 1</w:t>
      </w:r>
      <w:r>
        <w:rPr>
          <w:rFonts w:hint="eastAsia" w:ascii="Times New Roman" w:hAnsi="Times New Roman" w:eastAsia="宋体" w:cs="Times New Roman"/>
          <w:kern w:val="2"/>
          <w:sz w:val="21"/>
          <w:szCs w:val="21"/>
          <w:lang w:val="en-US" w:eastAsia="zh-CN" w:bidi="ar-SA"/>
        </w:rPr>
        <w:t>为指标，</w:t>
      </w:r>
      <w:r>
        <w:rPr>
          <w:rFonts w:hint="default" w:ascii="Times New Roman" w:hAnsi="Times New Roman" w:eastAsia="宋体" w:cs="Times New Roman"/>
          <w:kern w:val="2"/>
          <w:sz w:val="21"/>
          <w:szCs w:val="21"/>
          <w:lang w:val="en-US" w:eastAsia="zh-CN" w:bidi="ar-SA"/>
        </w:rPr>
        <w:t>筛选差异基因</w:t>
      </w:r>
      <w:r>
        <w:rPr>
          <w:rFonts w:hint="eastAsia" w:ascii="Times New Roman" w:hAnsi="Times New Roman" w:cs="Times New Roman"/>
          <w:kern w:val="2"/>
          <w:sz w:val="21"/>
          <w:szCs w:val="21"/>
          <w:lang w:val="en-US" w:eastAsia="zh-CN" w:bidi="ar-SA"/>
        </w:rPr>
        <w:t>，绘制</w:t>
      </w:r>
    </w:p>
    <w:p w14:paraId="059F9C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420" w:firstLineChars="200"/>
        <w:jc w:val="left"/>
        <w:textAlignment w:val="baseline"/>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图1的两张图可见大部分基因（横轴-1与+1之间浅灰色不分）不受微塑料影响。其中，</w:t>
      </w:r>
      <w:r>
        <w:rPr>
          <w:rFonts w:hint="default" w:ascii="Times New Roman" w:hAnsi="Times New Roman" w:eastAsia="宋体" w:cs="Times New Roman"/>
          <w:kern w:val="2"/>
          <w:sz w:val="21"/>
          <w:szCs w:val="21"/>
          <w:lang w:val="en-US" w:eastAsia="zh-CN" w:bidi="ar-SA"/>
        </w:rPr>
        <w:t>High vs wt（左图）</w:t>
      </w:r>
      <w:r>
        <w:rPr>
          <w:rFonts w:hint="eastAsia" w:ascii="Times New Roman" w:hAnsi="Times New Roman" w:eastAsia="宋体" w:cs="Times New Roman"/>
          <w:kern w:val="2"/>
          <w:sz w:val="21"/>
          <w:szCs w:val="21"/>
          <w:lang w:val="en-US" w:eastAsia="zh-CN" w:bidi="ar-SA"/>
        </w:rPr>
        <w:t>中</w:t>
      </w:r>
      <w:r>
        <w:rPr>
          <w:rFonts w:hint="default" w:ascii="Times New Roman" w:hAnsi="Times New Roman" w:eastAsia="宋体" w:cs="Times New Roman"/>
          <w:kern w:val="2"/>
          <w:sz w:val="21"/>
          <w:szCs w:val="21"/>
          <w:lang w:val="en-US" w:eastAsia="zh-CN" w:bidi="ar-SA"/>
        </w:rPr>
        <w:t>右侧有一大群红色点（~320个），说明高浓度暴露导致大量基因上调</w:t>
      </w:r>
      <w:r>
        <w:rPr>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左侧</w:t>
      </w:r>
      <w:r>
        <w:rPr>
          <w:rFonts w:hint="eastAsia" w:ascii="Times New Roman" w:hAnsi="Times New Roman" w:eastAsia="宋体" w:cs="Times New Roman"/>
          <w:kern w:val="2"/>
          <w:sz w:val="21"/>
          <w:szCs w:val="21"/>
          <w:lang w:val="en-US" w:eastAsia="zh-CN" w:bidi="ar-SA"/>
        </w:rPr>
        <w:t>蓝</w:t>
      </w:r>
      <w:r>
        <w:rPr>
          <w:rFonts w:hint="default" w:ascii="Times New Roman" w:hAnsi="Times New Roman" w:eastAsia="宋体" w:cs="Times New Roman"/>
          <w:kern w:val="2"/>
          <w:sz w:val="21"/>
          <w:szCs w:val="21"/>
          <w:lang w:val="en-US" w:eastAsia="zh-CN" w:bidi="ar-SA"/>
        </w:rPr>
        <w:t>色点较少（~52个），说明下调基因远少于上调基因整体呈右偏分布，暗示PS-NPs可能主要激活基因表达而非抑制</w:t>
      </w:r>
      <w:r>
        <w:rPr>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low vs wt（右图）</w:t>
      </w:r>
      <w:r>
        <w:rPr>
          <w:rFonts w:hint="eastAsia" w:ascii="Times New Roman" w:hAnsi="Times New Roman" w:eastAsia="宋体" w:cs="Times New Roman"/>
          <w:kern w:val="2"/>
          <w:sz w:val="21"/>
          <w:szCs w:val="21"/>
          <w:lang w:val="en-US" w:eastAsia="zh-CN" w:bidi="ar-SA"/>
        </w:rPr>
        <w:t>中</w:t>
      </w:r>
      <w:r>
        <w:rPr>
          <w:rFonts w:hint="default" w:ascii="Times New Roman" w:hAnsi="Times New Roman" w:eastAsia="宋体" w:cs="Times New Roman"/>
          <w:kern w:val="2"/>
          <w:sz w:val="21"/>
          <w:szCs w:val="21"/>
          <w:lang w:val="en-US" w:eastAsia="zh-CN" w:bidi="ar-SA"/>
        </w:rPr>
        <w:t>与High组类似，但差异基因更多（~447个</w:t>
      </w:r>
      <w:r>
        <w:rPr>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说明即使0.1 mg/L的低浓度也能引起显著转录响应</w:t>
      </w:r>
    </w:p>
    <w:p w14:paraId="7B7504B7">
      <w:pPr>
        <w:numPr>
          <w:ilvl w:val="0"/>
          <w:numId w:val="0"/>
        </w:numPr>
        <w:ind w:leftChars="0"/>
      </w:pPr>
      <w:r>
        <w:drawing>
          <wp:inline distT="0" distB="0" distL="114300" distR="114300">
            <wp:extent cx="5271135" cy="2226945"/>
            <wp:effectExtent l="0" t="0" r="12065" b="82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6"/>
                    <a:stretch>
                      <a:fillRect/>
                    </a:stretch>
                  </pic:blipFill>
                  <pic:spPr>
                    <a:xfrm>
                      <a:off x="0" y="0"/>
                      <a:ext cx="5271135" cy="2226945"/>
                    </a:xfrm>
                    <a:prstGeom prst="rect">
                      <a:avLst/>
                    </a:prstGeom>
                    <a:noFill/>
                    <a:ln>
                      <a:noFill/>
                    </a:ln>
                  </pic:spPr>
                </pic:pic>
              </a:graphicData>
            </a:graphic>
          </wp:inline>
        </w:drawing>
      </w:r>
    </w:p>
    <w:p w14:paraId="781504DA">
      <w:pPr>
        <w:pStyle w:val="2"/>
        <w:numPr>
          <w:ilvl w:val="0"/>
          <w:numId w:val="0"/>
        </w:numPr>
        <w:ind w:leftChars="0"/>
        <w:rPr>
          <w:rFonts w:hint="default" w:eastAsia="黑体"/>
          <w:lang w:val="en-US" w:eastAsia="zh-CN"/>
        </w:rPr>
      </w:pPr>
      <w:r>
        <w:t xml:space="preserve">图 </w:t>
      </w:r>
      <w:r>
        <w:rPr>
          <w:rFonts w:hint="eastAsia"/>
          <w:lang w:val="en-US" w:eastAsia="zh-CN"/>
        </w:rPr>
        <w:t>2 MA图：全数据散点，红色散点为差异基因</w:t>
      </w:r>
    </w:p>
    <w:p w14:paraId="6613A1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360" w:leftChars="0" w:right="0" w:rightChars="0" w:firstLine="210" w:firstLineChars="100"/>
        <w:textAlignment w:val="baseline"/>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 xml:space="preserve">   图2想表达的意思与图1类似，</w:t>
      </w:r>
      <w:r>
        <w:rPr>
          <w:rFonts w:hint="default" w:ascii="Times New Roman" w:hAnsi="Times New Roman" w:cs="Times New Roman"/>
          <w:kern w:val="2"/>
          <w:sz w:val="21"/>
          <w:szCs w:val="21"/>
          <w:lang w:val="en-US" w:eastAsia="zh-CN" w:bidi="ar-SA"/>
        </w:rPr>
        <w:t>横轴</w:t>
      </w:r>
      <w:r>
        <w:rPr>
          <w:rFonts w:hint="eastAsia" w:ascii="Times New Roman" w:hAnsi="Times New Roman" w:cs="Times New Roman"/>
          <w:kern w:val="2"/>
          <w:sz w:val="21"/>
          <w:szCs w:val="21"/>
          <w:lang w:val="en-US" w:eastAsia="zh-CN" w:bidi="ar-SA"/>
        </w:rPr>
        <w:t>为</w:t>
      </w:r>
      <w:r>
        <w:rPr>
          <w:rFonts w:hint="default" w:ascii="Times New Roman" w:hAnsi="Times New Roman" w:cs="Times New Roman"/>
          <w:kern w:val="2"/>
          <w:sz w:val="21"/>
          <w:szCs w:val="21"/>
          <w:lang w:val="en-US" w:eastAsia="zh-CN" w:bidi="ar-SA"/>
        </w:rPr>
        <w:t>平均表达量（log2刻度）</w:t>
      </w:r>
      <w:r>
        <w:rPr>
          <w:rFonts w:hint="eastAsia" w:ascii="Times New Roman" w:hAnsi="Times New Roman" w:cs="Times New Roman"/>
          <w:kern w:val="2"/>
          <w:sz w:val="21"/>
          <w:szCs w:val="21"/>
          <w:lang w:val="en-US" w:eastAsia="zh-CN" w:bidi="ar-SA"/>
        </w:rPr>
        <w:t>，</w:t>
      </w:r>
      <w:r>
        <w:rPr>
          <w:rFonts w:hint="default" w:ascii="Times New Roman" w:hAnsi="Times New Roman" w:cs="Times New Roman"/>
          <w:kern w:val="2"/>
          <w:sz w:val="21"/>
          <w:szCs w:val="21"/>
          <w:lang w:val="en-US" w:eastAsia="zh-CN" w:bidi="ar-SA"/>
        </w:rPr>
        <w:t>纵轴</w:t>
      </w:r>
      <w:r>
        <w:rPr>
          <w:rFonts w:hint="eastAsia" w:ascii="Times New Roman" w:hAnsi="Times New Roman" w:cs="Times New Roman"/>
          <w:kern w:val="2"/>
          <w:sz w:val="21"/>
          <w:szCs w:val="21"/>
          <w:lang w:val="en-US" w:eastAsia="zh-CN" w:bidi="ar-SA"/>
        </w:rPr>
        <w:t>为</w:t>
      </w:r>
      <w:r>
        <w:rPr>
          <w:rFonts w:hint="default" w:ascii="Times New Roman" w:hAnsi="Times New Roman" w:cs="Times New Roman"/>
          <w:kern w:val="2"/>
          <w:sz w:val="21"/>
          <w:szCs w:val="21"/>
          <w:lang w:val="en-US" w:eastAsia="zh-CN" w:bidi="ar-SA"/>
        </w:rPr>
        <w:t>log2 Fold Change</w:t>
      </w:r>
      <w:r>
        <w:rPr>
          <w:rFonts w:hint="eastAsia" w:ascii="Times New Roman" w:hAnsi="Times New Roman" w:cs="Times New Roman"/>
          <w:kern w:val="2"/>
          <w:sz w:val="21"/>
          <w:szCs w:val="21"/>
          <w:lang w:val="en-US" w:eastAsia="zh-CN" w:bidi="ar-SA"/>
        </w:rPr>
        <w:t>，由图可见无论高微塑料浓度还是低微塑料浓度，基因都呈整体漏斗形分布，即低表达基因计数波动大，fold change结果易被放大；高丰度基因，即我们常认为的管家基因相对稳定，不易被微塑料加入扰动；而差异基因（红点）位于中等表达量区域，同时与图1结果相同，上调基因明显多于下调基因，且低微塑料组差异基因更多</w:t>
      </w:r>
    </w:p>
    <w:p w14:paraId="2C190D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360" w:leftChars="0" w:right="0" w:rightChars="0" w:firstLine="210" w:firstLineChars="100"/>
        <w:textAlignment w:val="baseline"/>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drawing>
          <wp:inline distT="0" distB="0" distL="114300" distR="114300">
            <wp:extent cx="4497070" cy="3164840"/>
            <wp:effectExtent l="0" t="0" r="11430" b="10160"/>
            <wp:docPr id="9" name="图片 9" descr="72d772c391e92e01e3c5341db868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d772c391e92e01e3c5341db86880a"/>
                    <pic:cNvPicPr>
                      <a:picLocks noChangeAspect="1"/>
                    </pic:cNvPicPr>
                  </pic:nvPicPr>
                  <pic:blipFill>
                    <a:blip r:embed="rId7"/>
                    <a:stretch>
                      <a:fillRect/>
                    </a:stretch>
                  </pic:blipFill>
                  <pic:spPr>
                    <a:xfrm>
                      <a:off x="0" y="0"/>
                      <a:ext cx="4497070" cy="3164840"/>
                    </a:xfrm>
                    <a:prstGeom prst="rect">
                      <a:avLst/>
                    </a:prstGeom>
                  </pic:spPr>
                </pic:pic>
              </a:graphicData>
            </a:graphic>
          </wp:inline>
        </w:drawing>
      </w:r>
    </w:p>
    <w:p w14:paraId="2234475C">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360" w:leftChars="0" w:right="0" w:rightChars="0" w:firstLine="200" w:firstLineChars="100"/>
        <w:textAlignment w:val="baseline"/>
        <w:rPr>
          <w:rFonts w:hint="eastAsia"/>
          <w:lang w:val="en-US" w:eastAsia="zh-CN"/>
        </w:rPr>
      </w:pPr>
      <w:r>
        <w:t xml:space="preserve">图 </w:t>
      </w:r>
      <w:r>
        <w:rPr>
          <w:rFonts w:hint="eastAsia"/>
          <w:lang w:val="en-US" w:eastAsia="zh-CN"/>
        </w:rPr>
        <w:t>3 PCA图</w:t>
      </w:r>
    </w:p>
    <w:p w14:paraId="2F04244F">
      <w:pPr>
        <w:rPr>
          <w:rFonts w:hint="default"/>
          <w:lang w:val="en-US" w:eastAsia="zh-CN"/>
        </w:rPr>
      </w:pPr>
      <w:r>
        <w:rPr>
          <w:rFonts w:hint="eastAsia"/>
          <w:lang w:val="en-US" w:eastAsia="zh-CN"/>
        </w:rPr>
        <w:t xml:space="preserve"> 图3可看出与WT相比，微塑料暴露是差异主要来源，浓度差异是次要变异来源，且三类差异显著。</w:t>
      </w:r>
    </w:p>
    <w:p w14:paraId="363259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360" w:leftChars="0" w:right="0" w:rightChars="0" w:firstLine="280" w:firstLineChars="100"/>
        <w:textAlignment w:val="baseline"/>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2.差异基因分析</w:t>
      </w:r>
    </w:p>
    <w:p w14:paraId="5518A1B5">
      <w:pPr>
        <w:pStyle w:val="2"/>
        <w:numPr>
          <w:ilvl w:val="0"/>
          <w:numId w:val="0"/>
        </w:numPr>
        <w:ind w:leftChars="0"/>
        <w:rPr>
          <w:rFonts w:hint="eastAsia" w:ascii="Times New Roman" w:hAnsi="Times New Roman" w:eastAsia="宋体" w:cs="Times New Roman"/>
          <w:kern w:val="2"/>
          <w:sz w:val="21"/>
          <w:szCs w:val="21"/>
          <w:lang w:val="en-US" w:eastAsia="zh-CN" w:bidi="ar-SA"/>
        </w:rPr>
      </w:pPr>
    </w:p>
    <w:p w14:paraId="6FAE5B9F">
      <w:pPr>
        <w:pStyle w:val="2"/>
        <w:numPr>
          <w:ilvl w:val="0"/>
          <w:numId w:val="0"/>
        </w:numPr>
        <w:ind w:leftChars="0"/>
        <w:rPr>
          <w:rFonts w:hint="eastAsia" w:eastAsia="黑体"/>
          <w:lang w:val="en-US" w:eastAsia="zh-CN"/>
        </w:rPr>
      </w:pPr>
    </w:p>
    <w:p w14:paraId="2A579ADB">
      <w:pPr>
        <w:numPr>
          <w:ilvl w:val="0"/>
          <w:numId w:val="0"/>
        </w:numPr>
        <w:ind w:leftChars="0"/>
      </w:pPr>
      <w:r>
        <w:drawing>
          <wp:inline distT="0" distB="0" distL="114300" distR="114300">
            <wp:extent cx="3028950" cy="4720590"/>
            <wp:effectExtent l="0" t="0" r="635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3028950" cy="4720590"/>
                    </a:xfrm>
                    <a:prstGeom prst="rect">
                      <a:avLst/>
                    </a:prstGeom>
                    <a:noFill/>
                    <a:ln>
                      <a:noFill/>
                    </a:ln>
                  </pic:spPr>
                </pic:pic>
              </a:graphicData>
            </a:graphic>
          </wp:inline>
        </w:drawing>
      </w:r>
    </w:p>
    <w:p w14:paraId="3C048234">
      <w:pPr>
        <w:pStyle w:val="2"/>
        <w:numPr>
          <w:ilvl w:val="0"/>
          <w:numId w:val="0"/>
        </w:numPr>
        <w:ind w:leftChars="0"/>
        <w:rPr>
          <w:rFonts w:hint="eastAsia"/>
          <w:lang w:val="en-US" w:eastAsia="zh-CN"/>
        </w:rPr>
      </w:pPr>
      <w:r>
        <w:t xml:space="preserve">图 </w:t>
      </w:r>
      <w:r>
        <w:rPr>
          <w:rFonts w:hint="eastAsia"/>
          <w:lang w:val="en-US" w:eastAsia="zh-CN"/>
        </w:rPr>
        <w:t>4 热图：在3类样本中各取50差异最高的基因绘制</w:t>
      </w:r>
    </w:p>
    <w:p w14:paraId="42B716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10" w:firstLineChars="100"/>
        <w:textAlignment w:val="baseline"/>
        <w:rPr>
          <w:rFonts w:hint="default"/>
          <w:lang w:val="en-US" w:eastAsia="zh-CN"/>
        </w:rPr>
      </w:pPr>
      <w:r>
        <w:rPr>
          <w:rFonts w:hint="eastAsia"/>
          <w:lang w:val="en-US" w:eastAsia="zh-CN"/>
        </w:rPr>
        <w:t xml:space="preserve">  由图4，我们可以根据热图，来将差异基因分为几类，如：</w:t>
      </w:r>
      <w:r>
        <w:rPr>
          <w:rFonts w:hint="default"/>
          <w:lang w:val="en-US" w:eastAsia="zh-CN"/>
        </w:rPr>
        <w:t>很多基因从wt（蓝色/白色）</w:t>
      </w:r>
      <w:r>
        <w:rPr>
          <w:rFonts w:hint="eastAsia"/>
          <w:lang w:val="en-US" w:eastAsia="zh-CN"/>
        </w:rPr>
        <w:t>到</w:t>
      </w:r>
      <w:r>
        <w:rPr>
          <w:rFonts w:hint="default"/>
          <w:lang w:val="en-US" w:eastAsia="zh-CN"/>
        </w:rPr>
        <w:t>low（浅红）</w:t>
      </w:r>
      <w:r>
        <w:rPr>
          <w:rFonts w:hint="eastAsia"/>
          <w:lang w:val="en-US" w:eastAsia="zh-CN"/>
        </w:rPr>
        <w:t>到</w:t>
      </w:r>
      <w:r>
        <w:rPr>
          <w:rFonts w:hint="default"/>
          <w:lang w:val="en-US" w:eastAsia="zh-CN"/>
        </w:rPr>
        <w:t>High（深红），呈渐进式上调</w:t>
      </w:r>
      <w:r>
        <w:rPr>
          <w:rFonts w:hint="eastAsia"/>
          <w:lang w:val="en-US" w:eastAsia="zh-CN"/>
        </w:rPr>
        <w:t>；</w:t>
      </w:r>
      <w:r>
        <w:rPr>
          <w:rFonts w:hint="default"/>
          <w:lang w:val="en-US" w:eastAsia="zh-CN"/>
        </w:rPr>
        <w:t>另一些基因</w:t>
      </w:r>
      <w:r>
        <w:rPr>
          <w:rFonts w:hint="eastAsia"/>
          <w:lang w:val="en-US" w:eastAsia="zh-CN"/>
        </w:rPr>
        <w:t>则</w:t>
      </w:r>
      <w:r>
        <w:rPr>
          <w:rFonts w:hint="default"/>
          <w:lang w:val="en-US" w:eastAsia="zh-CN"/>
        </w:rPr>
        <w:t>从wt</w:t>
      </w:r>
      <w:r>
        <w:rPr>
          <w:rFonts w:hint="eastAsia"/>
          <w:lang w:val="en-US" w:eastAsia="zh-CN"/>
        </w:rPr>
        <w:t>到</w:t>
      </w:r>
      <w:r>
        <w:rPr>
          <w:rFonts w:hint="default"/>
          <w:lang w:val="en-US" w:eastAsia="zh-CN"/>
        </w:rPr>
        <w:t xml:space="preserve"> low</w:t>
      </w:r>
      <w:r>
        <w:rPr>
          <w:rFonts w:hint="eastAsia"/>
          <w:lang w:val="en-US" w:eastAsia="zh-CN"/>
        </w:rPr>
        <w:t>到</w:t>
      </w:r>
      <w:r>
        <w:rPr>
          <w:rFonts w:hint="default"/>
          <w:lang w:val="en-US" w:eastAsia="zh-CN"/>
        </w:rPr>
        <w:t>High</w:t>
      </w:r>
      <w:r>
        <w:rPr>
          <w:rFonts w:hint="eastAsia"/>
          <w:lang w:val="en-US" w:eastAsia="zh-CN"/>
        </w:rPr>
        <w:t>组</w:t>
      </w:r>
      <w:r>
        <w:rPr>
          <w:rFonts w:hint="default"/>
          <w:lang w:val="en-US" w:eastAsia="zh-CN"/>
        </w:rPr>
        <w:t>，呈渐进式下调</w:t>
      </w:r>
      <w:r>
        <w:rPr>
          <w:rFonts w:hint="eastAsia"/>
          <w:lang w:val="en-US" w:eastAsia="zh-CN"/>
        </w:rPr>
        <w:t>。</w:t>
      </w:r>
      <w:r>
        <w:rPr>
          <w:rFonts w:hint="default"/>
          <w:lang w:val="en-US" w:eastAsia="zh-CN"/>
        </w:rPr>
        <w:t>low组和High组的表达模式更接近，而wt组明显不同，说明任何浓度的</w:t>
      </w:r>
      <w:r>
        <w:rPr>
          <w:rFonts w:hint="eastAsia"/>
          <w:lang w:val="en-US" w:eastAsia="zh-CN"/>
        </w:rPr>
        <w:t>微塑料</w:t>
      </w:r>
      <w:r>
        <w:rPr>
          <w:rFonts w:hint="default"/>
          <w:lang w:val="en-US" w:eastAsia="zh-CN"/>
        </w:rPr>
        <w:t>都能引起心脏转录组的显著重构</w:t>
      </w:r>
      <w:r>
        <w:rPr>
          <w:rFonts w:hint="eastAsia"/>
          <w:lang w:val="en-US" w:eastAsia="zh-CN"/>
        </w:rPr>
        <w:t>。</w:t>
      </w:r>
    </w:p>
    <w:p w14:paraId="267A391C">
      <w:pPr>
        <w:numPr>
          <w:ilvl w:val="0"/>
          <w:numId w:val="0"/>
        </w:numPr>
        <w:ind w:leftChars="0"/>
      </w:pPr>
      <w:r>
        <w:drawing>
          <wp:inline distT="0" distB="0" distL="114300" distR="114300">
            <wp:extent cx="5274310" cy="2018030"/>
            <wp:effectExtent l="0" t="0" r="889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74310" cy="2018030"/>
                    </a:xfrm>
                    <a:prstGeom prst="rect">
                      <a:avLst/>
                    </a:prstGeom>
                    <a:noFill/>
                    <a:ln>
                      <a:noFill/>
                    </a:ln>
                  </pic:spPr>
                </pic:pic>
              </a:graphicData>
            </a:graphic>
          </wp:inline>
        </w:drawing>
      </w:r>
    </w:p>
    <w:p w14:paraId="2DAB62F7">
      <w:pPr>
        <w:pStyle w:val="2"/>
        <w:numPr>
          <w:ilvl w:val="0"/>
          <w:numId w:val="0"/>
        </w:numPr>
        <w:ind w:leftChars="0"/>
        <w:rPr>
          <w:rFonts w:hint="eastAsia"/>
          <w:lang w:val="en-US" w:eastAsia="zh-CN"/>
        </w:rPr>
      </w:pPr>
      <w:r>
        <w:t xml:space="preserve">图 </w:t>
      </w:r>
      <w:r>
        <w:rPr>
          <w:rFonts w:hint="eastAsia"/>
          <w:lang w:val="en-US" w:eastAsia="zh-CN"/>
        </w:rPr>
        <w:t>5 质控图：样本级别的汇总统计，绘制相关性矩阵和箱线图，表示相关性、中位数、四分位数等</w:t>
      </w:r>
    </w:p>
    <w:p w14:paraId="1042B946">
      <w:pPr>
        <w:rPr>
          <w:rFonts w:hint="eastAsia"/>
          <w:lang w:val="en-US" w:eastAsia="zh-CN"/>
        </w:rPr>
      </w:pPr>
      <w:r>
        <w:rPr>
          <w:rFonts w:hint="eastAsia"/>
          <w:lang w:val="en-US" w:eastAsia="zh-CN"/>
        </w:rPr>
        <w:t xml:space="preserve">  由图5中样本相关性热图可知，三组间相关性都很高（&gt;0.97），说明：数据质量良好，测序深度足够，技术重复性高，但在本实验中更暗示组间差异可能不够剧烈，因为我们做的样本量并不高。分布箱线图可知三组的中位数和分布范围几乎完全一致</w:t>
      </w:r>
    </w:p>
    <w:p w14:paraId="062A7491">
      <w:pPr>
        <w:rPr>
          <w:rFonts w:hint="eastAsia"/>
          <w:lang w:val="en-US" w:eastAsia="zh-CN"/>
        </w:rPr>
      </w:pPr>
      <w:r>
        <w:rPr>
          <w:rFonts w:hint="eastAsia"/>
          <w:lang w:val="en-US" w:eastAsia="zh-CN"/>
        </w:rPr>
        <w:t>，这说明了数据归一化成功，没有批次效应或测序深度差异</w:t>
      </w:r>
    </w:p>
    <w:p w14:paraId="3184D30B">
      <w:pPr>
        <w:rPr>
          <w:rFonts w:hint="default"/>
          <w:lang w:val="en-US" w:eastAsia="zh-CN"/>
        </w:rPr>
      </w:pPr>
      <w:r>
        <w:rPr>
          <w:rFonts w:hint="eastAsia"/>
          <w:lang w:val="en-US" w:eastAsia="zh-CN"/>
        </w:rPr>
        <w:t>，且差异不是由技术噪音引起的，而是真实的生物学差异</w:t>
      </w:r>
    </w:p>
    <w:p w14:paraId="738E5096">
      <w:pPr>
        <w:numPr>
          <w:ilvl w:val="0"/>
          <w:numId w:val="0"/>
        </w:numPr>
        <w:ind w:leftChars="0"/>
      </w:pPr>
      <w:r>
        <w:drawing>
          <wp:inline distT="0" distB="0" distL="114300" distR="114300">
            <wp:extent cx="4140835" cy="4140835"/>
            <wp:effectExtent l="0" t="0" r="12065"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4140835" cy="4140835"/>
                    </a:xfrm>
                    <a:prstGeom prst="rect">
                      <a:avLst/>
                    </a:prstGeom>
                    <a:noFill/>
                    <a:ln>
                      <a:noFill/>
                    </a:ln>
                  </pic:spPr>
                </pic:pic>
              </a:graphicData>
            </a:graphic>
          </wp:inline>
        </w:drawing>
      </w:r>
    </w:p>
    <w:p w14:paraId="22957E95">
      <w:pPr>
        <w:pStyle w:val="2"/>
        <w:numPr>
          <w:ilvl w:val="0"/>
          <w:numId w:val="0"/>
        </w:numPr>
        <w:ind w:leftChars="0"/>
        <w:rPr>
          <w:rFonts w:hint="default" w:eastAsia="黑体"/>
          <w:lang w:val="en-US" w:eastAsia="zh-CN"/>
        </w:rPr>
      </w:pPr>
      <w:r>
        <w:t xml:space="preserve">图 </w:t>
      </w:r>
      <w:r>
        <w:rPr>
          <w:rFonts w:hint="eastAsia"/>
          <w:lang w:val="en-US" w:eastAsia="zh-CN"/>
        </w:rPr>
        <w:t>6 剂量-效应图：截取最高差异的五组基因直观展示剂量与效应的关系</w:t>
      </w:r>
    </w:p>
    <w:p w14:paraId="254C16E6">
      <w:pPr>
        <w:pStyle w:val="2"/>
        <w:numPr>
          <w:ilvl w:val="0"/>
          <w:numId w:val="0"/>
        </w:numPr>
        <w:ind w:leftChars="0"/>
        <w:rPr>
          <w:rFonts w:hint="default" w:eastAsia="黑体"/>
          <w:lang w:val="en-US" w:eastAsia="zh-CN"/>
        </w:rPr>
      </w:pPr>
      <w:r>
        <w:rPr>
          <w:rFonts w:hint="eastAsia"/>
          <w:lang w:val="en-US" w:eastAsia="zh-CN"/>
        </w:rPr>
        <w:t xml:space="preserve">    我们在以五组最显著差异的基因为例，分别绘制了剂量-效应图。上调基因图中，5条线有相近的模式，即随微塑料加入量增加，表达量单调递增。下调基因图类似，是随浓度增加逐渐降低的趋势，这表明PS-NPs对斑马鱼心脏的毒性效应存在明确的剂量-反应关系，不是"全或无"的阈值效应。</w:t>
      </w:r>
    </w:p>
    <w:p w14:paraId="742DF7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360" w:leftChars="0" w:right="0" w:rightChars="0" w:firstLine="280" w:firstLineChars="100"/>
        <w:textAlignment w:val="baseline"/>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3.Metascape进行GO富集分析</w:t>
      </w:r>
    </w:p>
    <w:tbl>
      <w:tblPr>
        <w:tblStyle w:val="6"/>
        <w:tblW w:w="11750" w:type="dxa"/>
        <w:tblInd w:w="-16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41"/>
        <w:gridCol w:w="6263"/>
        <w:gridCol w:w="1288"/>
        <w:gridCol w:w="1384"/>
        <w:gridCol w:w="1674"/>
      </w:tblGrid>
      <w:tr w14:paraId="3CE8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4ADF66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Cluster</w:t>
            </w:r>
          </w:p>
        </w:tc>
        <w:tc>
          <w:tcPr>
            <w:tcW w:w="6263" w:type="dxa"/>
            <w:tcBorders>
              <w:top w:val="nil"/>
              <w:left w:val="nil"/>
              <w:bottom w:val="nil"/>
              <w:right w:val="nil"/>
            </w:tcBorders>
            <w:shd w:val="clear" w:color="auto" w:fill="auto"/>
            <w:noWrap/>
            <w:vAlign w:val="center"/>
          </w:tcPr>
          <w:p w14:paraId="509926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代表 GO/通路</w:t>
            </w:r>
          </w:p>
        </w:tc>
        <w:tc>
          <w:tcPr>
            <w:tcW w:w="1288" w:type="dxa"/>
            <w:tcBorders>
              <w:top w:val="nil"/>
              <w:left w:val="nil"/>
              <w:bottom w:val="nil"/>
              <w:right w:val="nil"/>
            </w:tcBorders>
            <w:shd w:val="clear" w:color="auto" w:fill="auto"/>
            <w:noWrap/>
            <w:vAlign w:val="center"/>
          </w:tcPr>
          <w:p w14:paraId="5E185F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LogP</w:t>
            </w:r>
          </w:p>
        </w:tc>
        <w:tc>
          <w:tcPr>
            <w:tcW w:w="1384" w:type="dxa"/>
            <w:tcBorders>
              <w:top w:val="nil"/>
              <w:left w:val="nil"/>
              <w:bottom w:val="nil"/>
              <w:right w:val="nil"/>
            </w:tcBorders>
            <w:shd w:val="clear" w:color="auto" w:fill="auto"/>
            <w:noWrap/>
            <w:vAlign w:val="center"/>
          </w:tcPr>
          <w:p w14:paraId="143EA9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Log(q)</w:t>
            </w:r>
          </w:p>
        </w:tc>
        <w:tc>
          <w:tcPr>
            <w:tcW w:w="1674" w:type="dxa"/>
            <w:tcBorders>
              <w:top w:val="nil"/>
              <w:left w:val="nil"/>
              <w:bottom w:val="nil"/>
              <w:right w:val="nil"/>
            </w:tcBorders>
            <w:shd w:val="clear" w:color="auto" w:fill="auto"/>
            <w:noWrap/>
            <w:vAlign w:val="center"/>
          </w:tcPr>
          <w:p w14:paraId="313F3B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基因数</w:t>
            </w:r>
          </w:p>
        </w:tc>
      </w:tr>
      <w:tr w14:paraId="6EA8B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216611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1</w:t>
            </w:r>
          </w:p>
        </w:tc>
        <w:tc>
          <w:tcPr>
            <w:tcW w:w="6263" w:type="dxa"/>
            <w:tcBorders>
              <w:top w:val="nil"/>
              <w:left w:val="nil"/>
              <w:bottom w:val="nil"/>
              <w:right w:val="nil"/>
            </w:tcBorders>
            <w:shd w:val="clear" w:color="auto" w:fill="auto"/>
            <w:noWrap/>
            <w:vAlign w:val="center"/>
          </w:tcPr>
          <w:p w14:paraId="239D5F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GO:0009593 detection of chemical stimulus</w:t>
            </w:r>
          </w:p>
        </w:tc>
        <w:tc>
          <w:tcPr>
            <w:tcW w:w="1288" w:type="dxa"/>
            <w:tcBorders>
              <w:top w:val="nil"/>
              <w:left w:val="nil"/>
              <w:bottom w:val="nil"/>
              <w:right w:val="nil"/>
            </w:tcBorders>
            <w:shd w:val="clear" w:color="auto" w:fill="auto"/>
            <w:noWrap/>
            <w:vAlign w:val="center"/>
          </w:tcPr>
          <w:p w14:paraId="5566C35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-15.55</w:t>
            </w:r>
          </w:p>
        </w:tc>
        <w:tc>
          <w:tcPr>
            <w:tcW w:w="1384" w:type="dxa"/>
            <w:tcBorders>
              <w:top w:val="nil"/>
              <w:left w:val="nil"/>
              <w:bottom w:val="nil"/>
              <w:right w:val="nil"/>
            </w:tcBorders>
            <w:shd w:val="clear" w:color="auto" w:fill="auto"/>
            <w:noWrap/>
            <w:vAlign w:val="center"/>
          </w:tcPr>
          <w:p w14:paraId="22D1E76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-11.53</w:t>
            </w:r>
          </w:p>
        </w:tc>
        <w:tc>
          <w:tcPr>
            <w:tcW w:w="1674" w:type="dxa"/>
            <w:tcBorders>
              <w:top w:val="nil"/>
              <w:left w:val="nil"/>
              <w:bottom w:val="nil"/>
              <w:right w:val="nil"/>
            </w:tcBorders>
            <w:shd w:val="clear" w:color="auto" w:fill="auto"/>
            <w:noWrap/>
            <w:vAlign w:val="center"/>
          </w:tcPr>
          <w:p w14:paraId="18A5DB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26个</w:t>
            </w:r>
          </w:p>
        </w:tc>
      </w:tr>
      <w:tr w14:paraId="369D3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72DF4C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2</w:t>
            </w:r>
          </w:p>
        </w:tc>
        <w:tc>
          <w:tcPr>
            <w:tcW w:w="6263" w:type="dxa"/>
            <w:tcBorders>
              <w:top w:val="nil"/>
              <w:left w:val="nil"/>
              <w:bottom w:val="nil"/>
              <w:right w:val="nil"/>
            </w:tcBorders>
            <w:shd w:val="clear" w:color="auto" w:fill="auto"/>
            <w:noWrap/>
            <w:vAlign w:val="center"/>
          </w:tcPr>
          <w:p w14:paraId="2A0087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dre04080 Neuroactive ligand-receptor interaction</w:t>
            </w:r>
          </w:p>
        </w:tc>
        <w:tc>
          <w:tcPr>
            <w:tcW w:w="1288" w:type="dxa"/>
            <w:tcBorders>
              <w:top w:val="nil"/>
              <w:left w:val="nil"/>
              <w:bottom w:val="nil"/>
              <w:right w:val="nil"/>
            </w:tcBorders>
            <w:shd w:val="clear" w:color="auto" w:fill="auto"/>
            <w:noWrap/>
            <w:vAlign w:val="center"/>
          </w:tcPr>
          <w:p w14:paraId="50E1520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-6.88</w:t>
            </w:r>
          </w:p>
        </w:tc>
        <w:tc>
          <w:tcPr>
            <w:tcW w:w="1384" w:type="dxa"/>
            <w:tcBorders>
              <w:top w:val="nil"/>
              <w:left w:val="nil"/>
              <w:bottom w:val="nil"/>
              <w:right w:val="nil"/>
            </w:tcBorders>
            <w:shd w:val="clear" w:color="auto" w:fill="auto"/>
            <w:noWrap/>
            <w:vAlign w:val="center"/>
          </w:tcPr>
          <w:p w14:paraId="6466829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-3.86</w:t>
            </w:r>
          </w:p>
        </w:tc>
        <w:tc>
          <w:tcPr>
            <w:tcW w:w="1674" w:type="dxa"/>
            <w:tcBorders>
              <w:top w:val="nil"/>
              <w:left w:val="nil"/>
              <w:bottom w:val="nil"/>
              <w:right w:val="nil"/>
            </w:tcBorders>
            <w:shd w:val="clear" w:color="auto" w:fill="auto"/>
            <w:noWrap/>
            <w:vAlign w:val="center"/>
          </w:tcPr>
          <w:p w14:paraId="55824A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27个</w:t>
            </w:r>
          </w:p>
        </w:tc>
      </w:tr>
      <w:tr w14:paraId="4BC93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209EBE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3</w:t>
            </w:r>
          </w:p>
        </w:tc>
        <w:tc>
          <w:tcPr>
            <w:tcW w:w="6263" w:type="dxa"/>
            <w:tcBorders>
              <w:top w:val="nil"/>
              <w:left w:val="nil"/>
              <w:bottom w:val="nil"/>
              <w:right w:val="nil"/>
            </w:tcBorders>
            <w:shd w:val="clear" w:color="auto" w:fill="auto"/>
            <w:noWrap/>
            <w:vAlign w:val="center"/>
          </w:tcPr>
          <w:p w14:paraId="3806BB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GO:0032943 mononuclear cell proliferation</w:t>
            </w:r>
          </w:p>
        </w:tc>
        <w:tc>
          <w:tcPr>
            <w:tcW w:w="1288" w:type="dxa"/>
            <w:tcBorders>
              <w:top w:val="nil"/>
              <w:left w:val="nil"/>
              <w:bottom w:val="nil"/>
              <w:right w:val="nil"/>
            </w:tcBorders>
            <w:shd w:val="clear" w:color="auto" w:fill="auto"/>
            <w:noWrap/>
            <w:vAlign w:val="center"/>
          </w:tcPr>
          <w:p w14:paraId="7BC4E86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-5.16</w:t>
            </w:r>
          </w:p>
        </w:tc>
        <w:tc>
          <w:tcPr>
            <w:tcW w:w="1384" w:type="dxa"/>
            <w:tcBorders>
              <w:top w:val="nil"/>
              <w:left w:val="nil"/>
              <w:bottom w:val="nil"/>
              <w:right w:val="nil"/>
            </w:tcBorders>
            <w:shd w:val="clear" w:color="auto" w:fill="auto"/>
            <w:noWrap/>
            <w:vAlign w:val="center"/>
          </w:tcPr>
          <w:p w14:paraId="543215A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-2.21</w:t>
            </w:r>
          </w:p>
        </w:tc>
        <w:tc>
          <w:tcPr>
            <w:tcW w:w="1674" w:type="dxa"/>
            <w:tcBorders>
              <w:top w:val="nil"/>
              <w:left w:val="nil"/>
              <w:bottom w:val="nil"/>
              <w:right w:val="nil"/>
            </w:tcBorders>
            <w:shd w:val="clear" w:color="auto" w:fill="auto"/>
            <w:noWrap/>
            <w:vAlign w:val="center"/>
          </w:tcPr>
          <w:p w14:paraId="7B299A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3个</w:t>
            </w:r>
          </w:p>
        </w:tc>
      </w:tr>
      <w:tr w14:paraId="5743E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119C37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4</w:t>
            </w:r>
          </w:p>
        </w:tc>
        <w:tc>
          <w:tcPr>
            <w:tcW w:w="6263" w:type="dxa"/>
            <w:tcBorders>
              <w:top w:val="nil"/>
              <w:left w:val="nil"/>
              <w:bottom w:val="nil"/>
              <w:right w:val="nil"/>
            </w:tcBorders>
            <w:shd w:val="clear" w:color="auto" w:fill="auto"/>
            <w:noWrap/>
            <w:vAlign w:val="center"/>
          </w:tcPr>
          <w:p w14:paraId="302D67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GO:0043330 response to exogenous dsRNA</w:t>
            </w:r>
          </w:p>
        </w:tc>
        <w:tc>
          <w:tcPr>
            <w:tcW w:w="1288" w:type="dxa"/>
            <w:tcBorders>
              <w:top w:val="nil"/>
              <w:left w:val="nil"/>
              <w:bottom w:val="nil"/>
              <w:right w:val="nil"/>
            </w:tcBorders>
            <w:shd w:val="clear" w:color="auto" w:fill="auto"/>
            <w:noWrap/>
            <w:vAlign w:val="center"/>
          </w:tcPr>
          <w:p w14:paraId="4CCF3F8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w:t>
            </w:r>
          </w:p>
        </w:tc>
        <w:tc>
          <w:tcPr>
            <w:tcW w:w="1384" w:type="dxa"/>
            <w:tcBorders>
              <w:top w:val="nil"/>
              <w:left w:val="nil"/>
              <w:bottom w:val="nil"/>
              <w:right w:val="nil"/>
            </w:tcBorders>
            <w:shd w:val="clear" w:color="auto" w:fill="auto"/>
            <w:noWrap/>
            <w:vAlign w:val="center"/>
          </w:tcPr>
          <w:p w14:paraId="5E2338B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-0.91</w:t>
            </w:r>
          </w:p>
        </w:tc>
        <w:tc>
          <w:tcPr>
            <w:tcW w:w="1674" w:type="dxa"/>
            <w:tcBorders>
              <w:top w:val="nil"/>
              <w:left w:val="nil"/>
              <w:bottom w:val="nil"/>
              <w:right w:val="nil"/>
            </w:tcBorders>
            <w:shd w:val="clear" w:color="auto" w:fill="auto"/>
            <w:noWrap/>
            <w:vAlign w:val="center"/>
          </w:tcPr>
          <w:p w14:paraId="4C2E3E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22个</w:t>
            </w:r>
          </w:p>
        </w:tc>
      </w:tr>
      <w:tr w14:paraId="4BAE7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30A1BB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5</w:t>
            </w:r>
          </w:p>
        </w:tc>
        <w:tc>
          <w:tcPr>
            <w:tcW w:w="6263" w:type="dxa"/>
            <w:tcBorders>
              <w:top w:val="nil"/>
              <w:left w:val="nil"/>
              <w:bottom w:val="nil"/>
              <w:right w:val="nil"/>
            </w:tcBorders>
            <w:shd w:val="clear" w:color="auto" w:fill="auto"/>
            <w:noWrap/>
            <w:vAlign w:val="center"/>
          </w:tcPr>
          <w:p w14:paraId="72E897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GO:0032525 somite rostral/caudal axis specification</w:t>
            </w:r>
          </w:p>
        </w:tc>
        <w:tc>
          <w:tcPr>
            <w:tcW w:w="1288" w:type="dxa"/>
            <w:tcBorders>
              <w:top w:val="nil"/>
              <w:left w:val="nil"/>
              <w:bottom w:val="nil"/>
              <w:right w:val="nil"/>
            </w:tcBorders>
            <w:shd w:val="clear" w:color="auto" w:fill="auto"/>
            <w:noWrap/>
            <w:vAlign w:val="center"/>
          </w:tcPr>
          <w:p w14:paraId="42583AB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w:t>
            </w:r>
          </w:p>
        </w:tc>
        <w:tc>
          <w:tcPr>
            <w:tcW w:w="1384" w:type="dxa"/>
            <w:tcBorders>
              <w:top w:val="nil"/>
              <w:left w:val="nil"/>
              <w:bottom w:val="nil"/>
              <w:right w:val="nil"/>
            </w:tcBorders>
            <w:shd w:val="clear" w:color="auto" w:fill="auto"/>
            <w:noWrap/>
            <w:vAlign w:val="center"/>
          </w:tcPr>
          <w:p w14:paraId="4581F8A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-0.91</w:t>
            </w:r>
          </w:p>
        </w:tc>
        <w:tc>
          <w:tcPr>
            <w:tcW w:w="1674" w:type="dxa"/>
            <w:tcBorders>
              <w:top w:val="nil"/>
              <w:left w:val="nil"/>
              <w:bottom w:val="nil"/>
              <w:right w:val="nil"/>
            </w:tcBorders>
            <w:shd w:val="clear" w:color="auto" w:fill="auto"/>
            <w:noWrap/>
            <w:vAlign w:val="center"/>
          </w:tcPr>
          <w:p w14:paraId="13C017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7个</w:t>
            </w:r>
          </w:p>
        </w:tc>
      </w:tr>
      <w:tr w14:paraId="6913A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30A141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6</w:t>
            </w:r>
          </w:p>
        </w:tc>
        <w:tc>
          <w:tcPr>
            <w:tcW w:w="6263" w:type="dxa"/>
            <w:tcBorders>
              <w:top w:val="nil"/>
              <w:left w:val="nil"/>
              <w:bottom w:val="nil"/>
              <w:right w:val="nil"/>
            </w:tcBorders>
            <w:shd w:val="clear" w:color="auto" w:fill="auto"/>
            <w:noWrap/>
            <w:vAlign w:val="center"/>
          </w:tcPr>
          <w:p w14:paraId="023477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GO:0002757 immune response-activating signaling pathway</w:t>
            </w:r>
          </w:p>
        </w:tc>
        <w:tc>
          <w:tcPr>
            <w:tcW w:w="1288" w:type="dxa"/>
            <w:tcBorders>
              <w:top w:val="nil"/>
              <w:left w:val="nil"/>
              <w:bottom w:val="nil"/>
              <w:right w:val="nil"/>
            </w:tcBorders>
            <w:shd w:val="clear" w:color="auto" w:fill="auto"/>
            <w:noWrap/>
            <w:vAlign w:val="center"/>
          </w:tcPr>
          <w:p w14:paraId="2ED3CD5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-3.35</w:t>
            </w:r>
          </w:p>
        </w:tc>
        <w:tc>
          <w:tcPr>
            <w:tcW w:w="1384" w:type="dxa"/>
            <w:tcBorders>
              <w:top w:val="nil"/>
              <w:left w:val="nil"/>
              <w:bottom w:val="nil"/>
              <w:right w:val="nil"/>
            </w:tcBorders>
            <w:shd w:val="clear" w:color="auto" w:fill="auto"/>
            <w:noWrap/>
            <w:vAlign w:val="center"/>
          </w:tcPr>
          <w:p w14:paraId="5851E1B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w:t>
            </w:r>
          </w:p>
        </w:tc>
        <w:tc>
          <w:tcPr>
            <w:tcW w:w="1674" w:type="dxa"/>
            <w:tcBorders>
              <w:top w:val="nil"/>
              <w:left w:val="nil"/>
              <w:bottom w:val="nil"/>
              <w:right w:val="nil"/>
            </w:tcBorders>
            <w:shd w:val="clear" w:color="auto" w:fill="auto"/>
            <w:noWrap/>
            <w:vAlign w:val="center"/>
          </w:tcPr>
          <w:p w14:paraId="18AE10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8个</w:t>
            </w:r>
          </w:p>
        </w:tc>
      </w:tr>
      <w:tr w14:paraId="36718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605849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7</w:t>
            </w:r>
          </w:p>
        </w:tc>
        <w:tc>
          <w:tcPr>
            <w:tcW w:w="6263" w:type="dxa"/>
            <w:tcBorders>
              <w:top w:val="nil"/>
              <w:left w:val="nil"/>
              <w:bottom w:val="nil"/>
              <w:right w:val="nil"/>
            </w:tcBorders>
            <w:shd w:val="clear" w:color="auto" w:fill="auto"/>
            <w:noWrap/>
            <w:vAlign w:val="center"/>
          </w:tcPr>
          <w:p w14:paraId="1C72E0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GO:0007292 female gamete generation</w:t>
            </w:r>
          </w:p>
        </w:tc>
        <w:tc>
          <w:tcPr>
            <w:tcW w:w="1288" w:type="dxa"/>
            <w:tcBorders>
              <w:top w:val="nil"/>
              <w:left w:val="nil"/>
              <w:bottom w:val="nil"/>
              <w:right w:val="nil"/>
            </w:tcBorders>
            <w:shd w:val="clear" w:color="auto" w:fill="auto"/>
            <w:noWrap/>
            <w:vAlign w:val="center"/>
          </w:tcPr>
          <w:p w14:paraId="2FB93EC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-2.83</w:t>
            </w:r>
          </w:p>
        </w:tc>
        <w:tc>
          <w:tcPr>
            <w:tcW w:w="1384" w:type="dxa"/>
            <w:tcBorders>
              <w:top w:val="nil"/>
              <w:left w:val="nil"/>
              <w:bottom w:val="nil"/>
              <w:right w:val="nil"/>
            </w:tcBorders>
            <w:shd w:val="clear" w:color="auto" w:fill="auto"/>
            <w:noWrap/>
            <w:vAlign w:val="center"/>
          </w:tcPr>
          <w:p w14:paraId="601289E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-0.32</w:t>
            </w:r>
          </w:p>
        </w:tc>
        <w:tc>
          <w:tcPr>
            <w:tcW w:w="1674" w:type="dxa"/>
            <w:tcBorders>
              <w:top w:val="nil"/>
              <w:left w:val="nil"/>
              <w:bottom w:val="nil"/>
              <w:right w:val="nil"/>
            </w:tcBorders>
            <w:shd w:val="clear" w:color="auto" w:fill="auto"/>
            <w:noWrap/>
            <w:vAlign w:val="center"/>
          </w:tcPr>
          <w:p w14:paraId="2B081F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7个</w:t>
            </w:r>
          </w:p>
        </w:tc>
      </w:tr>
      <w:tr w14:paraId="52D0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74816D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8</w:t>
            </w:r>
          </w:p>
        </w:tc>
        <w:tc>
          <w:tcPr>
            <w:tcW w:w="6263" w:type="dxa"/>
            <w:tcBorders>
              <w:top w:val="nil"/>
              <w:left w:val="nil"/>
              <w:bottom w:val="nil"/>
              <w:right w:val="nil"/>
            </w:tcBorders>
            <w:shd w:val="clear" w:color="auto" w:fill="auto"/>
            <w:noWrap/>
            <w:vAlign w:val="center"/>
          </w:tcPr>
          <w:p w14:paraId="5BAA41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GO:0007187 GPCR signaling coupled to cyclic nucleotide</w:t>
            </w:r>
          </w:p>
        </w:tc>
        <w:tc>
          <w:tcPr>
            <w:tcW w:w="1288" w:type="dxa"/>
            <w:tcBorders>
              <w:top w:val="nil"/>
              <w:left w:val="nil"/>
              <w:bottom w:val="nil"/>
              <w:right w:val="nil"/>
            </w:tcBorders>
            <w:shd w:val="clear" w:color="auto" w:fill="auto"/>
            <w:noWrap/>
            <w:vAlign w:val="center"/>
          </w:tcPr>
          <w:p w14:paraId="0ADFFCE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-2.64</w:t>
            </w:r>
          </w:p>
        </w:tc>
        <w:tc>
          <w:tcPr>
            <w:tcW w:w="1384" w:type="dxa"/>
            <w:tcBorders>
              <w:top w:val="nil"/>
              <w:left w:val="nil"/>
              <w:bottom w:val="nil"/>
              <w:right w:val="nil"/>
            </w:tcBorders>
            <w:shd w:val="clear" w:color="auto" w:fill="auto"/>
            <w:noWrap/>
            <w:vAlign w:val="center"/>
          </w:tcPr>
          <w:p w14:paraId="7A1959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-0.22</w:t>
            </w:r>
          </w:p>
        </w:tc>
        <w:tc>
          <w:tcPr>
            <w:tcW w:w="1674" w:type="dxa"/>
            <w:tcBorders>
              <w:top w:val="nil"/>
              <w:left w:val="nil"/>
              <w:bottom w:val="nil"/>
              <w:right w:val="nil"/>
            </w:tcBorders>
            <w:shd w:val="clear" w:color="auto" w:fill="auto"/>
            <w:noWrap/>
            <w:vAlign w:val="center"/>
          </w:tcPr>
          <w:p w14:paraId="6E6E2B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5个</w:t>
            </w:r>
          </w:p>
        </w:tc>
      </w:tr>
      <w:tr w14:paraId="27740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19131B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9</w:t>
            </w:r>
          </w:p>
        </w:tc>
        <w:tc>
          <w:tcPr>
            <w:tcW w:w="6263" w:type="dxa"/>
            <w:tcBorders>
              <w:top w:val="nil"/>
              <w:left w:val="nil"/>
              <w:bottom w:val="nil"/>
              <w:right w:val="nil"/>
            </w:tcBorders>
            <w:shd w:val="clear" w:color="auto" w:fill="auto"/>
            <w:noWrap/>
            <w:vAlign w:val="center"/>
          </w:tcPr>
          <w:p w14:paraId="117B94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GO:0019915 lipid storage</w:t>
            </w:r>
          </w:p>
        </w:tc>
        <w:tc>
          <w:tcPr>
            <w:tcW w:w="1288" w:type="dxa"/>
            <w:tcBorders>
              <w:top w:val="nil"/>
              <w:left w:val="nil"/>
              <w:bottom w:val="nil"/>
              <w:right w:val="nil"/>
            </w:tcBorders>
            <w:shd w:val="clear" w:color="auto" w:fill="auto"/>
            <w:noWrap/>
            <w:vAlign w:val="center"/>
          </w:tcPr>
          <w:p w14:paraId="04B8A89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-2.59</w:t>
            </w:r>
          </w:p>
        </w:tc>
        <w:tc>
          <w:tcPr>
            <w:tcW w:w="1384" w:type="dxa"/>
            <w:tcBorders>
              <w:top w:val="nil"/>
              <w:left w:val="nil"/>
              <w:bottom w:val="nil"/>
              <w:right w:val="nil"/>
            </w:tcBorders>
            <w:shd w:val="clear" w:color="auto" w:fill="auto"/>
            <w:noWrap/>
            <w:vAlign w:val="center"/>
          </w:tcPr>
          <w:p w14:paraId="2804ECC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w:t>
            </w:r>
          </w:p>
        </w:tc>
        <w:tc>
          <w:tcPr>
            <w:tcW w:w="1674" w:type="dxa"/>
            <w:tcBorders>
              <w:top w:val="nil"/>
              <w:left w:val="nil"/>
              <w:bottom w:val="nil"/>
              <w:right w:val="nil"/>
            </w:tcBorders>
            <w:shd w:val="clear" w:color="auto" w:fill="auto"/>
            <w:noWrap/>
            <w:vAlign w:val="center"/>
          </w:tcPr>
          <w:p w14:paraId="35CDEB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3个</w:t>
            </w:r>
          </w:p>
        </w:tc>
      </w:tr>
      <w:tr w14:paraId="659D5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40FB98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10</w:t>
            </w:r>
          </w:p>
        </w:tc>
        <w:tc>
          <w:tcPr>
            <w:tcW w:w="6263" w:type="dxa"/>
            <w:tcBorders>
              <w:top w:val="nil"/>
              <w:left w:val="nil"/>
              <w:bottom w:val="nil"/>
              <w:right w:val="nil"/>
            </w:tcBorders>
            <w:shd w:val="clear" w:color="auto" w:fill="auto"/>
            <w:noWrap/>
            <w:vAlign w:val="center"/>
          </w:tcPr>
          <w:p w14:paraId="1F7F08F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GO:0006955 immune response</w:t>
            </w:r>
          </w:p>
        </w:tc>
        <w:tc>
          <w:tcPr>
            <w:tcW w:w="1288" w:type="dxa"/>
            <w:tcBorders>
              <w:top w:val="nil"/>
              <w:left w:val="nil"/>
              <w:bottom w:val="nil"/>
              <w:right w:val="nil"/>
            </w:tcBorders>
            <w:shd w:val="clear" w:color="auto" w:fill="auto"/>
            <w:noWrap/>
            <w:vAlign w:val="center"/>
          </w:tcPr>
          <w:p w14:paraId="6CF064F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1384" w:type="dxa"/>
            <w:tcBorders>
              <w:top w:val="nil"/>
              <w:left w:val="nil"/>
              <w:bottom w:val="nil"/>
              <w:right w:val="nil"/>
            </w:tcBorders>
            <w:shd w:val="clear" w:color="auto" w:fill="auto"/>
            <w:noWrap/>
            <w:vAlign w:val="center"/>
          </w:tcPr>
          <w:p w14:paraId="54A4A27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w:t>
            </w:r>
          </w:p>
        </w:tc>
        <w:tc>
          <w:tcPr>
            <w:tcW w:w="1674" w:type="dxa"/>
            <w:tcBorders>
              <w:top w:val="nil"/>
              <w:left w:val="nil"/>
              <w:bottom w:val="nil"/>
              <w:right w:val="nil"/>
            </w:tcBorders>
            <w:shd w:val="clear" w:color="auto" w:fill="auto"/>
            <w:noWrap/>
            <w:vAlign w:val="center"/>
          </w:tcPr>
          <w:p w14:paraId="072FAF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14个</w:t>
            </w:r>
          </w:p>
        </w:tc>
      </w:tr>
      <w:tr w14:paraId="25947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76835B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11</w:t>
            </w:r>
          </w:p>
        </w:tc>
        <w:tc>
          <w:tcPr>
            <w:tcW w:w="6263" w:type="dxa"/>
            <w:tcBorders>
              <w:top w:val="nil"/>
              <w:left w:val="nil"/>
              <w:bottom w:val="nil"/>
              <w:right w:val="nil"/>
            </w:tcBorders>
            <w:shd w:val="clear" w:color="auto" w:fill="auto"/>
            <w:noWrap/>
            <w:vAlign w:val="center"/>
          </w:tcPr>
          <w:p w14:paraId="05605FC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GO:0006023 aminoglycan biosynthetic process</w:t>
            </w:r>
          </w:p>
        </w:tc>
        <w:tc>
          <w:tcPr>
            <w:tcW w:w="1288" w:type="dxa"/>
            <w:tcBorders>
              <w:top w:val="nil"/>
              <w:left w:val="nil"/>
              <w:bottom w:val="nil"/>
              <w:right w:val="nil"/>
            </w:tcBorders>
            <w:shd w:val="clear" w:color="auto" w:fill="auto"/>
            <w:noWrap/>
            <w:vAlign w:val="center"/>
          </w:tcPr>
          <w:p w14:paraId="2C283D7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-2.38</w:t>
            </w:r>
          </w:p>
        </w:tc>
        <w:tc>
          <w:tcPr>
            <w:tcW w:w="1384" w:type="dxa"/>
            <w:tcBorders>
              <w:top w:val="nil"/>
              <w:left w:val="nil"/>
              <w:bottom w:val="nil"/>
              <w:right w:val="nil"/>
            </w:tcBorders>
            <w:shd w:val="clear" w:color="auto" w:fill="auto"/>
            <w:noWrap/>
            <w:vAlign w:val="center"/>
          </w:tcPr>
          <w:p w14:paraId="75DFF5D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w:t>
            </w:r>
          </w:p>
        </w:tc>
        <w:tc>
          <w:tcPr>
            <w:tcW w:w="1674" w:type="dxa"/>
            <w:tcBorders>
              <w:top w:val="nil"/>
              <w:left w:val="nil"/>
              <w:bottom w:val="nil"/>
              <w:right w:val="nil"/>
            </w:tcBorders>
            <w:shd w:val="clear" w:color="auto" w:fill="auto"/>
            <w:noWrap/>
            <w:vAlign w:val="center"/>
          </w:tcPr>
          <w:p w14:paraId="7D1558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3个</w:t>
            </w:r>
          </w:p>
        </w:tc>
      </w:tr>
      <w:tr w14:paraId="02C6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1" w:type="dxa"/>
            <w:tcBorders>
              <w:top w:val="nil"/>
              <w:left w:val="nil"/>
              <w:bottom w:val="nil"/>
              <w:right w:val="nil"/>
            </w:tcBorders>
            <w:shd w:val="clear" w:color="auto" w:fill="auto"/>
            <w:noWrap/>
            <w:vAlign w:val="center"/>
          </w:tcPr>
          <w:p w14:paraId="41CE16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Group 12</w:t>
            </w:r>
          </w:p>
        </w:tc>
        <w:tc>
          <w:tcPr>
            <w:tcW w:w="6263" w:type="dxa"/>
            <w:tcBorders>
              <w:top w:val="nil"/>
              <w:left w:val="nil"/>
              <w:bottom w:val="nil"/>
              <w:right w:val="nil"/>
            </w:tcBorders>
            <w:shd w:val="clear" w:color="auto" w:fill="auto"/>
            <w:noWrap/>
            <w:vAlign w:val="center"/>
          </w:tcPr>
          <w:p w14:paraId="6E05FB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GO:0033993 response to lipid</w:t>
            </w:r>
          </w:p>
        </w:tc>
        <w:tc>
          <w:tcPr>
            <w:tcW w:w="1288" w:type="dxa"/>
            <w:tcBorders>
              <w:top w:val="nil"/>
              <w:left w:val="nil"/>
              <w:bottom w:val="nil"/>
              <w:right w:val="nil"/>
            </w:tcBorders>
            <w:shd w:val="clear" w:color="auto" w:fill="auto"/>
            <w:noWrap/>
            <w:vAlign w:val="center"/>
          </w:tcPr>
          <w:p w14:paraId="00DAC7F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-2.27</w:t>
            </w:r>
          </w:p>
        </w:tc>
        <w:tc>
          <w:tcPr>
            <w:tcW w:w="1384" w:type="dxa"/>
            <w:tcBorders>
              <w:top w:val="nil"/>
              <w:left w:val="nil"/>
              <w:bottom w:val="nil"/>
              <w:right w:val="nil"/>
            </w:tcBorders>
            <w:shd w:val="clear" w:color="auto" w:fill="auto"/>
            <w:noWrap/>
            <w:vAlign w:val="center"/>
          </w:tcPr>
          <w:p w14:paraId="556A7AB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1674" w:type="dxa"/>
            <w:tcBorders>
              <w:top w:val="nil"/>
              <w:left w:val="nil"/>
              <w:bottom w:val="nil"/>
              <w:right w:val="nil"/>
            </w:tcBorders>
            <w:shd w:val="clear" w:color="auto" w:fill="auto"/>
            <w:noWrap/>
            <w:vAlign w:val="center"/>
          </w:tcPr>
          <w:p w14:paraId="30BE1B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7个</w:t>
            </w:r>
          </w:p>
        </w:tc>
      </w:tr>
    </w:tbl>
    <w:p w14:paraId="35FEB7A4">
      <w:pPr>
        <w:widowControl w:val="0"/>
        <w:jc w:val="both"/>
        <w:rPr>
          <w:rFonts w:hint="default"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表1 GO富集结果中q-value 显著（Log(q) &lt; 0）</w:t>
      </w:r>
      <w:r>
        <w:rPr>
          <w:rFonts w:hint="default" w:eastAsia="黑体" w:asciiTheme="majorHAnsi" w:hAnsiTheme="majorHAnsi" w:cstheme="majorBidi"/>
          <w:kern w:val="2"/>
          <w:sz w:val="20"/>
          <w:szCs w:val="20"/>
          <w:lang w:val="en-US" w:eastAsia="zh-CN" w:bidi="ar-SA"/>
        </w:rPr>
        <w:t xml:space="preserve"> 且 富集程度高条目</w:t>
      </w:r>
    </w:p>
    <w:p w14:paraId="17DF5A59">
      <w:pPr>
        <w:widowControl w:val="0"/>
        <w:ind w:firstLine="400" w:firstLineChars="200"/>
        <w:jc w:val="both"/>
        <w:rPr>
          <w:rFonts w:hint="eastAsia"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由表可见大致可分为12组，表明微塑料影响和作用通路广泛，包含嗅觉/化学感受、神经活性配体-受体互作、单核细胞增殖、外源dsRNA应答（抗病毒免疫）、体节前后轴特化（发育）、免疫应答激活信号通路、雌性配子发生、G蛋白偶联受体信号、脂质储存、免疫应答、氨基聚糖生物合成、脂质应答等通路信号。</w:t>
      </w:r>
    </w:p>
    <w:p w14:paraId="72A5DE2F">
      <w:pPr>
        <w:widowControl w:val="0"/>
        <w:ind w:firstLine="420" w:firstLineChars="200"/>
        <w:jc w:val="both"/>
      </w:pPr>
      <w:r>
        <w:drawing>
          <wp:inline distT="0" distB="0" distL="114300" distR="114300">
            <wp:extent cx="4829175" cy="2614295"/>
            <wp:effectExtent l="0" t="0" r="9525" b="1905"/>
            <wp:docPr id="10" name="Picture 2" descr="ColorByPVa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ColorByPValue.png"/>
                    <pic:cNvPicPr>
                      <a:picLocks noChangeAspect="1"/>
                    </pic:cNvPicPr>
                  </pic:nvPicPr>
                  <pic:blipFill>
                    <a:blip r:embed="rId11"/>
                    <a:stretch>
                      <a:fillRect/>
                    </a:stretch>
                  </pic:blipFill>
                  <pic:spPr>
                    <a:xfrm>
                      <a:off x="0" y="0"/>
                      <a:ext cx="4829175" cy="2614295"/>
                    </a:xfrm>
                    <a:prstGeom prst="rect">
                      <a:avLst/>
                    </a:prstGeom>
                  </pic:spPr>
                </pic:pic>
              </a:graphicData>
            </a:graphic>
          </wp:inline>
        </w:drawing>
      </w:r>
    </w:p>
    <w:p w14:paraId="49DA4B9A">
      <w:pPr>
        <w:pStyle w:val="2"/>
        <w:widowControl w:val="0"/>
        <w:ind w:firstLine="400" w:firstLineChars="200"/>
        <w:jc w:val="both"/>
        <w:rPr>
          <w:rFonts w:hint="eastAsia"/>
          <w:lang w:val="en-US" w:eastAsia="zh-CN"/>
        </w:rPr>
      </w:pPr>
      <w:r>
        <w:t xml:space="preserve">图 </w:t>
      </w:r>
      <w:r>
        <w:rPr>
          <w:rFonts w:hint="eastAsia"/>
          <w:lang w:val="en-US" w:eastAsia="zh-CN"/>
        </w:rPr>
        <w:t>7  GO富集网络图：由metascape网页生成，按照显著性着色</w:t>
      </w:r>
    </w:p>
    <w:p w14:paraId="1145D5BC">
      <w:pPr>
        <w:rPr>
          <w:rFonts w:hint="default"/>
          <w:lang w:val="en-US" w:eastAsia="zh-CN"/>
        </w:rPr>
      </w:pPr>
    </w:p>
    <w:p w14:paraId="383E46D0">
      <w:pPr>
        <w:widowControl w:val="0"/>
        <w:jc w:val="both"/>
      </w:pPr>
      <w:r>
        <w:drawing>
          <wp:inline distT="0" distB="0" distL="114300" distR="114300">
            <wp:extent cx="5085080" cy="2159000"/>
            <wp:effectExtent l="0" t="0" r="7620" b="0"/>
            <wp:docPr id="11" name="Picture 5" descr="GeneID_PPIColorBy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GeneID_PPIColorByCluster.png"/>
                    <pic:cNvPicPr>
                      <a:picLocks noChangeAspect="1"/>
                    </pic:cNvPicPr>
                  </pic:nvPicPr>
                  <pic:blipFill>
                    <a:blip r:embed="rId12"/>
                    <a:stretch>
                      <a:fillRect/>
                    </a:stretch>
                  </pic:blipFill>
                  <pic:spPr>
                    <a:xfrm>
                      <a:off x="0" y="0"/>
                      <a:ext cx="5085080" cy="2159000"/>
                    </a:xfrm>
                    <a:prstGeom prst="rect">
                      <a:avLst/>
                    </a:prstGeom>
                  </pic:spPr>
                </pic:pic>
              </a:graphicData>
            </a:graphic>
          </wp:inline>
        </w:drawing>
      </w:r>
    </w:p>
    <w:p w14:paraId="6DBCFDCF">
      <w:pPr>
        <w:pStyle w:val="2"/>
        <w:widowControl w:val="0"/>
        <w:jc w:val="both"/>
        <w:rPr>
          <w:rFonts w:hint="default" w:eastAsia="黑体"/>
          <w:lang w:val="en-US" w:eastAsia="zh-CN"/>
        </w:rPr>
      </w:pPr>
      <w:r>
        <w:t xml:space="preserve">图 </w:t>
      </w:r>
      <w:r>
        <w:rPr>
          <w:rFonts w:hint="eastAsia"/>
          <w:lang w:val="en-US" w:eastAsia="zh-CN"/>
        </w:rPr>
        <w:t>8 PPI网络：由metascape网页生成，表示蛋白质之间互做网络</w:t>
      </w:r>
    </w:p>
    <w:p w14:paraId="049B4AB0">
      <w:pPr>
        <w:widowControl w:val="0"/>
        <w:numPr>
          <w:ilvl w:val="0"/>
          <w:numId w:val="0"/>
        </w:numPr>
        <w:ind w:leftChars="0"/>
        <w:jc w:val="both"/>
        <w:rPr>
          <w:rFonts w:hint="eastAsia" w:ascii="Times New Roman" w:hAnsi="Times New Roman" w:eastAsia="黑体" w:cs="Times New Roman"/>
          <w:kern w:val="2"/>
          <w:sz w:val="28"/>
          <w:szCs w:val="28"/>
          <w:lang w:val="en-US" w:eastAsia="zh-CN" w:bidi="ar-SA"/>
        </w:rPr>
      </w:pPr>
    </w:p>
    <w:p w14:paraId="273E068F">
      <w:pPr>
        <w:widowControl w:val="0"/>
        <w:numPr>
          <w:ilvl w:val="0"/>
          <w:numId w:val="0"/>
        </w:numPr>
        <w:ind w:leftChars="0"/>
        <w:jc w:val="both"/>
      </w:pPr>
      <w:r>
        <w:drawing>
          <wp:inline distT="0" distB="0" distL="114300" distR="114300">
            <wp:extent cx="4952365" cy="2173605"/>
            <wp:effectExtent l="0" t="0" r="635" b="10795"/>
            <wp:docPr id="12" name="Picture 2" descr="GeneID_MCODE_ALL_PPIColorBy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GeneID_MCODE_ALL_PPIColorByCluster.png"/>
                    <pic:cNvPicPr>
                      <a:picLocks noChangeAspect="1"/>
                    </pic:cNvPicPr>
                  </pic:nvPicPr>
                  <pic:blipFill>
                    <a:blip r:embed="rId13"/>
                    <a:stretch>
                      <a:fillRect/>
                    </a:stretch>
                  </pic:blipFill>
                  <pic:spPr>
                    <a:xfrm>
                      <a:off x="0" y="0"/>
                      <a:ext cx="4952365" cy="2173605"/>
                    </a:xfrm>
                    <a:prstGeom prst="rect">
                      <a:avLst/>
                    </a:prstGeom>
                  </pic:spPr>
                </pic:pic>
              </a:graphicData>
            </a:graphic>
          </wp:inline>
        </w:drawing>
      </w:r>
    </w:p>
    <w:p w14:paraId="6A71503E">
      <w:pPr>
        <w:pStyle w:val="2"/>
        <w:widowControl w:val="0"/>
        <w:numPr>
          <w:ilvl w:val="0"/>
          <w:numId w:val="0"/>
        </w:numPr>
        <w:ind w:leftChars="0"/>
        <w:jc w:val="both"/>
        <w:rPr>
          <w:rFonts w:hint="eastAsia" w:eastAsia="黑体" w:asciiTheme="majorHAnsi" w:hAnsiTheme="majorHAnsi" w:cstheme="majorBidi"/>
          <w:kern w:val="2"/>
          <w:sz w:val="20"/>
          <w:szCs w:val="20"/>
          <w:lang w:val="en-US" w:eastAsia="zh-CN" w:bidi="ar-SA"/>
        </w:rPr>
      </w:pPr>
      <w:r>
        <w:t xml:space="preserve">图 </w:t>
      </w:r>
      <w:r>
        <w:rPr>
          <w:rFonts w:hint="eastAsia"/>
          <w:lang w:val="en-US" w:eastAsia="zh-CN"/>
        </w:rPr>
        <w:t>9 P</w:t>
      </w:r>
      <w:r>
        <w:rPr>
          <w:rFonts w:hint="eastAsia" w:eastAsia="黑体" w:asciiTheme="majorHAnsi" w:hAnsiTheme="majorHAnsi" w:cstheme="majorBidi"/>
          <w:kern w:val="2"/>
          <w:sz w:val="20"/>
          <w:szCs w:val="20"/>
          <w:lang w:val="en-US" w:eastAsia="zh-CN" w:bidi="ar-SA"/>
        </w:rPr>
        <w:t>PI MCODE components：由metascape网页生成，是对图8PPI网络的拆分，提示局部密集聚集的功能单元</w:t>
      </w:r>
    </w:p>
    <w:p w14:paraId="1664DE0C">
      <w:pPr>
        <w:rPr>
          <w:rFonts w:hint="eastAsia"/>
          <w:lang w:val="en-US" w:eastAsia="zh-CN"/>
        </w:rPr>
      </w:pPr>
      <w:r>
        <w:rPr>
          <w:rFonts w:hint="eastAsia" w:eastAsia="黑体" w:asciiTheme="majorHAnsi" w:hAnsiTheme="majorHAnsi" w:cstheme="majorBidi"/>
          <w:kern w:val="2"/>
          <w:sz w:val="20"/>
          <w:szCs w:val="20"/>
          <w:lang w:val="en-US" w:eastAsia="zh-CN" w:bidi="ar-SA"/>
        </w:rPr>
        <w:t xml:space="preserve">  分析图7、8、9和表1，可得出以下结论：</w:t>
      </w:r>
    </w:p>
    <w:p w14:paraId="0D019569">
      <w:pPr>
        <w:numPr>
          <w:ilvl w:val="0"/>
          <w:numId w:val="4"/>
        </w:numPr>
        <w:rPr>
          <w:rFonts w:hint="default"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微塑料导致的差异基因整体富集在</w:t>
      </w:r>
      <w:r>
        <w:rPr>
          <w:rFonts w:hint="default" w:eastAsia="黑体" w:asciiTheme="majorHAnsi" w:hAnsiTheme="majorHAnsi" w:cstheme="majorBidi"/>
          <w:kern w:val="2"/>
          <w:sz w:val="20"/>
          <w:szCs w:val="20"/>
          <w:lang w:val="en-US" w:eastAsia="zh-CN" w:bidi="ar-SA"/>
        </w:rPr>
        <w:t>免疫/抗病毒相关通路</w:t>
      </w:r>
    </w:p>
    <w:p w14:paraId="45BB37ED">
      <w:pPr>
        <w:numPr>
          <w:ilvl w:val="0"/>
          <w:numId w:val="4"/>
        </w:numPr>
        <w:rPr>
          <w:rFonts w:hint="default"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PPI网络中的核心模块涉及</w:t>
      </w:r>
      <w:r>
        <w:rPr>
          <w:rFonts w:hint="default" w:eastAsia="黑体" w:asciiTheme="majorHAnsi" w:hAnsiTheme="majorHAnsi" w:cstheme="majorBidi"/>
          <w:kern w:val="2"/>
          <w:sz w:val="20"/>
          <w:szCs w:val="20"/>
          <w:lang w:val="en-US" w:eastAsia="zh-CN" w:bidi="ar-SA"/>
        </w:rPr>
        <w:t>DNA损伤修复、细胞衰老</w:t>
      </w:r>
      <w:r>
        <w:rPr>
          <w:rFonts w:hint="eastAsia" w:eastAsia="黑体" w:asciiTheme="majorHAnsi" w:hAnsiTheme="majorHAnsi" w:cstheme="majorBidi"/>
          <w:kern w:val="2"/>
          <w:sz w:val="20"/>
          <w:szCs w:val="20"/>
          <w:lang w:val="en-US" w:eastAsia="zh-CN" w:bidi="ar-SA"/>
        </w:rPr>
        <w:t>等细胞基本功能</w:t>
      </w:r>
    </w:p>
    <w:p w14:paraId="34F52F55">
      <w:pPr>
        <w:numPr>
          <w:ilvl w:val="0"/>
          <w:numId w:val="4"/>
        </w:numPr>
        <w:rPr>
          <w:rFonts w:hint="default"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PPI网络其中一个子模块专门做</w:t>
      </w:r>
      <w:r>
        <w:rPr>
          <w:rFonts w:hint="default" w:eastAsia="黑体" w:asciiTheme="majorHAnsi" w:hAnsiTheme="majorHAnsi" w:cstheme="majorBidi"/>
          <w:kern w:val="2"/>
          <w:sz w:val="20"/>
          <w:szCs w:val="20"/>
          <w:lang w:val="en-US" w:eastAsia="zh-CN" w:bidi="ar-SA"/>
        </w:rPr>
        <w:t>染色质重塑</w:t>
      </w:r>
    </w:p>
    <w:p w14:paraId="33D5A5C8">
      <w:pPr>
        <w:rPr>
          <w:rFonts w:hint="eastAsia" w:eastAsia="黑体" w:asciiTheme="majorHAnsi" w:hAnsiTheme="majorHAnsi" w:cstheme="majorBidi"/>
          <w:kern w:val="2"/>
          <w:sz w:val="20"/>
          <w:szCs w:val="20"/>
          <w:lang w:val="en-US" w:eastAsia="zh-CN" w:bidi="ar-SA"/>
        </w:rPr>
      </w:pPr>
      <w:r>
        <w:rPr>
          <w:rFonts w:hint="eastAsia" w:ascii="Times New Roman" w:hAnsi="Times New Roman" w:eastAsia="黑体" w:cs="Times New Roman"/>
          <w:sz w:val="28"/>
          <w:szCs w:val="28"/>
          <w:lang w:val="en-US" w:eastAsia="zh-CN"/>
        </w:rPr>
        <w:t>六、小节与思考</w:t>
      </w:r>
    </w:p>
    <w:p w14:paraId="7ADAC41C">
      <w:pPr>
        <w:widowControl w:val="0"/>
        <w:ind w:firstLine="400" w:firstLineChars="200"/>
        <w:jc w:val="both"/>
        <w:rPr>
          <w:rFonts w:hint="eastAsia"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本研究通过转录组分析探究微塑料对斑马鱼心脏表型的分子机制。Metascape富集分析显示，404个差异基因主要富集于三大功能模块：嗅觉/化学感受（GO:0009593, LogP=-15.55）、神经活性配体-受体互作（dre04080, LogP=-6.88）及免疫与炎症应答（GO:0043330, LogP=-3.71）。其中，26个嗅觉受体基因（or家族）显著上调，提示微塑料可能通过鳃或体表化学感受器被机体识别，触发系统性应激反应。</w:t>
      </w:r>
    </w:p>
    <w:p w14:paraId="48AFEEC0">
      <w:pPr>
        <w:widowControl w:val="0"/>
        <w:ind w:firstLine="400" w:firstLineChars="200"/>
        <w:jc w:val="both"/>
        <w:rPr>
          <w:rFonts w:hint="eastAsia"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值得注意的是，PPI网络MCODE分析揭示核心模块涉及DNA双链断裂修复与细胞衰老相关分泌表型（SASP），伴随染色质重塑基因（npm2a、npm2b）的显著差异表达。这一发现与心脏肥大表型高度吻合：微塑料诱导的氧化应激可导致心肌细胞DNA损伤，激活p53-SASP轴，进而促进炎症因子释放和心肌纤维化。同时，干扰素通路（ifnphi1/3）及Toll样受体信号（tlr4ba、tlr7）的富集表明，微塑料可能作为病原体相关分子模式（PAMP）激活先天免疫，加剧心脏炎症微环境。</w:t>
      </w:r>
    </w:p>
    <w:p w14:paraId="7BB120C0">
      <w:pPr>
        <w:widowControl w:val="0"/>
        <w:ind w:firstLine="400" w:firstLineChars="200"/>
        <w:jc w:val="both"/>
        <w:rPr>
          <w:rFonts w:hint="eastAsia"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此外，体节前后轴特化基因（foxh1、her1、ripply2）的差异表达提示微塑料可能干扰胚胎发育阶段的Wnt/FGF信号梯度，影响心脏前体细胞的分化与增殖。脂质储存相关基因（plin1、cidea、fitm1）的协同上调则反映代谢重编程，可能与心肌脂毒性及能量代谢紊乱有关。</w:t>
      </w:r>
    </w:p>
    <w:p w14:paraId="61298BC3">
      <w:pPr>
        <w:widowControl w:val="0"/>
        <w:ind w:firstLine="400" w:firstLineChars="200"/>
        <w:jc w:val="both"/>
        <w:rPr>
          <w:rFonts w:hint="eastAsia" w:eastAsia="黑体" w:asciiTheme="majorHAnsi" w:hAnsiTheme="majorHAnsi" w:cstheme="majorBidi"/>
          <w:kern w:val="2"/>
          <w:sz w:val="20"/>
          <w:szCs w:val="20"/>
          <w:lang w:val="en-US" w:eastAsia="zh-CN" w:bidi="ar-SA"/>
        </w:rPr>
      </w:pPr>
      <w:r>
        <w:rPr>
          <w:rFonts w:hint="eastAsia" w:eastAsia="黑体" w:asciiTheme="majorHAnsi" w:hAnsiTheme="majorHAnsi" w:cstheme="majorBidi"/>
          <w:kern w:val="2"/>
          <w:sz w:val="20"/>
          <w:szCs w:val="20"/>
          <w:lang w:val="en-US" w:eastAsia="zh-CN" w:bidi="ar-SA"/>
        </w:rPr>
        <w:t>本研究为微塑料的心脏毒性提供了多组学证据，但尚存局限。首先，嗅觉受体的高富集可能源于鳃组织对微塑料颗粒的物理吸附，而非特异性毒性效应，需通过原位杂交验证其组织特异性表达。其次，PPI网络中DNA损伤与免疫应答的耦合提示"损伤-炎症"正反馈环路的存在，未来可通过CRISPR敲除关键节点基因（如tlr7或p53）进行功能挽救实验，明确因果链条。最后，微塑料的粒径、聚合物类型及暴露时长对心脏表型的剂量-效应关系，是后续机制研究的重要方向。</w:t>
      </w:r>
    </w:p>
    <w:p w14:paraId="11C02E46">
      <w:pPr>
        <w:rPr>
          <w:rFonts w:hint="default" w:eastAsia="黑体" w:asciiTheme="majorHAnsi" w:hAnsiTheme="majorHAnsi" w:cstheme="majorBidi"/>
          <w:kern w:val="2"/>
          <w:sz w:val="20"/>
          <w:szCs w:val="20"/>
          <w:lang w:val="en-US" w:eastAsia="zh-CN" w:bidi="ar-SA"/>
        </w:rPr>
      </w:pPr>
      <w:r>
        <w:rPr>
          <w:rFonts w:hint="eastAsia" w:ascii="Times New Roman" w:hAnsi="Times New Roman" w:eastAsia="黑体" w:cs="Times New Roman"/>
          <w:sz w:val="28"/>
          <w:szCs w:val="28"/>
          <w:lang w:val="en-US" w:eastAsia="zh-CN"/>
        </w:rPr>
        <w:t xml:space="preserve">  </w:t>
      </w:r>
      <w:r>
        <w:rPr>
          <w:rFonts w:hint="eastAsia" w:eastAsia="黑体" w:asciiTheme="majorHAnsi" w:hAnsiTheme="majorHAnsi" w:cstheme="majorBidi"/>
          <w:kern w:val="2"/>
          <w:sz w:val="20"/>
          <w:szCs w:val="20"/>
          <w:lang w:val="en-US" w:eastAsia="zh-CN" w:bidi="ar-SA"/>
        </w:rPr>
        <w:t>不过，值得一提的是这些结果其实对我们的生活作息或对微塑料的意识是一种提醒，因为虽然对于斑马鱼来说</w:t>
      </w:r>
      <w:r>
        <w:rPr>
          <w:rFonts w:hint="default" w:eastAsia="黑体" w:asciiTheme="majorHAnsi" w:hAnsiTheme="majorHAnsi" w:cstheme="majorBidi"/>
          <w:kern w:val="2"/>
          <w:sz w:val="20"/>
          <w:szCs w:val="20"/>
          <w:lang w:val="en-US" w:eastAsia="zh-CN" w:bidi="ar-SA"/>
        </w:rPr>
        <w:t>DNA损伤修复、细胞衰老</w:t>
      </w:r>
      <w:r>
        <w:rPr>
          <w:rFonts w:hint="eastAsia" w:eastAsia="黑体" w:asciiTheme="majorHAnsi" w:hAnsiTheme="majorHAnsi" w:cstheme="majorBidi"/>
          <w:kern w:val="2"/>
          <w:sz w:val="20"/>
          <w:szCs w:val="20"/>
          <w:lang w:val="en-US" w:eastAsia="zh-CN" w:bidi="ar-SA"/>
        </w:rPr>
        <w:t>、</w:t>
      </w:r>
      <w:r>
        <w:rPr>
          <w:rFonts w:hint="default" w:eastAsia="黑体" w:asciiTheme="majorHAnsi" w:hAnsiTheme="majorHAnsi" w:cstheme="majorBidi"/>
          <w:kern w:val="2"/>
          <w:sz w:val="20"/>
          <w:szCs w:val="20"/>
          <w:lang w:val="en-US" w:eastAsia="zh-CN" w:bidi="ar-SA"/>
        </w:rPr>
        <w:t>染色质重塑</w:t>
      </w:r>
      <w:r>
        <w:rPr>
          <w:rFonts w:hint="eastAsia" w:eastAsia="黑体" w:asciiTheme="majorHAnsi" w:hAnsiTheme="majorHAnsi" w:cstheme="majorBidi"/>
          <w:kern w:val="2"/>
          <w:sz w:val="20"/>
          <w:szCs w:val="20"/>
          <w:lang w:val="en-US" w:eastAsia="zh-CN" w:bidi="ar-SA"/>
        </w:rPr>
        <w:t>等基因不会造成更严重后果，但对于人类这类体型与寿命恰当好处的生物来说，这些基因可刚刚好是突变和癌症上的相关基因。这是否暗示着微塑料极有可能与癌症相关？而且，人作为生物链上游更可能富集更多微塑料。事实上，人们甚至发现微塑料存在于人类胎盘中</w:t>
      </w:r>
      <w:r>
        <w:rPr>
          <w:rStyle w:val="10"/>
          <w:rFonts w:hint="eastAsia" w:eastAsia="黑体" w:asciiTheme="majorHAnsi" w:hAnsiTheme="majorHAnsi" w:cstheme="majorBidi"/>
          <w:kern w:val="2"/>
          <w:sz w:val="20"/>
          <w:szCs w:val="20"/>
          <w:lang w:val="en-US" w:eastAsia="zh-CN" w:bidi="ar-SA"/>
        </w:rPr>
        <w:t>[</w:t>
      </w:r>
      <w:r>
        <w:rPr>
          <w:rStyle w:val="10"/>
          <w:rFonts w:hint="eastAsia" w:eastAsia="黑体" w:asciiTheme="majorHAnsi" w:hAnsiTheme="majorHAnsi" w:cstheme="majorBidi"/>
          <w:kern w:val="2"/>
          <w:sz w:val="20"/>
          <w:szCs w:val="20"/>
          <w:lang w:val="en-US" w:eastAsia="zh-CN" w:bidi="ar-SA"/>
        </w:rPr>
        <w:endnoteReference w:id="8"/>
      </w:r>
      <w:r>
        <w:rPr>
          <w:rStyle w:val="10"/>
          <w:rFonts w:hint="eastAsia" w:eastAsia="黑体" w:asciiTheme="majorHAnsi" w:hAnsiTheme="majorHAnsi" w:cstheme="majorBidi"/>
          <w:kern w:val="2"/>
          <w:sz w:val="20"/>
          <w:szCs w:val="20"/>
          <w:lang w:val="en-US" w:eastAsia="zh-CN" w:bidi="ar-SA"/>
        </w:rPr>
        <w:t>]</w:t>
      </w:r>
      <w:r>
        <w:rPr>
          <w:rFonts w:hint="eastAsia" w:eastAsia="黑体" w:asciiTheme="majorHAnsi" w:hAnsiTheme="majorHAnsi" w:cstheme="majorBidi"/>
          <w:kern w:val="2"/>
          <w:sz w:val="20"/>
          <w:szCs w:val="20"/>
          <w:lang w:val="en-US" w:eastAsia="zh-CN" w:bidi="ar-SA"/>
        </w:rPr>
        <w:t>。当然，这很大一部分可能是危言耸听，因为我们做的样本太少了，也没做连续的浓度梯度，只能说确实反应了某种关系。不过，有关研究表明，类似微颗粒或超细颗粒确实会诱导应激反应机制的上调，包括炎症的产生</w:t>
      </w:r>
      <w:r>
        <w:rPr>
          <w:rStyle w:val="10"/>
          <w:rFonts w:hint="eastAsia" w:eastAsia="黑体" w:asciiTheme="majorHAnsi" w:hAnsiTheme="majorHAnsi" w:cstheme="majorBidi"/>
          <w:kern w:val="2"/>
          <w:sz w:val="20"/>
          <w:szCs w:val="20"/>
          <w:lang w:val="en-US" w:eastAsia="zh-CN" w:bidi="ar-SA"/>
        </w:rPr>
        <w:t>[</w:t>
      </w:r>
      <w:r>
        <w:rPr>
          <w:rStyle w:val="10"/>
          <w:rFonts w:hint="eastAsia" w:eastAsia="黑体" w:asciiTheme="majorHAnsi" w:hAnsiTheme="majorHAnsi" w:cstheme="majorBidi"/>
          <w:kern w:val="2"/>
          <w:sz w:val="20"/>
          <w:szCs w:val="20"/>
          <w:lang w:val="en-US" w:eastAsia="zh-CN" w:bidi="ar-SA"/>
        </w:rPr>
        <w:endnoteReference w:id="9"/>
      </w:r>
      <w:r>
        <w:rPr>
          <w:rStyle w:val="10"/>
          <w:rFonts w:hint="eastAsia" w:eastAsia="黑体" w:asciiTheme="majorHAnsi" w:hAnsiTheme="majorHAnsi" w:cstheme="majorBidi"/>
          <w:kern w:val="2"/>
          <w:sz w:val="20"/>
          <w:szCs w:val="20"/>
          <w:lang w:val="en-US" w:eastAsia="zh-CN" w:bidi="ar-SA"/>
        </w:rPr>
        <w:t>]</w:t>
      </w:r>
      <w:r>
        <w:rPr>
          <w:rFonts w:hint="eastAsia" w:eastAsia="黑体" w:asciiTheme="majorHAnsi" w:hAnsiTheme="majorHAnsi" w:cstheme="majorBidi"/>
          <w:kern w:val="2"/>
          <w:sz w:val="20"/>
          <w:szCs w:val="20"/>
          <w:lang w:val="en-US" w:eastAsia="zh-CN" w:bidi="ar-SA"/>
        </w:rPr>
        <w:t>，这恰好与在本研究所找出的通路类型不相违背。</w:t>
      </w:r>
    </w:p>
    <w:p w14:paraId="644B3742">
      <w:pPr>
        <w:rPr>
          <w:rFonts w:ascii="Times New Roman" w:hAnsi="Times New Roman" w:eastAsia="黑体" w:cs="Times New Roman"/>
          <w:sz w:val="24"/>
          <w:szCs w:val="24"/>
        </w:rPr>
      </w:pPr>
      <w:r>
        <w:rPr>
          <w:rFonts w:ascii="Times New Roman" w:hAnsi="Times New Roman" w:eastAsia="黑体" w:cs="Times New Roman"/>
          <w:sz w:val="24"/>
          <w:szCs w:val="24"/>
        </w:rPr>
        <w:t>参考文献</w:t>
      </w:r>
    </w:p>
    <w:p w14:paraId="7706052B"/>
    <w:sectPr>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0">
    <w:p>
      <w:r>
        <w:separator/>
      </w:r>
    </w:p>
  </w:endnote>
  <w:endnote w:type="continuationSeparator" w:id="21">
    <w:p>
      <w:r>
        <w:continuationSeparator/>
      </w:r>
    </w:p>
  </w:endnote>
  <w:endnote w:id="0">
    <w:p w14:paraId="5062BAD8">
      <w:pPr>
        <w:pStyle w:val="3"/>
        <w:snapToGrid w:val="0"/>
        <w:rPr>
          <w:rFonts w:hint="default" w:ascii="Times New Roman" w:hAnsi="Times New Roman" w:eastAsia="Segoe UI" w:cs="Times New Roman"/>
          <w:i w:val="0"/>
          <w:iCs w:val="0"/>
          <w:caps w:val="0"/>
          <w:color w:val="222222"/>
          <w:spacing w:val="0"/>
          <w:sz w:val="20"/>
          <w:szCs w:val="20"/>
          <w:shd w:val="clear" w:fill="FFFFFF"/>
        </w:rPr>
      </w:pPr>
      <w:r>
        <w:rPr>
          <w:rFonts w:hint="default" w:ascii="Times New Roman" w:hAnsi="Times New Roman" w:eastAsia="Segoe UI" w:cs="Times New Roman"/>
          <w:i w:val="0"/>
          <w:iCs w:val="0"/>
          <w:caps w:val="0"/>
          <w:color w:val="222222"/>
          <w:spacing w:val="0"/>
          <w:sz w:val="20"/>
          <w:szCs w:val="20"/>
          <w:shd w:val="clear" w:fill="FFFFFF"/>
        </w:rPr>
        <w:t>[</w:t>
      </w:r>
      <w:r>
        <w:rPr>
          <w:rFonts w:hint="default" w:ascii="Times New Roman" w:hAnsi="Times New Roman" w:eastAsia="Segoe UI" w:cs="Times New Roman"/>
          <w:i w:val="0"/>
          <w:iCs w:val="0"/>
          <w:caps w:val="0"/>
          <w:color w:val="222222"/>
          <w:spacing w:val="0"/>
          <w:sz w:val="20"/>
          <w:szCs w:val="20"/>
          <w:shd w:val="clear" w:fill="FFFFFF"/>
        </w:rPr>
        <w:endnoteRef/>
      </w:r>
      <w:r>
        <w:rPr>
          <w:rFonts w:hint="default" w:ascii="Times New Roman" w:hAnsi="Times New Roman" w:eastAsia="Segoe UI" w:cs="Times New Roman"/>
          <w:i w:val="0"/>
          <w:iCs w:val="0"/>
          <w:caps w:val="0"/>
          <w:color w:val="222222"/>
          <w:spacing w:val="0"/>
          <w:sz w:val="20"/>
          <w:szCs w:val="20"/>
          <w:shd w:val="clear" w:fill="FFFFFF"/>
        </w:rPr>
        <w:t>] Howe, K., Clark, M., Torroja, C. et al. The zebrafish reference genome sequence and its relationship to the human genome. Nature 496, 498–503 (2013). https://doi.org/10.1038/nature12111</w:t>
      </w:r>
    </w:p>
  </w:endnote>
  <w:endnote w:id="1">
    <w:p w14:paraId="1DBF49DB">
      <w:pPr>
        <w:pStyle w:val="3"/>
        <w:snapToGrid w:val="0"/>
        <w:rPr>
          <w:rFonts w:hint="eastAsia" w:ascii="Times New Roman" w:hAnsi="Times New Roman" w:eastAsia="Segoe UI" w:cs="Times New Roman"/>
          <w:i w:val="0"/>
          <w:iCs w:val="0"/>
          <w:caps w:val="0"/>
          <w:color w:val="222222"/>
          <w:spacing w:val="0"/>
          <w:sz w:val="20"/>
          <w:szCs w:val="20"/>
          <w:shd w:val="clear" w:fill="FFFFFF"/>
        </w:rPr>
      </w:pPr>
      <w:r>
        <w:rPr>
          <w:rFonts w:hint="default" w:ascii="Times New Roman" w:hAnsi="Times New Roman" w:eastAsia="Segoe UI" w:cs="Times New Roman"/>
          <w:i w:val="0"/>
          <w:iCs w:val="0"/>
          <w:caps w:val="0"/>
          <w:color w:val="222222"/>
          <w:spacing w:val="0"/>
          <w:sz w:val="20"/>
          <w:szCs w:val="20"/>
          <w:shd w:val="clear" w:fill="FFFFFF"/>
        </w:rPr>
        <w:t>[</w:t>
      </w:r>
      <w:r>
        <w:rPr>
          <w:rFonts w:hint="default" w:ascii="Times New Roman" w:hAnsi="Times New Roman" w:eastAsia="Segoe UI" w:cs="Times New Roman"/>
          <w:i w:val="0"/>
          <w:iCs w:val="0"/>
          <w:caps w:val="0"/>
          <w:color w:val="222222"/>
          <w:spacing w:val="0"/>
          <w:sz w:val="20"/>
          <w:szCs w:val="20"/>
          <w:shd w:val="clear" w:fill="FFFFFF"/>
        </w:rPr>
        <w:endnoteRef/>
      </w:r>
      <w:r>
        <w:rPr>
          <w:rFonts w:hint="default" w:ascii="Times New Roman" w:hAnsi="Times New Roman" w:eastAsia="Segoe UI" w:cs="Times New Roman"/>
          <w:i w:val="0"/>
          <w:iCs w:val="0"/>
          <w:caps w:val="0"/>
          <w:color w:val="222222"/>
          <w:spacing w:val="0"/>
          <w:sz w:val="20"/>
          <w:szCs w:val="20"/>
          <w:shd w:val="clear" w:fill="FFFFFF"/>
        </w:rPr>
        <w:t xml:space="preserve">] </w:t>
      </w:r>
      <w:r>
        <w:rPr>
          <w:rFonts w:hint="eastAsia" w:ascii="Times New Roman" w:hAnsi="Times New Roman" w:eastAsia="Segoe UI" w:cs="Times New Roman"/>
          <w:i w:val="0"/>
          <w:iCs w:val="0"/>
          <w:caps w:val="0"/>
          <w:color w:val="222222"/>
          <w:spacing w:val="0"/>
          <w:sz w:val="20"/>
          <w:szCs w:val="20"/>
          <w:shd w:val="clear" w:fill="FFFFFF"/>
        </w:rPr>
        <w:t>andro Sieber, Philip Grossen, Jeroen Bussmann, Frederick Campbell, Alexander Kros, Dominik</w:t>
      </w:r>
    </w:p>
    <w:p w14:paraId="3FE8DBF3">
      <w:pPr>
        <w:pStyle w:val="3"/>
        <w:snapToGrid w:val="0"/>
        <w:rPr>
          <w:rFonts w:hint="eastAsia" w:ascii="Times New Roman" w:hAnsi="Times New Roman" w:eastAsia="Segoe UI" w:cs="Times New Roman"/>
          <w:i w:val="0"/>
          <w:iCs w:val="0"/>
          <w:caps w:val="0"/>
          <w:color w:val="222222"/>
          <w:spacing w:val="0"/>
          <w:sz w:val="20"/>
          <w:szCs w:val="20"/>
          <w:shd w:val="clear" w:fill="FFFFFF"/>
        </w:rPr>
      </w:pPr>
      <w:r>
        <w:rPr>
          <w:rFonts w:hint="eastAsia" w:ascii="Times New Roman" w:hAnsi="Times New Roman" w:eastAsia="Segoe UI" w:cs="Times New Roman"/>
          <w:i w:val="0"/>
          <w:iCs w:val="0"/>
          <w:caps w:val="0"/>
          <w:color w:val="222222"/>
          <w:spacing w:val="0"/>
          <w:sz w:val="20"/>
          <w:szCs w:val="20"/>
          <w:shd w:val="clear" w:fill="FFFFFF"/>
        </w:rPr>
        <w:t>Witzigmann, Jörg Huwyler,Zebrafish as a preclinical in vivo screening model for nanomedicines,</w:t>
      </w:r>
    </w:p>
    <w:p w14:paraId="08D62C47">
      <w:pPr>
        <w:pStyle w:val="3"/>
        <w:snapToGrid w:val="0"/>
        <w:rPr>
          <w:rFonts w:hint="eastAsia" w:ascii="Times New Roman" w:hAnsi="Times New Roman" w:eastAsia="Segoe UI" w:cs="Times New Roman"/>
          <w:i w:val="0"/>
          <w:iCs w:val="0"/>
          <w:caps w:val="0"/>
          <w:color w:val="222222"/>
          <w:spacing w:val="0"/>
          <w:sz w:val="20"/>
          <w:szCs w:val="20"/>
          <w:shd w:val="clear" w:fill="FFFFFF"/>
        </w:rPr>
      </w:pPr>
      <w:r>
        <w:rPr>
          <w:rFonts w:hint="eastAsia" w:ascii="Times New Roman" w:hAnsi="Times New Roman" w:eastAsia="Segoe UI" w:cs="Times New Roman"/>
          <w:i w:val="0"/>
          <w:iCs w:val="0"/>
          <w:caps w:val="0"/>
          <w:color w:val="222222"/>
          <w:spacing w:val="0"/>
          <w:sz w:val="20"/>
          <w:szCs w:val="20"/>
          <w:shd w:val="clear" w:fill="FFFFFF"/>
        </w:rPr>
        <w:t>Advanced Drug Delivery Reviews,Volumes 151–152,2019,Pages 152-168,ISSN 0169-409X,</w:t>
      </w:r>
    </w:p>
    <w:p w14:paraId="3555F4CD">
      <w:pPr>
        <w:pStyle w:val="3"/>
        <w:snapToGrid w:val="0"/>
        <w:rPr>
          <w:rFonts w:hint="eastAsia" w:ascii="Times New Roman" w:hAnsi="Times New Roman" w:eastAsia="Segoe UI" w:cs="Times New Roman"/>
          <w:i w:val="0"/>
          <w:iCs w:val="0"/>
          <w:caps w:val="0"/>
          <w:color w:val="222222"/>
          <w:spacing w:val="0"/>
          <w:sz w:val="20"/>
          <w:szCs w:val="20"/>
          <w:shd w:val="clear" w:fill="FFFFFF"/>
        </w:rPr>
      </w:pPr>
      <w:r>
        <w:rPr>
          <w:rFonts w:hint="eastAsia" w:ascii="Times New Roman" w:hAnsi="Times New Roman" w:eastAsia="Segoe UI" w:cs="Times New Roman"/>
          <w:i w:val="0"/>
          <w:iCs w:val="0"/>
          <w:caps w:val="0"/>
          <w:color w:val="222222"/>
          <w:spacing w:val="0"/>
          <w:sz w:val="20"/>
          <w:szCs w:val="20"/>
          <w:shd w:val="clear" w:fill="FFFFFF"/>
        </w:rPr>
        <w:t>https://doi.org/10.1016/j.addr.2019.01.001.</w:t>
      </w:r>
    </w:p>
  </w:endnote>
  <w:endnote w:id="2">
    <w:p w14:paraId="45BFF002">
      <w:pPr>
        <w:pStyle w:val="3"/>
        <w:snapToGrid w:val="0"/>
        <w:rPr>
          <w:rFonts w:hint="eastAsia" w:ascii="Times New Roman" w:hAnsi="Times New Roman" w:eastAsia="Segoe UI" w:cs="Times New Roman"/>
          <w:i w:val="0"/>
          <w:iCs w:val="0"/>
          <w:caps w:val="0"/>
          <w:color w:val="222222"/>
          <w:spacing w:val="0"/>
          <w:sz w:val="20"/>
          <w:szCs w:val="20"/>
          <w:shd w:val="clear" w:fill="FFFFFF"/>
        </w:rPr>
      </w:pPr>
      <w:r>
        <w:rPr>
          <w:rFonts w:hint="eastAsia" w:ascii="Times New Roman" w:hAnsi="Times New Roman" w:eastAsia="Segoe UI" w:cs="Times New Roman"/>
          <w:i w:val="0"/>
          <w:iCs w:val="0"/>
          <w:caps w:val="0"/>
          <w:color w:val="222222"/>
          <w:spacing w:val="0"/>
          <w:sz w:val="20"/>
          <w:szCs w:val="20"/>
          <w:shd w:val="clear" w:fill="FFFFFF"/>
        </w:rPr>
        <w:t>[</w:t>
      </w:r>
      <w:r>
        <w:rPr>
          <w:rFonts w:hint="eastAsia" w:ascii="Times New Roman" w:hAnsi="Times New Roman" w:eastAsia="Segoe UI" w:cs="Times New Roman"/>
          <w:i w:val="0"/>
          <w:iCs w:val="0"/>
          <w:caps w:val="0"/>
          <w:color w:val="222222"/>
          <w:spacing w:val="0"/>
          <w:sz w:val="20"/>
          <w:szCs w:val="20"/>
          <w:shd w:val="clear" w:fill="FFFFFF"/>
        </w:rPr>
        <w:endnoteRef/>
      </w:r>
      <w:r>
        <w:rPr>
          <w:rFonts w:hint="eastAsia" w:ascii="Times New Roman" w:hAnsi="Times New Roman" w:eastAsia="Segoe UI" w:cs="Times New Roman"/>
          <w:i w:val="0"/>
          <w:iCs w:val="0"/>
          <w:caps w:val="0"/>
          <w:color w:val="222222"/>
          <w:spacing w:val="0"/>
          <w:sz w:val="20"/>
          <w:szCs w:val="20"/>
          <w:shd w:val="clear" w:fill="FFFFFF"/>
        </w:rPr>
        <w:t>] Christian Lawrence,The husbandry of zebrafish (Danio rerio): A review,Aquaculture,Volume 269, Issues 1–4,2007,Pages 1-20,ISSN 0044-8486,https://doi.org/10.1016/j.aquaculture.2007.04.077.</w:t>
      </w:r>
    </w:p>
  </w:endnote>
  <w:endnote w:id="3">
    <w:p w14:paraId="2F5B82FE">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Richard C. Thompson </w:t>
      </w:r>
      <w:r>
        <w:rPr>
          <w:rFonts w:hint="default" w:ascii="Times New Roman" w:hAnsi="Times New Roman" w:eastAsia="Segoe UI" w:cs="Times New Roman"/>
          <w:i w:val="0"/>
          <w:iCs w:val="0"/>
          <w:caps w:val="0"/>
          <w:color w:val="222222"/>
          <w:spacing w:val="0"/>
          <w:sz w:val="20"/>
          <w:szCs w:val="20"/>
          <w:shd w:val="clear" w:fill="FFFFFF"/>
          <w:lang w:val="en-US" w:eastAsia="zh-CN"/>
        </w:rPr>
        <w:t>et al.,Lost at Sea: Where Is All the</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Plastic?.</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Science3</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04,838-838</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(2004).</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DOI</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w:t>
      </w:r>
      <w:r>
        <w:rPr>
          <w:rFonts w:hint="default" w:ascii="Times New Roman" w:hAnsi="Times New Roman" w:eastAsia="Segoe UI" w:cs="Times New Roman"/>
          <w:i w:val="0"/>
          <w:iCs w:val="0"/>
          <w:caps w:val="0"/>
          <w:color w:val="222222"/>
          <w:spacing w:val="0"/>
          <w:sz w:val="20"/>
          <w:szCs w:val="20"/>
          <w:shd w:val="clear" w:fill="FFFFFF"/>
          <w:lang w:val="en-US" w:eastAsia="zh-CN"/>
        </w:rPr>
        <w:fldChar w:fldCharType="begin"/>
      </w:r>
      <w:r>
        <w:rPr>
          <w:rFonts w:hint="default" w:ascii="Times New Roman" w:hAnsi="Times New Roman" w:eastAsia="Segoe UI" w:cs="Times New Roman"/>
          <w:i w:val="0"/>
          <w:iCs w:val="0"/>
          <w:caps w:val="0"/>
          <w:color w:val="222222"/>
          <w:spacing w:val="0"/>
          <w:sz w:val="20"/>
          <w:szCs w:val="20"/>
          <w:shd w:val="clear" w:fill="FFFFFF"/>
          <w:lang w:val="en-US" w:eastAsia="zh-CN"/>
        </w:rPr>
        <w:instrText xml:space="preserve"> HYPERLINK "https://doi.org/10.1126/science.1094559" </w:instrText>
      </w:r>
      <w:r>
        <w:rPr>
          <w:rFonts w:hint="default" w:ascii="Times New Roman" w:hAnsi="Times New Roman" w:eastAsia="Segoe UI" w:cs="Times New Roman"/>
          <w:i w:val="0"/>
          <w:iCs w:val="0"/>
          <w:caps w:val="0"/>
          <w:color w:val="222222"/>
          <w:spacing w:val="0"/>
          <w:sz w:val="20"/>
          <w:szCs w:val="20"/>
          <w:shd w:val="clear" w:fill="FFFFFF"/>
          <w:lang w:val="en-US" w:eastAsia="zh-CN"/>
        </w:rPr>
        <w:fldChar w:fldCharType="separate"/>
      </w:r>
      <w:r>
        <w:rPr>
          <w:rFonts w:hint="default" w:ascii="Times New Roman" w:hAnsi="Times New Roman" w:eastAsia="Segoe UI" w:cs="Times New Roman"/>
          <w:i w:val="0"/>
          <w:iCs w:val="0"/>
          <w:caps w:val="0"/>
          <w:color w:val="222222"/>
          <w:spacing w:val="0"/>
          <w:sz w:val="20"/>
          <w:szCs w:val="20"/>
          <w:shd w:val="clear" w:fill="FFFFFF"/>
          <w:lang w:val="en-US" w:eastAsia="zh-CN"/>
        </w:rPr>
        <w:t>10.1126/science.1094559</w:t>
      </w:r>
      <w:r>
        <w:rPr>
          <w:rFonts w:hint="default" w:ascii="Times New Roman" w:hAnsi="Times New Roman" w:eastAsia="Segoe UI" w:cs="Times New Roman"/>
          <w:i w:val="0"/>
          <w:iCs w:val="0"/>
          <w:caps w:val="0"/>
          <w:color w:val="222222"/>
          <w:spacing w:val="0"/>
          <w:sz w:val="20"/>
          <w:szCs w:val="20"/>
          <w:shd w:val="clear" w:fill="FFFFFF"/>
          <w:lang w:val="en-US" w:eastAsia="zh-CN"/>
        </w:rPr>
        <w:fldChar w:fldCharType="end"/>
      </w:r>
    </w:p>
  </w:endnote>
  <w:endnote w:id="4">
    <w:p w14:paraId="1EACB6B7">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Richard C. Thompson </w:t>
      </w:r>
      <w:r>
        <w:rPr>
          <w:rFonts w:hint="default" w:ascii="Times New Roman" w:hAnsi="Times New Roman" w:eastAsia="Segoe UI" w:cs="Times New Roman"/>
          <w:i w:val="0"/>
          <w:iCs w:val="0"/>
          <w:caps w:val="0"/>
          <w:color w:val="222222"/>
          <w:spacing w:val="0"/>
          <w:sz w:val="20"/>
          <w:szCs w:val="20"/>
          <w:shd w:val="clear" w:fill="FFFFFF"/>
          <w:lang w:val="en-US" w:eastAsia="zh-CN"/>
        </w:rPr>
        <w:t>et al.Twenty years of microplastic pollution research—what have we</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learned?</w:t>
      </w:r>
      <w:r>
        <w:rPr>
          <w:rFonts w:hint="eastAsia" w:ascii="Times New Roman" w:hAnsi="Times New Roman" w:eastAsia="Segoe UI" w:cs="Times New Roman"/>
          <w:i w:val="0"/>
          <w:iCs w:val="0"/>
          <w:caps w:val="0"/>
          <w:color w:val="222222"/>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222222"/>
          <w:spacing w:val="0"/>
          <w:sz w:val="20"/>
          <w:szCs w:val="20"/>
          <w:shd w:val="clear" w:fill="FFFFFF"/>
          <w:lang w:val="en-US" w:eastAsia="zh-CN"/>
        </w:rPr>
        <w:t>Science386,eadl2746(2024).DOI:</w:t>
      </w:r>
      <w:r>
        <w:rPr>
          <w:rFonts w:hint="default" w:ascii="Times New Roman" w:hAnsi="Times New Roman" w:eastAsia="Segoe UI" w:cs="Times New Roman"/>
          <w:i w:val="0"/>
          <w:iCs w:val="0"/>
          <w:caps w:val="0"/>
          <w:color w:val="222222"/>
          <w:spacing w:val="0"/>
          <w:sz w:val="20"/>
          <w:szCs w:val="20"/>
          <w:shd w:val="clear" w:fill="FFFFFF"/>
          <w:lang w:val="en-US" w:eastAsia="zh-CN"/>
        </w:rPr>
        <w:fldChar w:fldCharType="begin"/>
      </w:r>
      <w:r>
        <w:rPr>
          <w:rFonts w:hint="default" w:ascii="Times New Roman" w:hAnsi="Times New Roman" w:eastAsia="Segoe UI" w:cs="Times New Roman"/>
          <w:i w:val="0"/>
          <w:iCs w:val="0"/>
          <w:caps w:val="0"/>
          <w:color w:val="222222"/>
          <w:spacing w:val="0"/>
          <w:sz w:val="20"/>
          <w:szCs w:val="20"/>
          <w:shd w:val="clear" w:fill="FFFFFF"/>
          <w:lang w:val="en-US" w:eastAsia="zh-CN"/>
        </w:rPr>
        <w:instrText xml:space="preserve"> HYPERLINK "https://doi.org/10.1126/science.adl2746" </w:instrText>
      </w:r>
      <w:r>
        <w:rPr>
          <w:rFonts w:hint="default" w:ascii="Times New Roman" w:hAnsi="Times New Roman" w:eastAsia="Segoe UI" w:cs="Times New Roman"/>
          <w:i w:val="0"/>
          <w:iCs w:val="0"/>
          <w:caps w:val="0"/>
          <w:color w:val="222222"/>
          <w:spacing w:val="0"/>
          <w:sz w:val="20"/>
          <w:szCs w:val="20"/>
          <w:shd w:val="clear" w:fill="FFFFFF"/>
          <w:lang w:val="en-US" w:eastAsia="zh-CN"/>
        </w:rPr>
        <w:fldChar w:fldCharType="separate"/>
      </w:r>
      <w:r>
        <w:rPr>
          <w:rFonts w:hint="default" w:ascii="Times New Roman" w:hAnsi="Times New Roman" w:eastAsia="Segoe UI" w:cs="Times New Roman"/>
          <w:i w:val="0"/>
          <w:iCs w:val="0"/>
          <w:caps w:val="0"/>
          <w:color w:val="222222"/>
          <w:spacing w:val="0"/>
          <w:sz w:val="20"/>
          <w:szCs w:val="20"/>
          <w:shd w:val="clear" w:fill="FFFFFF"/>
          <w:lang w:val="en-US" w:eastAsia="zh-CN"/>
        </w:rPr>
        <w:t>10.1126/science.adl2746</w:t>
      </w:r>
      <w:r>
        <w:rPr>
          <w:rFonts w:hint="default" w:ascii="Times New Roman" w:hAnsi="Times New Roman" w:eastAsia="Segoe UI" w:cs="Times New Roman"/>
          <w:i w:val="0"/>
          <w:iCs w:val="0"/>
          <w:caps w:val="0"/>
          <w:color w:val="222222"/>
          <w:spacing w:val="0"/>
          <w:sz w:val="20"/>
          <w:szCs w:val="20"/>
          <w:shd w:val="clear" w:fill="FFFFFF"/>
          <w:lang w:val="en-US" w:eastAsia="zh-CN"/>
        </w:rPr>
        <w:fldChar w:fldCharType="end"/>
      </w:r>
    </w:p>
  </w:endnote>
  <w:endnote w:id="5">
    <w:p w14:paraId="7C498D58">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United Nations Environment Programme. Turning the tide on plastic pollution: A global assessment. Nairobi: UNEP; 2023.</w:t>
      </w:r>
    </w:p>
  </w:endnote>
  <w:endnote w:id="6">
    <w:p w14:paraId="43CC845B">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Nagalakshmi U, Wang Z, Waern K, et al. The transcriptional landscape of the yeast genome defined by RNA sequencing. Science. 2008 Jun 6;320(5881):1344-9.</w:t>
      </w:r>
    </w:p>
  </w:endnote>
  <w:endnote w:id="7">
    <w:p w14:paraId="44263993">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Stark R, Grzelak M, Hadfield J. RNA sequencing: the teenage years. Nat Rev Genet. 2019 Nov;20(11):631-656.</w:t>
      </w:r>
    </w:p>
  </w:endnote>
  <w:endnote w:id="8">
    <w:p w14:paraId="2E749867">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Saravanakumar K, SivaSantosh S, Sathiyaseelan A, Naveen KV, AfaanAhamed MA, Zhang X, Priya VV, MubarakAli D, Wang MH. Unraveling the hazardous impact of diverse contaminants in the marine environment: Detection and remedial approach through nanomaterials and nano-biosensors. J Hazard Mater. 2022 Jul 5;433:128720. doi: 10.1016/j.jhazmat.2022.128720. Epub 2022 Mar 16. PMID: 35366447.</w:t>
      </w:r>
      <w:r>
        <w:rPr>
          <w:rFonts w:hint="default" w:ascii="Times New Roman" w:hAnsi="Times New Roman" w:eastAsia="Segoe UI" w:cs="Times New Roman"/>
          <w:i w:val="0"/>
          <w:iCs w:val="0"/>
          <w:caps w:val="0"/>
          <w:color w:val="222222"/>
          <w:spacing w:val="0"/>
          <w:sz w:val="20"/>
          <w:szCs w:val="20"/>
          <w:shd w:val="clear" w:fill="FFFFFF"/>
          <w:lang w:val="en-US" w:eastAsia="zh-CN"/>
        </w:rPr>
        <w:t>  </w:t>
      </w:r>
    </w:p>
  </w:endnote>
  <w:endnote w:id="9">
    <w:p w14:paraId="1A285595">
      <w:pPr>
        <w:pStyle w:val="3"/>
        <w:snapToGrid w:val="0"/>
        <w:rPr>
          <w:rFonts w:hint="eastAsia" w:ascii="Times New Roman" w:hAnsi="Times New Roman" w:eastAsia="Segoe UI" w:cs="Times New Roman"/>
          <w:i w:val="0"/>
          <w:iCs w:val="0"/>
          <w:caps w:val="0"/>
          <w:color w:val="222222"/>
          <w:spacing w:val="0"/>
          <w:sz w:val="20"/>
          <w:szCs w:val="20"/>
          <w:shd w:val="clear" w:fill="FFFFFF"/>
          <w:lang w:val="en-US" w:eastAsia="zh-CN"/>
        </w:rPr>
      </w:pPr>
      <w:r>
        <w:rPr>
          <w:rFonts w:hint="eastAsia" w:ascii="Times New Roman" w:hAnsi="Times New Roman" w:eastAsia="Segoe UI" w:cs="Times New Roman"/>
          <w:i w:val="0"/>
          <w:iCs w:val="0"/>
          <w:caps w:val="0"/>
          <w:color w:val="222222"/>
          <w:spacing w:val="0"/>
          <w:sz w:val="20"/>
          <w:szCs w:val="20"/>
          <w:shd w:val="clear" w:fill="FFFFFF"/>
          <w:lang w:val="en-US" w:eastAsia="zh-CN"/>
        </w:rPr>
        <w:t>[</w:t>
      </w:r>
      <w:r>
        <w:rPr>
          <w:rFonts w:hint="eastAsia" w:ascii="Times New Roman" w:hAnsi="Times New Roman" w:eastAsia="Segoe UI" w:cs="Times New Roman"/>
          <w:i w:val="0"/>
          <w:iCs w:val="0"/>
          <w:caps w:val="0"/>
          <w:color w:val="222222"/>
          <w:spacing w:val="0"/>
          <w:sz w:val="20"/>
          <w:szCs w:val="20"/>
          <w:shd w:val="clear" w:fill="FFFFFF"/>
          <w:lang w:val="en-US" w:eastAsia="zh-CN"/>
        </w:rPr>
        <w:endnoteRef/>
      </w:r>
      <w:r>
        <w:rPr>
          <w:rFonts w:hint="eastAsia" w:ascii="Times New Roman" w:hAnsi="Times New Roman" w:eastAsia="Segoe UI" w:cs="Times New Roman"/>
          <w:i w:val="0"/>
          <w:iCs w:val="0"/>
          <w:caps w:val="0"/>
          <w:color w:val="222222"/>
          <w:spacing w:val="0"/>
          <w:sz w:val="20"/>
          <w:szCs w:val="20"/>
          <w:shd w:val="clear" w:fill="FFFFFF"/>
          <w:lang w:val="en-US" w:eastAsia="zh-CN"/>
        </w:rPr>
        <w:t>] Leinardi R, Longo Sanchez-Calero C, Huaux F. Think Beyond Particle Cytotoxicity: When Self-Cellular Components Released After Immunogenic Cell Death Explain Chronic Disease Development. Front Toxicol. 2022 Jul 1;4:887228. doi: 10.3389/ftox.2022.887228. PMID: 35846433; 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8627F"/>
    <w:multiLevelType w:val="singleLevel"/>
    <w:tmpl w:val="8098627F"/>
    <w:lvl w:ilvl="0" w:tentative="0">
      <w:start w:val="1"/>
      <w:numFmt w:val="decimal"/>
      <w:lvlText w:val="%1."/>
      <w:lvlJc w:val="left"/>
      <w:pPr>
        <w:tabs>
          <w:tab w:val="left" w:pos="312"/>
        </w:tabs>
      </w:pPr>
    </w:lvl>
  </w:abstractNum>
  <w:abstractNum w:abstractNumId="1">
    <w:nsid w:val="0E40FC88"/>
    <w:multiLevelType w:val="singleLevel"/>
    <w:tmpl w:val="0E40FC88"/>
    <w:lvl w:ilvl="0" w:tentative="0">
      <w:start w:val="1"/>
      <w:numFmt w:val="decimal"/>
      <w:lvlText w:val="%1."/>
      <w:lvlJc w:val="left"/>
      <w:pPr>
        <w:tabs>
          <w:tab w:val="left" w:pos="312"/>
        </w:tabs>
      </w:pPr>
    </w:lvl>
  </w:abstractNum>
  <w:abstractNum w:abstractNumId="2">
    <w:nsid w:val="2FE4921E"/>
    <w:multiLevelType w:val="singleLevel"/>
    <w:tmpl w:val="2FE4921E"/>
    <w:lvl w:ilvl="0" w:tentative="0">
      <w:start w:val="4"/>
      <w:numFmt w:val="chineseCounting"/>
      <w:suff w:val="nothing"/>
      <w:lvlText w:val="%1、"/>
      <w:lvlJc w:val="left"/>
      <w:rPr>
        <w:rFonts w:hint="eastAsia"/>
      </w:rPr>
    </w:lvl>
  </w:abstractNum>
  <w:abstractNum w:abstractNumId="3">
    <w:nsid w:val="67D0F856"/>
    <w:multiLevelType w:val="multilevel"/>
    <w:tmpl w:val="67D0F85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20"/>
    <w:endnote w:id="2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A205AA"/>
    <w:rsid w:val="11A20CA1"/>
    <w:rsid w:val="28C50E13"/>
    <w:rsid w:val="2EA205AA"/>
    <w:rsid w:val="31113F0F"/>
    <w:rsid w:val="32BA0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endnote text"/>
    <w:basedOn w:val="1"/>
    <w:semiHidden/>
    <w:unhideWhenUsed/>
    <w:qFormat/>
    <w:uiPriority w:val="99"/>
    <w:pPr>
      <w:snapToGrid w:val="0"/>
      <w:jc w:val="left"/>
    </w:p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rPr>
      <w:sz w:val="24"/>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endnote reference"/>
    <w:basedOn w:val="8"/>
    <w:semiHidden/>
    <w:unhideWhenUsed/>
    <w:qFormat/>
    <w:uiPriority w:val="99"/>
    <w:rPr>
      <w:vertAlign w:val="superscript"/>
    </w:rPr>
  </w:style>
  <w:style w:type="character" w:styleId="11">
    <w:name w:val="Emphasis"/>
    <w:basedOn w:val="8"/>
    <w:qFormat/>
    <w:uiPriority w:val="0"/>
    <w:rPr>
      <w:i/>
    </w:rPr>
  </w:style>
  <w:style w:type="character" w:styleId="12">
    <w:name w:val="Hyperlink"/>
    <w:basedOn w:val="8"/>
    <w:uiPriority w:val="0"/>
    <w:rPr>
      <w:color w:val="0000FF"/>
      <w:u w:val="single"/>
    </w:rPr>
  </w:style>
  <w:style w:type="character" w:styleId="13">
    <w:name w:val="HTML Code"/>
    <w:basedOn w:val="8"/>
    <w:uiPriority w:val="0"/>
    <w:rPr>
      <w:rFonts w:ascii="Courier New" w:hAnsi="Courier New"/>
      <w:sz w:val="20"/>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4525</Words>
  <Characters>8079</Characters>
  <Lines>0</Lines>
  <Paragraphs>0</Paragraphs>
  <TotalTime>1</TotalTime>
  <ScaleCrop>false</ScaleCrop>
  <LinksUpToDate>false</LinksUpToDate>
  <CharactersWithSpaces>9017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2026-07-02T16:57:00Z</dcterms:created>
  <dc:creator>吴宇轩</dc:creator>
  <cp:lastModifiedBy>吴宇轩</cp:lastModifiedBy>
  <dcterms:modified xsi:type="dcterms:W3CDTF">2026-10-15T10:46:50Z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65A60B311094440E929FB5028C04180C_13</vt:lpwstr>
  </property>
  <property fmtid="{D5CDD505-2E9C-101B-9397-08002B2CF9AE}" pid="4" name="KSOTemplateDocerSaveRecord">
    <vt:lpwstr>eyJoZGlkIjoiOWQ2ZWExMDIwMTAyNTlkY2I3MDQ0MGE2NzkwYzQ5NGQiLCJ1c2VySWQiOiIxNjgxODM5MDYyIn0=</vt:lpwstr>
  </property>
</Properties>
</file>